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1FECE" w14:textId="1422431A"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Supplementary Information for</w:t>
      </w:r>
      <w:r>
        <w:rPr>
          <w:rFonts w:ascii="Times New Roman" w:hAnsi="Times New Roman" w:cs="Times New Roman"/>
          <w:b/>
          <w:bCs/>
        </w:rPr>
        <w:t xml:space="preserve"> </w:t>
      </w:r>
      <w:r w:rsidRPr="0028368D">
        <w:rPr>
          <w:rFonts w:ascii="Times New Roman" w:hAnsi="Times New Roman" w:cs="Times New Roman"/>
          <w:b/>
          <w:bCs/>
        </w:rPr>
        <w:t>Avengers (Dis)assemble? Climate Awareness, Responsibility Attribution, and Superpower Perceptions in Africa</w:t>
      </w:r>
    </w:p>
    <w:p w14:paraId="6828F90E"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Table of Contents</w:t>
      </w:r>
    </w:p>
    <w:p w14:paraId="06E779B0" w14:textId="77777777" w:rsidR="0028368D" w:rsidRPr="0028368D" w:rsidRDefault="0028368D" w:rsidP="0028368D">
      <w:pPr>
        <w:numPr>
          <w:ilvl w:val="0"/>
          <w:numId w:val="1"/>
        </w:numPr>
        <w:jc w:val="both"/>
        <w:rPr>
          <w:rFonts w:ascii="Times New Roman" w:hAnsi="Times New Roman" w:cs="Times New Roman"/>
        </w:rPr>
      </w:pPr>
      <w:r w:rsidRPr="0028368D">
        <w:rPr>
          <w:rFonts w:ascii="Times New Roman" w:hAnsi="Times New Roman" w:cs="Times New Roman"/>
        </w:rPr>
        <w:t>Climate literacy restriction</w:t>
      </w:r>
    </w:p>
    <w:p w14:paraId="7934021E" w14:textId="77777777" w:rsidR="0028368D" w:rsidRPr="0028368D" w:rsidRDefault="0028368D" w:rsidP="0028368D">
      <w:pPr>
        <w:numPr>
          <w:ilvl w:val="0"/>
          <w:numId w:val="1"/>
        </w:numPr>
        <w:jc w:val="both"/>
        <w:rPr>
          <w:rFonts w:ascii="Times New Roman" w:hAnsi="Times New Roman" w:cs="Times New Roman"/>
        </w:rPr>
      </w:pPr>
      <w:r w:rsidRPr="0028368D">
        <w:rPr>
          <w:rFonts w:ascii="Times New Roman" w:hAnsi="Times New Roman" w:cs="Times New Roman"/>
        </w:rPr>
        <w:t>Full marginal means (weighted, adjusted)</w:t>
      </w:r>
    </w:p>
    <w:p w14:paraId="5B42270B" w14:textId="77777777" w:rsidR="0028368D" w:rsidRPr="0028368D" w:rsidRDefault="0028368D" w:rsidP="0028368D">
      <w:pPr>
        <w:numPr>
          <w:ilvl w:val="0"/>
          <w:numId w:val="1"/>
        </w:numPr>
        <w:jc w:val="both"/>
        <w:rPr>
          <w:rFonts w:ascii="Times New Roman" w:hAnsi="Times New Roman" w:cs="Times New Roman"/>
        </w:rPr>
      </w:pPr>
      <w:r w:rsidRPr="0028368D">
        <w:rPr>
          <w:rFonts w:ascii="Times New Roman" w:hAnsi="Times New Roman" w:cs="Times New Roman"/>
        </w:rPr>
        <w:t>Unweighted vs weighted comparison</w:t>
      </w:r>
    </w:p>
    <w:p w14:paraId="13E0AB70" w14:textId="77777777" w:rsidR="0028368D" w:rsidRPr="0028368D" w:rsidRDefault="0028368D" w:rsidP="0028368D">
      <w:pPr>
        <w:numPr>
          <w:ilvl w:val="0"/>
          <w:numId w:val="1"/>
        </w:numPr>
        <w:jc w:val="both"/>
        <w:rPr>
          <w:rFonts w:ascii="Times New Roman" w:hAnsi="Times New Roman" w:cs="Times New Roman"/>
        </w:rPr>
      </w:pPr>
      <w:r w:rsidRPr="0028368D">
        <w:rPr>
          <w:rFonts w:ascii="Times New Roman" w:hAnsi="Times New Roman" w:cs="Times New Roman"/>
        </w:rPr>
        <w:t>Complete-case specification</w:t>
      </w:r>
    </w:p>
    <w:p w14:paraId="2D1DA462" w14:textId="77777777" w:rsidR="0028368D" w:rsidRPr="0028368D" w:rsidRDefault="0028368D" w:rsidP="0028368D">
      <w:pPr>
        <w:numPr>
          <w:ilvl w:val="0"/>
          <w:numId w:val="1"/>
        </w:numPr>
        <w:jc w:val="both"/>
        <w:rPr>
          <w:rFonts w:ascii="Times New Roman" w:hAnsi="Times New Roman" w:cs="Times New Roman"/>
        </w:rPr>
      </w:pPr>
      <w:r w:rsidRPr="0028368D">
        <w:rPr>
          <w:rFonts w:ascii="Times New Roman" w:hAnsi="Times New Roman" w:cs="Times New Roman"/>
        </w:rPr>
        <w:t xml:space="preserve">Alternative attribution </w:t>
      </w:r>
      <w:proofErr w:type="gramStart"/>
      <w:r w:rsidRPr="0028368D">
        <w:rPr>
          <w:rFonts w:ascii="Times New Roman" w:hAnsi="Times New Roman" w:cs="Times New Roman"/>
        </w:rPr>
        <w:t>recode</w:t>
      </w:r>
      <w:proofErr w:type="gramEnd"/>
    </w:p>
    <w:p w14:paraId="6537FC05" w14:textId="77777777" w:rsidR="0028368D" w:rsidRPr="0028368D" w:rsidRDefault="0028368D" w:rsidP="0028368D">
      <w:pPr>
        <w:numPr>
          <w:ilvl w:val="0"/>
          <w:numId w:val="1"/>
        </w:numPr>
        <w:jc w:val="both"/>
        <w:rPr>
          <w:rFonts w:ascii="Times New Roman" w:hAnsi="Times New Roman" w:cs="Times New Roman"/>
        </w:rPr>
      </w:pPr>
      <w:r w:rsidRPr="0028368D">
        <w:rPr>
          <w:rFonts w:ascii="Times New Roman" w:hAnsi="Times New Roman" w:cs="Times New Roman"/>
        </w:rPr>
        <w:t>Survey questions and coding</w:t>
      </w:r>
    </w:p>
    <w:p w14:paraId="2FCC436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pict w14:anchorId="06221D41">
          <v:rect id="_x0000_i1061" style="width:0;height:1.5pt" o:hralign="center" o:hrstd="t" o:hr="t" fillcolor="#a0a0a0" stroked="f"/>
        </w:pict>
      </w:r>
    </w:p>
    <w:p w14:paraId="4A429C5C"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Supplementary Note 1: Climate literacy restriction</w:t>
      </w:r>
    </w:p>
    <w:p w14:paraId="78755C5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The primary analysis uses the climate-aware sample (N = 24,674), defined as respondents who reported having heard of climate change (Q60A = 1) and gave codable responses on both attribution items (Q61B, Q62D). This is the appropriate population for testing the attribution mechanism, because the mechanism concerns beliefs about </w:t>
      </w:r>
      <w:r w:rsidRPr="0028368D">
        <w:rPr>
          <w:rFonts w:ascii="Times New Roman" w:hAnsi="Times New Roman" w:cs="Times New Roman"/>
          <w:i/>
          <w:iCs/>
        </w:rPr>
        <w:t>who is responsible</w:t>
      </w:r>
      <w:r w:rsidRPr="0028368D">
        <w:rPr>
          <w:rFonts w:ascii="Times New Roman" w:hAnsi="Times New Roman" w:cs="Times New Roman"/>
        </w:rPr>
        <w:t>, not the depth of scientific understanding. Andrews et al. (2025), whose work this paper extends, also analyse attribution among climate-aware respondents.</w:t>
      </w:r>
    </w:p>
    <w:p w14:paraId="4965986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To assess whether the results are driven by respondents who have heard of climate change but do not recognise its anthropogenic origins, we re-estimate the principal models using a stricter climate-literacy criterion following Simpson et al. (2021). Climate-literate respondents are defined as those who (a) have heard of climate change (Q60A = 1) and (b) identify human activity, either independently (Q61A = 1) or alongside natural processes (Q61A = 3), as a cause. This reduces the sample from 24,674 to 20,043 respondents (81.2% of the aware sample).</w:t>
      </w:r>
    </w:p>
    <w:p w14:paraId="5993A26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S1. Attribution frameworks, aware vs literate samples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5"/>
        <w:gridCol w:w="951"/>
        <w:gridCol w:w="1625"/>
        <w:gridCol w:w="1120"/>
        <w:gridCol w:w="1808"/>
      </w:tblGrid>
      <w:tr w:rsidR="0028368D" w:rsidRPr="0028368D" w14:paraId="5522B010" w14:textId="77777777">
        <w:trPr>
          <w:tblHeader/>
          <w:tblCellSpacing w:w="15" w:type="dxa"/>
        </w:trPr>
        <w:tc>
          <w:tcPr>
            <w:tcW w:w="0" w:type="auto"/>
            <w:vAlign w:val="center"/>
            <w:hideMark/>
          </w:tcPr>
          <w:p w14:paraId="0FCAD344"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Attribution Type</w:t>
            </w:r>
          </w:p>
        </w:tc>
        <w:tc>
          <w:tcPr>
            <w:tcW w:w="0" w:type="auto"/>
            <w:vAlign w:val="center"/>
            <w:hideMark/>
          </w:tcPr>
          <w:p w14:paraId="73179CDC"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Aware N</w:t>
            </w:r>
          </w:p>
        </w:tc>
        <w:tc>
          <w:tcPr>
            <w:tcW w:w="0" w:type="auto"/>
            <w:vAlign w:val="center"/>
            <w:hideMark/>
          </w:tcPr>
          <w:p w14:paraId="6BE996DC"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Aware % (</w:t>
            </w:r>
            <w:proofErr w:type="spellStart"/>
            <w:r w:rsidRPr="0028368D">
              <w:rPr>
                <w:rFonts w:ascii="Times New Roman" w:hAnsi="Times New Roman" w:cs="Times New Roman"/>
                <w:b/>
                <w:bCs/>
              </w:rPr>
              <w:t>wtd</w:t>
            </w:r>
            <w:proofErr w:type="spellEnd"/>
            <w:r w:rsidRPr="0028368D">
              <w:rPr>
                <w:rFonts w:ascii="Times New Roman" w:hAnsi="Times New Roman" w:cs="Times New Roman"/>
                <w:b/>
                <w:bCs/>
              </w:rPr>
              <w:t>)</w:t>
            </w:r>
          </w:p>
        </w:tc>
        <w:tc>
          <w:tcPr>
            <w:tcW w:w="0" w:type="auto"/>
            <w:vAlign w:val="center"/>
            <w:hideMark/>
          </w:tcPr>
          <w:p w14:paraId="7B4D6856"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Literate N</w:t>
            </w:r>
          </w:p>
        </w:tc>
        <w:tc>
          <w:tcPr>
            <w:tcW w:w="0" w:type="auto"/>
            <w:vAlign w:val="center"/>
            <w:hideMark/>
          </w:tcPr>
          <w:p w14:paraId="63A8932A"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Literate % (</w:t>
            </w:r>
            <w:proofErr w:type="spellStart"/>
            <w:r w:rsidRPr="0028368D">
              <w:rPr>
                <w:rFonts w:ascii="Times New Roman" w:hAnsi="Times New Roman" w:cs="Times New Roman"/>
                <w:b/>
                <w:bCs/>
              </w:rPr>
              <w:t>wtd</w:t>
            </w:r>
            <w:proofErr w:type="spellEnd"/>
            <w:r w:rsidRPr="0028368D">
              <w:rPr>
                <w:rFonts w:ascii="Times New Roman" w:hAnsi="Times New Roman" w:cs="Times New Roman"/>
                <w:b/>
                <w:bCs/>
              </w:rPr>
              <w:t>)</w:t>
            </w:r>
          </w:p>
        </w:tc>
      </w:tr>
      <w:tr w:rsidR="0028368D" w:rsidRPr="0028368D" w14:paraId="09EC50D4" w14:textId="77777777">
        <w:trPr>
          <w:tblCellSpacing w:w="15" w:type="dxa"/>
        </w:trPr>
        <w:tc>
          <w:tcPr>
            <w:tcW w:w="0" w:type="auto"/>
            <w:vAlign w:val="center"/>
            <w:hideMark/>
          </w:tcPr>
          <w:p w14:paraId="2EC92EA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internaliser</w:t>
            </w:r>
            <w:proofErr w:type="spellEnd"/>
          </w:p>
        </w:tc>
        <w:tc>
          <w:tcPr>
            <w:tcW w:w="0" w:type="auto"/>
            <w:vAlign w:val="center"/>
            <w:hideMark/>
          </w:tcPr>
          <w:p w14:paraId="77108D0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11,082</w:t>
            </w:r>
          </w:p>
        </w:tc>
        <w:tc>
          <w:tcPr>
            <w:tcW w:w="0" w:type="auto"/>
            <w:vAlign w:val="center"/>
            <w:hideMark/>
          </w:tcPr>
          <w:p w14:paraId="50FEE16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43.4</w:t>
            </w:r>
          </w:p>
        </w:tc>
        <w:tc>
          <w:tcPr>
            <w:tcW w:w="0" w:type="auto"/>
            <w:vAlign w:val="center"/>
            <w:hideMark/>
          </w:tcPr>
          <w:p w14:paraId="5D1A8F3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9,321</w:t>
            </w:r>
          </w:p>
        </w:tc>
        <w:tc>
          <w:tcPr>
            <w:tcW w:w="0" w:type="auto"/>
            <w:vAlign w:val="center"/>
            <w:hideMark/>
          </w:tcPr>
          <w:p w14:paraId="5EF5773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45.1</w:t>
            </w:r>
          </w:p>
        </w:tc>
      </w:tr>
      <w:tr w:rsidR="0028368D" w:rsidRPr="0028368D" w14:paraId="12FB4A5E" w14:textId="77777777">
        <w:trPr>
          <w:tblCellSpacing w:w="15" w:type="dxa"/>
        </w:trPr>
        <w:tc>
          <w:tcPr>
            <w:tcW w:w="0" w:type="auto"/>
            <w:vAlign w:val="center"/>
            <w:hideMark/>
          </w:tcPr>
          <w:p w14:paraId="49E59D8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Sovereign adapter</w:t>
            </w:r>
          </w:p>
        </w:tc>
        <w:tc>
          <w:tcPr>
            <w:tcW w:w="0" w:type="auto"/>
            <w:vAlign w:val="center"/>
            <w:hideMark/>
          </w:tcPr>
          <w:p w14:paraId="08D9D71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7,167</w:t>
            </w:r>
          </w:p>
        </w:tc>
        <w:tc>
          <w:tcPr>
            <w:tcW w:w="0" w:type="auto"/>
            <w:vAlign w:val="center"/>
            <w:hideMark/>
          </w:tcPr>
          <w:p w14:paraId="281DF91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28.9</w:t>
            </w:r>
          </w:p>
        </w:tc>
        <w:tc>
          <w:tcPr>
            <w:tcW w:w="0" w:type="auto"/>
            <w:vAlign w:val="center"/>
            <w:hideMark/>
          </w:tcPr>
          <w:p w14:paraId="20E95F0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5,540</w:t>
            </w:r>
          </w:p>
        </w:tc>
        <w:tc>
          <w:tcPr>
            <w:tcW w:w="0" w:type="auto"/>
            <w:vAlign w:val="center"/>
            <w:hideMark/>
          </w:tcPr>
          <w:p w14:paraId="33EFD64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27.7</w:t>
            </w:r>
          </w:p>
        </w:tc>
      </w:tr>
      <w:tr w:rsidR="0028368D" w:rsidRPr="0028368D" w14:paraId="691189B6" w14:textId="77777777">
        <w:trPr>
          <w:tblCellSpacing w:w="15" w:type="dxa"/>
        </w:trPr>
        <w:tc>
          <w:tcPr>
            <w:tcW w:w="0" w:type="auto"/>
            <w:vAlign w:val="center"/>
            <w:hideMark/>
          </w:tcPr>
          <w:p w14:paraId="4D60A7F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externaliser</w:t>
            </w:r>
            <w:proofErr w:type="spellEnd"/>
          </w:p>
        </w:tc>
        <w:tc>
          <w:tcPr>
            <w:tcW w:w="0" w:type="auto"/>
            <w:vAlign w:val="center"/>
            <w:hideMark/>
          </w:tcPr>
          <w:p w14:paraId="1018112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5,219</w:t>
            </w:r>
          </w:p>
        </w:tc>
        <w:tc>
          <w:tcPr>
            <w:tcW w:w="0" w:type="auto"/>
            <w:vAlign w:val="center"/>
            <w:hideMark/>
          </w:tcPr>
          <w:p w14:paraId="065628D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22.6</w:t>
            </w:r>
          </w:p>
        </w:tc>
        <w:tc>
          <w:tcPr>
            <w:tcW w:w="0" w:type="auto"/>
            <w:vAlign w:val="center"/>
            <w:hideMark/>
          </w:tcPr>
          <w:p w14:paraId="326A3BC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4,182</w:t>
            </w:r>
          </w:p>
        </w:tc>
        <w:tc>
          <w:tcPr>
            <w:tcW w:w="0" w:type="auto"/>
            <w:vAlign w:val="center"/>
            <w:hideMark/>
          </w:tcPr>
          <w:p w14:paraId="3084933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22.2</w:t>
            </w:r>
          </w:p>
        </w:tc>
      </w:tr>
      <w:tr w:rsidR="0028368D" w:rsidRPr="0028368D" w14:paraId="1F4DB0EF" w14:textId="77777777">
        <w:trPr>
          <w:tblCellSpacing w:w="15" w:type="dxa"/>
        </w:trPr>
        <w:tc>
          <w:tcPr>
            <w:tcW w:w="0" w:type="auto"/>
            <w:vAlign w:val="center"/>
            <w:hideMark/>
          </w:tcPr>
          <w:p w14:paraId="60DD034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Inconsistent </w:t>
            </w:r>
            <w:proofErr w:type="spellStart"/>
            <w:r w:rsidRPr="0028368D">
              <w:rPr>
                <w:rFonts w:ascii="Times New Roman" w:hAnsi="Times New Roman" w:cs="Times New Roman"/>
              </w:rPr>
              <w:t>externaliser</w:t>
            </w:r>
            <w:proofErr w:type="spellEnd"/>
          </w:p>
        </w:tc>
        <w:tc>
          <w:tcPr>
            <w:tcW w:w="0" w:type="auto"/>
            <w:vAlign w:val="center"/>
            <w:hideMark/>
          </w:tcPr>
          <w:p w14:paraId="19D4884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1,206</w:t>
            </w:r>
          </w:p>
        </w:tc>
        <w:tc>
          <w:tcPr>
            <w:tcW w:w="0" w:type="auto"/>
            <w:vAlign w:val="center"/>
            <w:hideMark/>
          </w:tcPr>
          <w:p w14:paraId="097DB7F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5.1</w:t>
            </w:r>
          </w:p>
        </w:tc>
        <w:tc>
          <w:tcPr>
            <w:tcW w:w="0" w:type="auto"/>
            <w:vAlign w:val="center"/>
            <w:hideMark/>
          </w:tcPr>
          <w:p w14:paraId="3706FE8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1,000</w:t>
            </w:r>
          </w:p>
        </w:tc>
        <w:tc>
          <w:tcPr>
            <w:tcW w:w="0" w:type="auto"/>
            <w:vAlign w:val="center"/>
            <w:hideMark/>
          </w:tcPr>
          <w:p w14:paraId="225E862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4.9</w:t>
            </w:r>
          </w:p>
        </w:tc>
      </w:tr>
      <w:tr w:rsidR="0028368D" w:rsidRPr="0028368D" w14:paraId="7DAF15BA" w14:textId="77777777">
        <w:trPr>
          <w:tblCellSpacing w:w="15" w:type="dxa"/>
        </w:trPr>
        <w:tc>
          <w:tcPr>
            <w:tcW w:w="0" w:type="auto"/>
            <w:vAlign w:val="center"/>
            <w:hideMark/>
          </w:tcPr>
          <w:p w14:paraId="028972B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Total</w:t>
            </w:r>
          </w:p>
        </w:tc>
        <w:tc>
          <w:tcPr>
            <w:tcW w:w="0" w:type="auto"/>
            <w:vAlign w:val="center"/>
            <w:hideMark/>
          </w:tcPr>
          <w:p w14:paraId="6E03225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24,674</w:t>
            </w:r>
          </w:p>
        </w:tc>
        <w:tc>
          <w:tcPr>
            <w:tcW w:w="0" w:type="auto"/>
            <w:vAlign w:val="center"/>
            <w:hideMark/>
          </w:tcPr>
          <w:p w14:paraId="094A06A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100.0</w:t>
            </w:r>
          </w:p>
        </w:tc>
        <w:tc>
          <w:tcPr>
            <w:tcW w:w="0" w:type="auto"/>
            <w:vAlign w:val="center"/>
            <w:hideMark/>
          </w:tcPr>
          <w:p w14:paraId="77ED2BE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20,043</w:t>
            </w:r>
          </w:p>
        </w:tc>
        <w:tc>
          <w:tcPr>
            <w:tcW w:w="0" w:type="auto"/>
            <w:vAlign w:val="center"/>
            <w:hideMark/>
          </w:tcPr>
          <w:p w14:paraId="60BAE9F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100.0</w:t>
            </w:r>
          </w:p>
        </w:tc>
      </w:tr>
    </w:tbl>
    <w:p w14:paraId="40E16EB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i/>
          <w:iCs/>
        </w:rPr>
        <w:t>Note:</w:t>
      </w:r>
      <w:r w:rsidRPr="0028368D">
        <w:rPr>
          <w:rFonts w:ascii="Times New Roman" w:hAnsi="Times New Roman" w:cs="Times New Roman"/>
        </w:rPr>
        <w:t xml:space="preserve"> Weighted percentages use </w:t>
      </w:r>
      <w:proofErr w:type="spellStart"/>
      <w:r w:rsidRPr="0028368D">
        <w:rPr>
          <w:rFonts w:ascii="Times New Roman" w:hAnsi="Times New Roman" w:cs="Times New Roman"/>
        </w:rPr>
        <w:t>Combinwt_new_hh</w:t>
      </w:r>
      <w:proofErr w:type="spellEnd"/>
      <w:r w:rsidRPr="0028368D">
        <w:rPr>
          <w:rFonts w:ascii="Times New Roman" w:hAnsi="Times New Roman" w:cs="Times New Roman"/>
        </w:rPr>
        <w:t>. Literate Ns are approximate counts in each category; the percentages are weighted.</w:t>
      </w:r>
    </w:p>
    <w:p w14:paraId="23613CE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lastRenderedPageBreak/>
        <w:t>Table S2. Cause and remedy attribution, aware vs literate samples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5"/>
        <w:gridCol w:w="1325"/>
        <w:gridCol w:w="1508"/>
      </w:tblGrid>
      <w:tr w:rsidR="0028368D" w:rsidRPr="0028368D" w14:paraId="3A424699" w14:textId="77777777">
        <w:trPr>
          <w:tblHeader/>
          <w:tblCellSpacing w:w="15" w:type="dxa"/>
        </w:trPr>
        <w:tc>
          <w:tcPr>
            <w:tcW w:w="0" w:type="auto"/>
            <w:vAlign w:val="center"/>
            <w:hideMark/>
          </w:tcPr>
          <w:p w14:paraId="646AE66D"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Measure</w:t>
            </w:r>
          </w:p>
        </w:tc>
        <w:tc>
          <w:tcPr>
            <w:tcW w:w="0" w:type="auto"/>
            <w:vAlign w:val="center"/>
            <w:hideMark/>
          </w:tcPr>
          <w:p w14:paraId="7416C261"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Aware (</w:t>
            </w:r>
            <w:proofErr w:type="spellStart"/>
            <w:r w:rsidRPr="0028368D">
              <w:rPr>
                <w:rFonts w:ascii="Times New Roman" w:hAnsi="Times New Roman" w:cs="Times New Roman"/>
                <w:b/>
                <w:bCs/>
              </w:rPr>
              <w:t>wtd</w:t>
            </w:r>
            <w:proofErr w:type="spellEnd"/>
            <w:r w:rsidRPr="0028368D">
              <w:rPr>
                <w:rFonts w:ascii="Times New Roman" w:hAnsi="Times New Roman" w:cs="Times New Roman"/>
                <w:b/>
                <w:bCs/>
              </w:rPr>
              <w:t>)</w:t>
            </w:r>
          </w:p>
        </w:tc>
        <w:tc>
          <w:tcPr>
            <w:tcW w:w="0" w:type="auto"/>
            <w:vAlign w:val="center"/>
            <w:hideMark/>
          </w:tcPr>
          <w:p w14:paraId="282BFAD3"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Literate (</w:t>
            </w:r>
            <w:proofErr w:type="spellStart"/>
            <w:r w:rsidRPr="0028368D">
              <w:rPr>
                <w:rFonts w:ascii="Times New Roman" w:hAnsi="Times New Roman" w:cs="Times New Roman"/>
                <w:b/>
                <w:bCs/>
              </w:rPr>
              <w:t>wtd</w:t>
            </w:r>
            <w:proofErr w:type="spellEnd"/>
            <w:r w:rsidRPr="0028368D">
              <w:rPr>
                <w:rFonts w:ascii="Times New Roman" w:hAnsi="Times New Roman" w:cs="Times New Roman"/>
                <w:b/>
                <w:bCs/>
              </w:rPr>
              <w:t>)</w:t>
            </w:r>
          </w:p>
        </w:tc>
      </w:tr>
      <w:tr w:rsidR="0028368D" w:rsidRPr="0028368D" w14:paraId="62801260" w14:textId="77777777">
        <w:trPr>
          <w:tblCellSpacing w:w="15" w:type="dxa"/>
        </w:trPr>
        <w:tc>
          <w:tcPr>
            <w:tcW w:w="0" w:type="auto"/>
            <w:vAlign w:val="center"/>
            <w:hideMark/>
          </w:tcPr>
          <w:p w14:paraId="1B9B1C2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Blame foreign cause</w:t>
            </w:r>
          </w:p>
        </w:tc>
        <w:tc>
          <w:tcPr>
            <w:tcW w:w="0" w:type="auto"/>
            <w:vAlign w:val="center"/>
            <w:hideMark/>
          </w:tcPr>
          <w:p w14:paraId="28948D7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51.5%</w:t>
            </w:r>
          </w:p>
        </w:tc>
        <w:tc>
          <w:tcPr>
            <w:tcW w:w="0" w:type="auto"/>
            <w:vAlign w:val="center"/>
            <w:hideMark/>
          </w:tcPr>
          <w:p w14:paraId="6604D58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49.9%</w:t>
            </w:r>
          </w:p>
        </w:tc>
      </w:tr>
      <w:tr w:rsidR="0028368D" w:rsidRPr="0028368D" w14:paraId="3585402E" w14:textId="77777777">
        <w:trPr>
          <w:tblCellSpacing w:w="15" w:type="dxa"/>
        </w:trPr>
        <w:tc>
          <w:tcPr>
            <w:tcW w:w="0" w:type="auto"/>
            <w:vAlign w:val="center"/>
            <w:hideMark/>
          </w:tcPr>
          <w:p w14:paraId="664DDC8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Expect foreign remedy</w:t>
            </w:r>
          </w:p>
        </w:tc>
        <w:tc>
          <w:tcPr>
            <w:tcW w:w="0" w:type="auto"/>
            <w:vAlign w:val="center"/>
            <w:hideMark/>
          </w:tcPr>
          <w:p w14:paraId="5411A68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27.7%</w:t>
            </w:r>
          </w:p>
        </w:tc>
        <w:tc>
          <w:tcPr>
            <w:tcW w:w="0" w:type="auto"/>
            <w:vAlign w:val="center"/>
            <w:hideMark/>
          </w:tcPr>
          <w:p w14:paraId="442E0BB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27.2%</w:t>
            </w:r>
          </w:p>
        </w:tc>
      </w:tr>
    </w:tbl>
    <w:p w14:paraId="53FBFB7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S3. US–China gap by attribution type, aware vs literate samples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8"/>
        <w:gridCol w:w="1653"/>
        <w:gridCol w:w="904"/>
        <w:gridCol w:w="1814"/>
        <w:gridCol w:w="1087"/>
      </w:tblGrid>
      <w:tr w:rsidR="0028368D" w:rsidRPr="0028368D" w14:paraId="032FADB0" w14:textId="77777777">
        <w:trPr>
          <w:tblHeader/>
          <w:tblCellSpacing w:w="15" w:type="dxa"/>
        </w:trPr>
        <w:tc>
          <w:tcPr>
            <w:tcW w:w="0" w:type="auto"/>
            <w:vAlign w:val="center"/>
            <w:hideMark/>
          </w:tcPr>
          <w:p w14:paraId="04EB5E33"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Term</w:t>
            </w:r>
          </w:p>
        </w:tc>
        <w:tc>
          <w:tcPr>
            <w:tcW w:w="0" w:type="auto"/>
            <w:vAlign w:val="center"/>
            <w:hideMark/>
          </w:tcPr>
          <w:p w14:paraId="54898D10"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Aware Estimate</w:t>
            </w:r>
          </w:p>
        </w:tc>
        <w:tc>
          <w:tcPr>
            <w:tcW w:w="0" w:type="auto"/>
            <w:vAlign w:val="center"/>
            <w:hideMark/>
          </w:tcPr>
          <w:p w14:paraId="3BF5840B"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Aware p</w:t>
            </w:r>
          </w:p>
        </w:tc>
        <w:tc>
          <w:tcPr>
            <w:tcW w:w="0" w:type="auto"/>
            <w:vAlign w:val="center"/>
            <w:hideMark/>
          </w:tcPr>
          <w:p w14:paraId="54D75CAE"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Literate Estimate</w:t>
            </w:r>
          </w:p>
        </w:tc>
        <w:tc>
          <w:tcPr>
            <w:tcW w:w="0" w:type="auto"/>
            <w:vAlign w:val="center"/>
            <w:hideMark/>
          </w:tcPr>
          <w:p w14:paraId="650B7260"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Literate p</w:t>
            </w:r>
          </w:p>
        </w:tc>
      </w:tr>
      <w:tr w:rsidR="0028368D" w:rsidRPr="0028368D" w14:paraId="4F0FFCBB" w14:textId="77777777">
        <w:trPr>
          <w:tblCellSpacing w:w="15" w:type="dxa"/>
        </w:trPr>
        <w:tc>
          <w:tcPr>
            <w:tcW w:w="0" w:type="auto"/>
            <w:vAlign w:val="center"/>
            <w:hideMark/>
          </w:tcPr>
          <w:p w14:paraId="5726E02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(vs. China), </w:t>
            </w:r>
            <w:proofErr w:type="spellStart"/>
            <w:r w:rsidRPr="0028368D">
              <w:rPr>
                <w:rFonts w:ascii="Times New Roman" w:hAnsi="Times New Roman" w:cs="Times New Roman"/>
              </w:rPr>
              <w:t>internaliser</w:t>
            </w:r>
            <w:proofErr w:type="spellEnd"/>
            <w:r w:rsidRPr="0028368D">
              <w:rPr>
                <w:rFonts w:ascii="Times New Roman" w:hAnsi="Times New Roman" w:cs="Times New Roman"/>
              </w:rPr>
              <w:t xml:space="preserve"> reference</w:t>
            </w:r>
          </w:p>
        </w:tc>
        <w:tc>
          <w:tcPr>
            <w:tcW w:w="0" w:type="auto"/>
            <w:vAlign w:val="center"/>
            <w:hideMark/>
          </w:tcPr>
          <w:p w14:paraId="0971056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−0.0641</w:t>
            </w:r>
          </w:p>
        </w:tc>
        <w:tc>
          <w:tcPr>
            <w:tcW w:w="0" w:type="auto"/>
            <w:vAlign w:val="center"/>
            <w:hideMark/>
          </w:tcPr>
          <w:p w14:paraId="4FE8AF0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2C8FC0B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−0.0621</w:t>
            </w:r>
          </w:p>
        </w:tc>
        <w:tc>
          <w:tcPr>
            <w:tcW w:w="0" w:type="auto"/>
            <w:vAlign w:val="center"/>
            <w:hideMark/>
          </w:tcPr>
          <w:p w14:paraId="21E0FB2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09C62E86" w14:textId="77777777">
        <w:trPr>
          <w:tblCellSpacing w:w="15" w:type="dxa"/>
        </w:trPr>
        <w:tc>
          <w:tcPr>
            <w:tcW w:w="0" w:type="auto"/>
            <w:vAlign w:val="center"/>
            <w:hideMark/>
          </w:tcPr>
          <w:p w14:paraId="335F6B8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(vs. China), </w:t>
            </w:r>
            <w:proofErr w:type="spellStart"/>
            <w:r w:rsidRPr="0028368D">
              <w:rPr>
                <w:rFonts w:ascii="Times New Roman" w:hAnsi="Times New Roman" w:cs="Times New Roman"/>
              </w:rPr>
              <w:t>internaliser</w:t>
            </w:r>
            <w:proofErr w:type="spellEnd"/>
            <w:r w:rsidRPr="0028368D">
              <w:rPr>
                <w:rFonts w:ascii="Times New Roman" w:hAnsi="Times New Roman" w:cs="Times New Roman"/>
              </w:rPr>
              <w:t xml:space="preserve"> reference</w:t>
            </w:r>
          </w:p>
        </w:tc>
        <w:tc>
          <w:tcPr>
            <w:tcW w:w="0" w:type="auto"/>
            <w:vAlign w:val="center"/>
            <w:hideMark/>
          </w:tcPr>
          <w:p w14:paraId="6EADBCF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−0.0500</w:t>
            </w:r>
          </w:p>
        </w:tc>
        <w:tc>
          <w:tcPr>
            <w:tcW w:w="0" w:type="auto"/>
            <w:vAlign w:val="center"/>
            <w:hideMark/>
          </w:tcPr>
          <w:p w14:paraId="1A381BA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758A160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−0.0479</w:t>
            </w:r>
          </w:p>
        </w:tc>
        <w:tc>
          <w:tcPr>
            <w:tcW w:w="0" w:type="auto"/>
            <w:vAlign w:val="center"/>
            <w:hideMark/>
          </w:tcPr>
          <w:p w14:paraId="4D7B2EF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6E7F5F49" w14:textId="77777777">
        <w:trPr>
          <w:tblCellSpacing w:w="15" w:type="dxa"/>
        </w:trPr>
        <w:tc>
          <w:tcPr>
            <w:tcW w:w="0" w:type="auto"/>
            <w:vAlign w:val="center"/>
            <w:hideMark/>
          </w:tcPr>
          <w:p w14:paraId="12F38E4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 Sovereign adapter</w:t>
            </w:r>
          </w:p>
        </w:tc>
        <w:tc>
          <w:tcPr>
            <w:tcW w:w="0" w:type="auto"/>
            <w:vAlign w:val="center"/>
            <w:hideMark/>
          </w:tcPr>
          <w:p w14:paraId="24A59A6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+0.0149</w:t>
            </w:r>
          </w:p>
        </w:tc>
        <w:tc>
          <w:tcPr>
            <w:tcW w:w="0" w:type="auto"/>
            <w:vAlign w:val="center"/>
            <w:hideMark/>
          </w:tcPr>
          <w:p w14:paraId="002110C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0.035</w:t>
            </w:r>
          </w:p>
        </w:tc>
        <w:tc>
          <w:tcPr>
            <w:tcW w:w="0" w:type="auto"/>
            <w:vAlign w:val="center"/>
            <w:hideMark/>
          </w:tcPr>
          <w:p w14:paraId="0F8D4DF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+0.0133</w:t>
            </w:r>
          </w:p>
        </w:tc>
        <w:tc>
          <w:tcPr>
            <w:tcW w:w="0" w:type="auto"/>
            <w:vAlign w:val="center"/>
            <w:hideMark/>
          </w:tcPr>
          <w:p w14:paraId="3AF545B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0.087</w:t>
            </w:r>
          </w:p>
        </w:tc>
      </w:tr>
      <w:tr w:rsidR="0028368D" w:rsidRPr="0028368D" w14:paraId="4690E80F" w14:textId="77777777">
        <w:trPr>
          <w:tblCellSpacing w:w="15" w:type="dxa"/>
        </w:trPr>
        <w:tc>
          <w:tcPr>
            <w:tcW w:w="0" w:type="auto"/>
            <w:vAlign w:val="center"/>
            <w:hideMark/>
          </w:tcPr>
          <w:p w14:paraId="27776A9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 Sovereign adapter</w:t>
            </w:r>
          </w:p>
        </w:tc>
        <w:tc>
          <w:tcPr>
            <w:tcW w:w="0" w:type="auto"/>
            <w:vAlign w:val="center"/>
            <w:hideMark/>
          </w:tcPr>
          <w:p w14:paraId="2B40A1B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+0.0067</w:t>
            </w:r>
          </w:p>
        </w:tc>
        <w:tc>
          <w:tcPr>
            <w:tcW w:w="0" w:type="auto"/>
            <w:vAlign w:val="center"/>
            <w:hideMark/>
          </w:tcPr>
          <w:p w14:paraId="6989675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0.352</w:t>
            </w:r>
          </w:p>
        </w:tc>
        <w:tc>
          <w:tcPr>
            <w:tcW w:w="0" w:type="auto"/>
            <w:vAlign w:val="center"/>
            <w:hideMark/>
          </w:tcPr>
          <w:p w14:paraId="574E375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+0.0112</w:t>
            </w:r>
          </w:p>
        </w:tc>
        <w:tc>
          <w:tcPr>
            <w:tcW w:w="0" w:type="auto"/>
            <w:vAlign w:val="center"/>
            <w:hideMark/>
          </w:tcPr>
          <w:p w14:paraId="6EAEE4E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0.147</w:t>
            </w:r>
          </w:p>
        </w:tc>
      </w:tr>
      <w:tr w:rsidR="0028368D" w:rsidRPr="0028368D" w14:paraId="74BE134B" w14:textId="77777777">
        <w:trPr>
          <w:tblCellSpacing w:w="15" w:type="dxa"/>
        </w:trPr>
        <w:tc>
          <w:tcPr>
            <w:tcW w:w="0" w:type="auto"/>
            <w:vAlign w:val="center"/>
            <w:hideMark/>
          </w:tcPr>
          <w:p w14:paraId="4023557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 Consistent </w:t>
            </w:r>
            <w:proofErr w:type="spellStart"/>
            <w:r w:rsidRPr="0028368D">
              <w:rPr>
                <w:rFonts w:ascii="Times New Roman" w:hAnsi="Times New Roman" w:cs="Times New Roman"/>
              </w:rPr>
              <w:t>externaliser</w:t>
            </w:r>
            <w:proofErr w:type="spellEnd"/>
          </w:p>
        </w:tc>
        <w:tc>
          <w:tcPr>
            <w:tcW w:w="0" w:type="auto"/>
            <w:vAlign w:val="center"/>
            <w:hideMark/>
          </w:tcPr>
          <w:p w14:paraId="2691F9F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−0.0218</w:t>
            </w:r>
          </w:p>
        </w:tc>
        <w:tc>
          <w:tcPr>
            <w:tcW w:w="0" w:type="auto"/>
            <w:vAlign w:val="center"/>
            <w:hideMark/>
          </w:tcPr>
          <w:p w14:paraId="4930374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w:t>
            </w:r>
          </w:p>
        </w:tc>
        <w:tc>
          <w:tcPr>
            <w:tcW w:w="0" w:type="auto"/>
            <w:vAlign w:val="center"/>
            <w:hideMark/>
          </w:tcPr>
          <w:p w14:paraId="59C4720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−0.0253</w:t>
            </w:r>
          </w:p>
        </w:tc>
        <w:tc>
          <w:tcPr>
            <w:tcW w:w="0" w:type="auto"/>
            <w:vAlign w:val="center"/>
            <w:hideMark/>
          </w:tcPr>
          <w:p w14:paraId="605695C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0.003</w:t>
            </w:r>
          </w:p>
        </w:tc>
      </w:tr>
      <w:tr w:rsidR="0028368D" w:rsidRPr="0028368D" w14:paraId="0610E84A" w14:textId="77777777">
        <w:trPr>
          <w:tblCellSpacing w:w="15" w:type="dxa"/>
        </w:trPr>
        <w:tc>
          <w:tcPr>
            <w:tcW w:w="0" w:type="auto"/>
            <w:vAlign w:val="center"/>
            <w:hideMark/>
          </w:tcPr>
          <w:p w14:paraId="3AF7101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 Consistent </w:t>
            </w:r>
            <w:proofErr w:type="spellStart"/>
            <w:r w:rsidRPr="0028368D">
              <w:rPr>
                <w:rFonts w:ascii="Times New Roman" w:hAnsi="Times New Roman" w:cs="Times New Roman"/>
              </w:rPr>
              <w:t>externaliser</w:t>
            </w:r>
            <w:proofErr w:type="spellEnd"/>
          </w:p>
        </w:tc>
        <w:tc>
          <w:tcPr>
            <w:tcW w:w="0" w:type="auto"/>
            <w:vAlign w:val="center"/>
            <w:hideMark/>
          </w:tcPr>
          <w:p w14:paraId="333044B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−0.0170</w:t>
            </w:r>
          </w:p>
        </w:tc>
        <w:tc>
          <w:tcPr>
            <w:tcW w:w="0" w:type="auto"/>
            <w:vAlign w:val="center"/>
            <w:hideMark/>
          </w:tcPr>
          <w:p w14:paraId="5DC86FC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0.026</w:t>
            </w:r>
          </w:p>
        </w:tc>
        <w:tc>
          <w:tcPr>
            <w:tcW w:w="0" w:type="auto"/>
            <w:vAlign w:val="center"/>
            <w:hideMark/>
          </w:tcPr>
          <w:p w14:paraId="6D74FC9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−0.0168</w:t>
            </w:r>
          </w:p>
        </w:tc>
        <w:tc>
          <w:tcPr>
            <w:tcW w:w="0" w:type="auto"/>
            <w:vAlign w:val="center"/>
            <w:hideMark/>
          </w:tcPr>
          <w:p w14:paraId="3C0AD16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0.045</w:t>
            </w:r>
          </w:p>
        </w:tc>
      </w:tr>
      <w:tr w:rsidR="0028368D" w:rsidRPr="0028368D" w14:paraId="105F63AF" w14:textId="77777777">
        <w:trPr>
          <w:tblCellSpacing w:w="15" w:type="dxa"/>
        </w:trPr>
        <w:tc>
          <w:tcPr>
            <w:tcW w:w="0" w:type="auto"/>
            <w:vAlign w:val="center"/>
            <w:hideMark/>
          </w:tcPr>
          <w:p w14:paraId="51AC205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 Inconsistent </w:t>
            </w:r>
            <w:proofErr w:type="spellStart"/>
            <w:r w:rsidRPr="0028368D">
              <w:rPr>
                <w:rFonts w:ascii="Times New Roman" w:hAnsi="Times New Roman" w:cs="Times New Roman"/>
              </w:rPr>
              <w:t>externaliser</w:t>
            </w:r>
            <w:proofErr w:type="spellEnd"/>
          </w:p>
        </w:tc>
        <w:tc>
          <w:tcPr>
            <w:tcW w:w="0" w:type="auto"/>
            <w:vAlign w:val="center"/>
            <w:hideMark/>
          </w:tcPr>
          <w:p w14:paraId="5362ACE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+0.0090</w:t>
            </w:r>
          </w:p>
        </w:tc>
        <w:tc>
          <w:tcPr>
            <w:tcW w:w="0" w:type="auto"/>
            <w:vAlign w:val="center"/>
            <w:hideMark/>
          </w:tcPr>
          <w:p w14:paraId="0B903CA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0.480</w:t>
            </w:r>
          </w:p>
        </w:tc>
        <w:tc>
          <w:tcPr>
            <w:tcW w:w="0" w:type="auto"/>
            <w:vAlign w:val="center"/>
            <w:hideMark/>
          </w:tcPr>
          <w:p w14:paraId="37740D5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+0.0094</w:t>
            </w:r>
          </w:p>
        </w:tc>
        <w:tc>
          <w:tcPr>
            <w:tcW w:w="0" w:type="auto"/>
            <w:vAlign w:val="center"/>
            <w:hideMark/>
          </w:tcPr>
          <w:p w14:paraId="7A2FA1C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0.518</w:t>
            </w:r>
          </w:p>
        </w:tc>
      </w:tr>
      <w:tr w:rsidR="0028368D" w:rsidRPr="0028368D" w14:paraId="5BC7F7F5" w14:textId="77777777">
        <w:trPr>
          <w:tblCellSpacing w:w="15" w:type="dxa"/>
        </w:trPr>
        <w:tc>
          <w:tcPr>
            <w:tcW w:w="0" w:type="auto"/>
            <w:vAlign w:val="center"/>
            <w:hideMark/>
          </w:tcPr>
          <w:p w14:paraId="367FF03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 Inconsistent </w:t>
            </w:r>
            <w:proofErr w:type="spellStart"/>
            <w:r w:rsidRPr="0028368D">
              <w:rPr>
                <w:rFonts w:ascii="Times New Roman" w:hAnsi="Times New Roman" w:cs="Times New Roman"/>
              </w:rPr>
              <w:t>externaliser</w:t>
            </w:r>
            <w:proofErr w:type="spellEnd"/>
          </w:p>
        </w:tc>
        <w:tc>
          <w:tcPr>
            <w:tcW w:w="0" w:type="auto"/>
            <w:vAlign w:val="center"/>
            <w:hideMark/>
          </w:tcPr>
          <w:p w14:paraId="652E437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+0.0031</w:t>
            </w:r>
          </w:p>
        </w:tc>
        <w:tc>
          <w:tcPr>
            <w:tcW w:w="0" w:type="auto"/>
            <w:vAlign w:val="center"/>
            <w:hideMark/>
          </w:tcPr>
          <w:p w14:paraId="3ADE365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0.815</w:t>
            </w:r>
          </w:p>
        </w:tc>
        <w:tc>
          <w:tcPr>
            <w:tcW w:w="0" w:type="auto"/>
            <w:vAlign w:val="center"/>
            <w:hideMark/>
          </w:tcPr>
          <w:p w14:paraId="79D898B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+0.0091</w:t>
            </w:r>
          </w:p>
        </w:tc>
        <w:tc>
          <w:tcPr>
            <w:tcW w:w="0" w:type="auto"/>
            <w:vAlign w:val="center"/>
            <w:hideMark/>
          </w:tcPr>
          <w:p w14:paraId="0567021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0.526</w:t>
            </w:r>
          </w:p>
        </w:tc>
      </w:tr>
    </w:tbl>
    <w:p w14:paraId="2180566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i/>
          <w:iCs/>
        </w:rPr>
        <w:t>Note:</w:t>
      </w:r>
      <w:r w:rsidRPr="0028368D">
        <w:rPr>
          <w:rFonts w:ascii="Times New Roman" w:hAnsi="Times New Roman" w:cs="Times New Roman"/>
        </w:rPr>
        <w:t xml:space="preserve"> Survey-weighted estimates; standard errors clustered at the respondent level. Controls include education, gender, age, urban residence, lived poverty, news-source count, and country fixed effects. Aware N = 24,674; literate N = 20,043.</w:t>
      </w:r>
    </w:p>
    <w:p w14:paraId="537FBCE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S4. Climate awareness comparison, aware vs literate "treated"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01"/>
        <w:gridCol w:w="1405"/>
        <w:gridCol w:w="1588"/>
      </w:tblGrid>
      <w:tr w:rsidR="0028368D" w:rsidRPr="0028368D" w14:paraId="5DF7A5C8" w14:textId="77777777">
        <w:trPr>
          <w:tblHeader/>
          <w:tblCellSpacing w:w="15" w:type="dxa"/>
        </w:trPr>
        <w:tc>
          <w:tcPr>
            <w:tcW w:w="0" w:type="auto"/>
            <w:vAlign w:val="center"/>
            <w:hideMark/>
          </w:tcPr>
          <w:p w14:paraId="667EE40D"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Term</w:t>
            </w:r>
          </w:p>
        </w:tc>
        <w:tc>
          <w:tcPr>
            <w:tcW w:w="0" w:type="auto"/>
            <w:vAlign w:val="center"/>
            <w:hideMark/>
          </w:tcPr>
          <w:p w14:paraId="2CFFA369"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Aware model</w:t>
            </w:r>
          </w:p>
        </w:tc>
        <w:tc>
          <w:tcPr>
            <w:tcW w:w="0" w:type="auto"/>
            <w:vAlign w:val="center"/>
            <w:hideMark/>
          </w:tcPr>
          <w:p w14:paraId="662CC111"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Literate model</w:t>
            </w:r>
          </w:p>
        </w:tc>
      </w:tr>
      <w:tr w:rsidR="0028368D" w:rsidRPr="0028368D" w14:paraId="332347AE" w14:textId="77777777">
        <w:trPr>
          <w:tblCellSpacing w:w="15" w:type="dxa"/>
        </w:trPr>
        <w:tc>
          <w:tcPr>
            <w:tcW w:w="0" w:type="auto"/>
            <w:vAlign w:val="center"/>
            <w:hideMark/>
          </w:tcPr>
          <w:p w14:paraId="009FC61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(vs. China), non-aware baseline</w:t>
            </w:r>
          </w:p>
        </w:tc>
        <w:tc>
          <w:tcPr>
            <w:tcW w:w="0" w:type="auto"/>
            <w:vAlign w:val="center"/>
            <w:hideMark/>
          </w:tcPr>
          <w:p w14:paraId="0C804C4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−0.0452</w:t>
            </w:r>
          </w:p>
        </w:tc>
        <w:tc>
          <w:tcPr>
            <w:tcW w:w="0" w:type="auto"/>
            <w:vAlign w:val="center"/>
            <w:hideMark/>
          </w:tcPr>
          <w:p w14:paraId="30FB48C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−0.0452</w:t>
            </w:r>
          </w:p>
        </w:tc>
      </w:tr>
      <w:tr w:rsidR="0028368D" w:rsidRPr="0028368D" w14:paraId="07797F15" w14:textId="77777777">
        <w:trPr>
          <w:tblCellSpacing w:w="15" w:type="dxa"/>
        </w:trPr>
        <w:tc>
          <w:tcPr>
            <w:tcW w:w="0" w:type="auto"/>
            <w:vAlign w:val="center"/>
            <w:hideMark/>
          </w:tcPr>
          <w:p w14:paraId="6B81B07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(vs. China), non-aware baseline</w:t>
            </w:r>
          </w:p>
        </w:tc>
        <w:tc>
          <w:tcPr>
            <w:tcW w:w="0" w:type="auto"/>
            <w:vAlign w:val="center"/>
            <w:hideMark/>
          </w:tcPr>
          <w:p w14:paraId="695AD98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−0.0516</w:t>
            </w:r>
          </w:p>
        </w:tc>
        <w:tc>
          <w:tcPr>
            <w:tcW w:w="0" w:type="auto"/>
            <w:vAlign w:val="center"/>
            <w:hideMark/>
          </w:tcPr>
          <w:p w14:paraId="5D57AC4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−0.0516</w:t>
            </w:r>
          </w:p>
        </w:tc>
      </w:tr>
      <w:tr w:rsidR="0028368D" w:rsidRPr="0028368D" w14:paraId="38C29E23" w14:textId="77777777">
        <w:trPr>
          <w:tblCellSpacing w:w="15" w:type="dxa"/>
        </w:trPr>
        <w:tc>
          <w:tcPr>
            <w:tcW w:w="0" w:type="auto"/>
            <w:vAlign w:val="center"/>
            <w:hideMark/>
          </w:tcPr>
          <w:p w14:paraId="5B0D073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 Treated</w:t>
            </w:r>
          </w:p>
        </w:tc>
        <w:tc>
          <w:tcPr>
            <w:tcW w:w="0" w:type="auto"/>
            <w:vAlign w:val="center"/>
            <w:hideMark/>
          </w:tcPr>
          <w:p w14:paraId="1DD9D65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−0.0190</w:t>
            </w:r>
          </w:p>
        </w:tc>
        <w:tc>
          <w:tcPr>
            <w:tcW w:w="0" w:type="auto"/>
            <w:vAlign w:val="center"/>
            <w:hideMark/>
          </w:tcPr>
          <w:p w14:paraId="4900A4E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−0.0183</w:t>
            </w:r>
          </w:p>
        </w:tc>
      </w:tr>
      <w:tr w:rsidR="0028368D" w:rsidRPr="0028368D" w14:paraId="195D293E" w14:textId="77777777">
        <w:trPr>
          <w:tblCellSpacing w:w="15" w:type="dxa"/>
        </w:trPr>
        <w:tc>
          <w:tcPr>
            <w:tcW w:w="0" w:type="auto"/>
            <w:vAlign w:val="center"/>
            <w:hideMark/>
          </w:tcPr>
          <w:p w14:paraId="1D39805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 Treated</w:t>
            </w:r>
          </w:p>
        </w:tc>
        <w:tc>
          <w:tcPr>
            <w:tcW w:w="0" w:type="auto"/>
            <w:vAlign w:val="center"/>
            <w:hideMark/>
          </w:tcPr>
          <w:p w14:paraId="41FDDC2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−0.0002</w:t>
            </w:r>
          </w:p>
        </w:tc>
        <w:tc>
          <w:tcPr>
            <w:tcW w:w="0" w:type="auto"/>
            <w:vAlign w:val="center"/>
            <w:hideMark/>
          </w:tcPr>
          <w:p w14:paraId="42F3ADB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+0.0035</w:t>
            </w:r>
          </w:p>
        </w:tc>
      </w:tr>
      <w:tr w:rsidR="0028368D" w:rsidRPr="0028368D" w14:paraId="0C2D9737" w14:textId="77777777">
        <w:trPr>
          <w:tblCellSpacing w:w="15" w:type="dxa"/>
        </w:trPr>
        <w:tc>
          <w:tcPr>
            <w:tcW w:w="0" w:type="auto"/>
            <w:vAlign w:val="center"/>
            <w:hideMark/>
          </w:tcPr>
          <w:p w14:paraId="2603F37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*p* (US × Treated)</w:t>
            </w:r>
          </w:p>
        </w:tc>
        <w:tc>
          <w:tcPr>
            <w:tcW w:w="0" w:type="auto"/>
            <w:vAlign w:val="center"/>
            <w:hideMark/>
          </w:tcPr>
          <w:p w14:paraId="00A0AC3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2EFBC7D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67080ED3" w14:textId="77777777">
        <w:trPr>
          <w:tblCellSpacing w:w="15" w:type="dxa"/>
        </w:trPr>
        <w:tc>
          <w:tcPr>
            <w:tcW w:w="0" w:type="auto"/>
            <w:vAlign w:val="center"/>
            <w:hideMark/>
          </w:tcPr>
          <w:p w14:paraId="4C0EC26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*p* (EU × Treated)</w:t>
            </w:r>
          </w:p>
        </w:tc>
        <w:tc>
          <w:tcPr>
            <w:tcW w:w="0" w:type="auto"/>
            <w:vAlign w:val="center"/>
            <w:hideMark/>
          </w:tcPr>
          <w:p w14:paraId="6D43D79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0.966</w:t>
            </w:r>
          </w:p>
        </w:tc>
        <w:tc>
          <w:tcPr>
            <w:tcW w:w="0" w:type="auto"/>
            <w:vAlign w:val="center"/>
            <w:hideMark/>
          </w:tcPr>
          <w:p w14:paraId="5EB1D36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0.405</w:t>
            </w:r>
          </w:p>
        </w:tc>
      </w:tr>
    </w:tbl>
    <w:p w14:paraId="3B2DB0E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i/>
          <w:iCs/>
        </w:rPr>
        <w:lastRenderedPageBreak/>
        <w:t>Note:</w:t>
      </w:r>
      <w:r w:rsidRPr="0028368D">
        <w:rPr>
          <w:rFonts w:ascii="Times New Roman" w:hAnsi="Times New Roman" w:cs="Times New Roman"/>
        </w:rPr>
        <w:t xml:space="preserve"> Survey-weighted estimates; standard errors clustered at the respondent level. The "treated" group is climate-aware (left column) or climate-literate (right column); the comparison group is non-aware respondents (Q60A = 0, N = 22,433). Controls and country fixed effects as in the main models.</w:t>
      </w:r>
    </w:p>
    <w:p w14:paraId="62E7AE1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Summary.</w:t>
      </w:r>
      <w:r w:rsidRPr="0028368D">
        <w:rPr>
          <w:rFonts w:ascii="Times New Roman" w:hAnsi="Times New Roman" w:cs="Times New Roman"/>
        </w:rPr>
        <w:t xml:space="preserve"> The </w:t>
      </w:r>
      <w:proofErr w:type="spellStart"/>
      <w:r w:rsidRPr="0028368D">
        <w:rPr>
          <w:rFonts w:ascii="Times New Roman" w:hAnsi="Times New Roman" w:cs="Times New Roman"/>
        </w:rPr>
        <w:t>externaliser</w:t>
      </w:r>
      <w:proofErr w:type="spellEnd"/>
      <w:r w:rsidRPr="0028368D">
        <w:rPr>
          <w:rFonts w:ascii="Times New Roman" w:hAnsi="Times New Roman" w:cs="Times New Roman"/>
        </w:rPr>
        <w:t xml:space="preserve"> and amplification results are stable under the literacy restriction. The </w:t>
      </w:r>
      <w:proofErr w:type="spellStart"/>
      <w:r w:rsidRPr="0028368D">
        <w:rPr>
          <w:rFonts w:ascii="Times New Roman" w:hAnsi="Times New Roman" w:cs="Times New Roman"/>
        </w:rPr>
        <w:t>externaliser</w:t>
      </w:r>
      <w:proofErr w:type="spellEnd"/>
      <w:r w:rsidRPr="0028368D">
        <w:rPr>
          <w:rFonts w:ascii="Times New Roman" w:hAnsi="Times New Roman" w:cs="Times New Roman"/>
        </w:rPr>
        <w:t xml:space="preserve"> interaction is slightly stronger among literate respondents (−0.025 vs −0.022; p = 0.003 vs p = 0.005). The climate-awareness amplification is essentially identical (−0.018 vs −0.019; </w:t>
      </w:r>
      <w:proofErr w:type="gramStart"/>
      <w:r w:rsidRPr="0028368D">
        <w:rPr>
          <w:rFonts w:ascii="Times New Roman" w:hAnsi="Times New Roman" w:cs="Times New Roman"/>
        </w:rPr>
        <w:t>both p</w:t>
      </w:r>
      <w:proofErr w:type="gramEnd"/>
      <w:r w:rsidRPr="0028368D">
        <w:rPr>
          <w:rFonts w:ascii="Times New Roman" w:hAnsi="Times New Roman" w:cs="Times New Roman"/>
        </w:rPr>
        <w:t xml:space="preserve"> &lt; 0.001). The EU null holds in both specifications. The one contrast that changes is the sovereign-adapter interaction, which falls from p = 0.035 to p = 0.087. This suggests that the pragmatic-sovereignty position is partly concentrated among respondents who have heard of climate change but do not fully attribute it to human activity. We report this as a scope condition on the sovereign-adapter finding rather than a threat to the main results.</w:t>
      </w:r>
    </w:p>
    <w:p w14:paraId="6D0E4F9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pict w14:anchorId="65C8E7CE">
          <v:rect id="_x0000_i1062" style="width:0;height:1.5pt" o:hralign="center" o:hrstd="t" o:hr="t" fillcolor="#a0a0a0" stroked="f"/>
        </w:pict>
      </w:r>
    </w:p>
    <w:p w14:paraId="59114121"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Supplementary Note 2: Full marginal means (weighted, adjusted)</w:t>
      </w:r>
    </w:p>
    <w:p w14:paraId="05FC7C0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S5. Marginal means of power ratings by attribution type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8"/>
        <w:gridCol w:w="2400"/>
        <w:gridCol w:w="967"/>
        <w:gridCol w:w="720"/>
        <w:gridCol w:w="1275"/>
      </w:tblGrid>
      <w:tr w:rsidR="0028368D" w:rsidRPr="0028368D" w14:paraId="54FC24C9" w14:textId="77777777">
        <w:trPr>
          <w:tblHeader/>
          <w:tblCellSpacing w:w="15" w:type="dxa"/>
        </w:trPr>
        <w:tc>
          <w:tcPr>
            <w:tcW w:w="0" w:type="auto"/>
            <w:vAlign w:val="center"/>
            <w:hideMark/>
          </w:tcPr>
          <w:p w14:paraId="422E3D95"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Power</w:t>
            </w:r>
          </w:p>
        </w:tc>
        <w:tc>
          <w:tcPr>
            <w:tcW w:w="0" w:type="auto"/>
            <w:vAlign w:val="center"/>
            <w:hideMark/>
          </w:tcPr>
          <w:p w14:paraId="02FD4357"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Attribution Type</w:t>
            </w:r>
          </w:p>
        </w:tc>
        <w:tc>
          <w:tcPr>
            <w:tcW w:w="0" w:type="auto"/>
            <w:vAlign w:val="center"/>
            <w:hideMark/>
          </w:tcPr>
          <w:p w14:paraId="490D1BA6"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Estimate</w:t>
            </w:r>
          </w:p>
        </w:tc>
        <w:tc>
          <w:tcPr>
            <w:tcW w:w="0" w:type="auto"/>
            <w:vAlign w:val="center"/>
            <w:hideMark/>
          </w:tcPr>
          <w:p w14:paraId="16EA8E3E"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SE</w:t>
            </w:r>
          </w:p>
        </w:tc>
        <w:tc>
          <w:tcPr>
            <w:tcW w:w="0" w:type="auto"/>
            <w:vAlign w:val="center"/>
            <w:hideMark/>
          </w:tcPr>
          <w:p w14:paraId="3F5FB053"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95% CI</w:t>
            </w:r>
          </w:p>
        </w:tc>
      </w:tr>
      <w:tr w:rsidR="0028368D" w:rsidRPr="0028368D" w14:paraId="6098A656" w14:textId="77777777">
        <w:trPr>
          <w:tblCellSpacing w:w="15" w:type="dxa"/>
        </w:trPr>
        <w:tc>
          <w:tcPr>
            <w:tcW w:w="0" w:type="auto"/>
            <w:vAlign w:val="center"/>
            <w:hideMark/>
          </w:tcPr>
          <w:p w14:paraId="681C1B8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China</w:t>
            </w:r>
          </w:p>
        </w:tc>
        <w:tc>
          <w:tcPr>
            <w:tcW w:w="0" w:type="auto"/>
            <w:vAlign w:val="center"/>
            <w:hideMark/>
          </w:tcPr>
          <w:p w14:paraId="19598C4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internaliser</w:t>
            </w:r>
            <w:proofErr w:type="spellEnd"/>
          </w:p>
        </w:tc>
        <w:tc>
          <w:tcPr>
            <w:tcW w:w="0" w:type="auto"/>
            <w:vAlign w:val="center"/>
            <w:hideMark/>
          </w:tcPr>
          <w:p w14:paraId="1B66242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0.684</w:t>
            </w:r>
          </w:p>
        </w:tc>
        <w:tc>
          <w:tcPr>
            <w:tcW w:w="0" w:type="auto"/>
            <w:vAlign w:val="center"/>
            <w:hideMark/>
          </w:tcPr>
          <w:p w14:paraId="3886C3A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0.0039</w:t>
            </w:r>
          </w:p>
        </w:tc>
        <w:tc>
          <w:tcPr>
            <w:tcW w:w="0" w:type="auto"/>
            <w:vAlign w:val="center"/>
            <w:hideMark/>
          </w:tcPr>
          <w:p w14:paraId="250C36A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0.676–0.691</w:t>
            </w:r>
          </w:p>
        </w:tc>
      </w:tr>
      <w:tr w:rsidR="0028368D" w:rsidRPr="0028368D" w14:paraId="124A8556" w14:textId="77777777">
        <w:trPr>
          <w:tblCellSpacing w:w="15" w:type="dxa"/>
        </w:trPr>
        <w:tc>
          <w:tcPr>
            <w:tcW w:w="0" w:type="auto"/>
            <w:vAlign w:val="center"/>
            <w:hideMark/>
          </w:tcPr>
          <w:p w14:paraId="5B32280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China</w:t>
            </w:r>
          </w:p>
        </w:tc>
        <w:tc>
          <w:tcPr>
            <w:tcW w:w="0" w:type="auto"/>
            <w:vAlign w:val="center"/>
            <w:hideMark/>
          </w:tcPr>
          <w:p w14:paraId="2E35846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Sovereign adapter</w:t>
            </w:r>
          </w:p>
        </w:tc>
        <w:tc>
          <w:tcPr>
            <w:tcW w:w="0" w:type="auto"/>
            <w:vAlign w:val="center"/>
            <w:hideMark/>
          </w:tcPr>
          <w:p w14:paraId="56246B2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0.671</w:t>
            </w:r>
          </w:p>
        </w:tc>
        <w:tc>
          <w:tcPr>
            <w:tcW w:w="0" w:type="auto"/>
            <w:vAlign w:val="center"/>
            <w:hideMark/>
          </w:tcPr>
          <w:p w14:paraId="4E2FC94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0.0048</w:t>
            </w:r>
          </w:p>
        </w:tc>
        <w:tc>
          <w:tcPr>
            <w:tcW w:w="0" w:type="auto"/>
            <w:vAlign w:val="center"/>
            <w:hideMark/>
          </w:tcPr>
          <w:p w14:paraId="1A498A4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0.662–0.681</w:t>
            </w:r>
          </w:p>
        </w:tc>
      </w:tr>
      <w:tr w:rsidR="0028368D" w:rsidRPr="0028368D" w14:paraId="5C86C8ED" w14:textId="77777777">
        <w:trPr>
          <w:tblCellSpacing w:w="15" w:type="dxa"/>
        </w:trPr>
        <w:tc>
          <w:tcPr>
            <w:tcW w:w="0" w:type="auto"/>
            <w:vAlign w:val="center"/>
            <w:hideMark/>
          </w:tcPr>
          <w:p w14:paraId="4FE9E8E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China</w:t>
            </w:r>
          </w:p>
        </w:tc>
        <w:tc>
          <w:tcPr>
            <w:tcW w:w="0" w:type="auto"/>
            <w:vAlign w:val="center"/>
            <w:hideMark/>
          </w:tcPr>
          <w:p w14:paraId="5B994D7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externaliser</w:t>
            </w:r>
            <w:proofErr w:type="spellEnd"/>
          </w:p>
        </w:tc>
        <w:tc>
          <w:tcPr>
            <w:tcW w:w="0" w:type="auto"/>
            <w:vAlign w:val="center"/>
            <w:hideMark/>
          </w:tcPr>
          <w:p w14:paraId="233CF29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0.690</w:t>
            </w:r>
          </w:p>
        </w:tc>
        <w:tc>
          <w:tcPr>
            <w:tcW w:w="0" w:type="auto"/>
            <w:vAlign w:val="center"/>
            <w:hideMark/>
          </w:tcPr>
          <w:p w14:paraId="7433856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0.0054</w:t>
            </w:r>
          </w:p>
        </w:tc>
        <w:tc>
          <w:tcPr>
            <w:tcW w:w="0" w:type="auto"/>
            <w:vAlign w:val="center"/>
            <w:hideMark/>
          </w:tcPr>
          <w:p w14:paraId="7792F9D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0.679–0.701</w:t>
            </w:r>
          </w:p>
        </w:tc>
      </w:tr>
      <w:tr w:rsidR="0028368D" w:rsidRPr="0028368D" w14:paraId="49449115" w14:textId="77777777">
        <w:trPr>
          <w:tblCellSpacing w:w="15" w:type="dxa"/>
        </w:trPr>
        <w:tc>
          <w:tcPr>
            <w:tcW w:w="0" w:type="auto"/>
            <w:vAlign w:val="center"/>
            <w:hideMark/>
          </w:tcPr>
          <w:p w14:paraId="39D70BA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China</w:t>
            </w:r>
          </w:p>
        </w:tc>
        <w:tc>
          <w:tcPr>
            <w:tcW w:w="0" w:type="auto"/>
            <w:vAlign w:val="center"/>
            <w:hideMark/>
          </w:tcPr>
          <w:p w14:paraId="09E6100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Inconsistent </w:t>
            </w:r>
            <w:proofErr w:type="spellStart"/>
            <w:r w:rsidRPr="0028368D">
              <w:rPr>
                <w:rFonts w:ascii="Times New Roman" w:hAnsi="Times New Roman" w:cs="Times New Roman"/>
              </w:rPr>
              <w:t>externaliser</w:t>
            </w:r>
            <w:proofErr w:type="spellEnd"/>
          </w:p>
        </w:tc>
        <w:tc>
          <w:tcPr>
            <w:tcW w:w="0" w:type="auto"/>
            <w:vAlign w:val="center"/>
            <w:hideMark/>
          </w:tcPr>
          <w:p w14:paraId="5A01D60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0.693</w:t>
            </w:r>
          </w:p>
        </w:tc>
        <w:tc>
          <w:tcPr>
            <w:tcW w:w="0" w:type="auto"/>
            <w:vAlign w:val="center"/>
            <w:hideMark/>
          </w:tcPr>
          <w:p w14:paraId="137BA8B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0.0102</w:t>
            </w:r>
          </w:p>
        </w:tc>
        <w:tc>
          <w:tcPr>
            <w:tcW w:w="0" w:type="auto"/>
            <w:vAlign w:val="center"/>
            <w:hideMark/>
          </w:tcPr>
          <w:p w14:paraId="0A03A7A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0.673–0.713</w:t>
            </w:r>
          </w:p>
        </w:tc>
      </w:tr>
      <w:tr w:rsidR="0028368D" w:rsidRPr="0028368D" w14:paraId="3347A327" w14:textId="77777777">
        <w:trPr>
          <w:tblCellSpacing w:w="15" w:type="dxa"/>
        </w:trPr>
        <w:tc>
          <w:tcPr>
            <w:tcW w:w="0" w:type="auto"/>
            <w:vAlign w:val="center"/>
            <w:hideMark/>
          </w:tcPr>
          <w:p w14:paraId="667EA86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w:t>
            </w:r>
          </w:p>
        </w:tc>
        <w:tc>
          <w:tcPr>
            <w:tcW w:w="0" w:type="auto"/>
            <w:vAlign w:val="center"/>
            <w:hideMark/>
          </w:tcPr>
          <w:p w14:paraId="2410104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internaliser</w:t>
            </w:r>
            <w:proofErr w:type="spellEnd"/>
          </w:p>
        </w:tc>
        <w:tc>
          <w:tcPr>
            <w:tcW w:w="0" w:type="auto"/>
            <w:vAlign w:val="center"/>
            <w:hideMark/>
          </w:tcPr>
          <w:p w14:paraId="174C390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0.620</w:t>
            </w:r>
          </w:p>
        </w:tc>
        <w:tc>
          <w:tcPr>
            <w:tcW w:w="0" w:type="auto"/>
            <w:vAlign w:val="center"/>
            <w:hideMark/>
          </w:tcPr>
          <w:p w14:paraId="62336EF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0.0040</w:t>
            </w:r>
          </w:p>
        </w:tc>
        <w:tc>
          <w:tcPr>
            <w:tcW w:w="0" w:type="auto"/>
            <w:vAlign w:val="center"/>
            <w:hideMark/>
          </w:tcPr>
          <w:p w14:paraId="6A35F6B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0.612–0.628</w:t>
            </w:r>
          </w:p>
        </w:tc>
      </w:tr>
      <w:tr w:rsidR="0028368D" w:rsidRPr="0028368D" w14:paraId="5EC8EB73" w14:textId="77777777">
        <w:trPr>
          <w:tblCellSpacing w:w="15" w:type="dxa"/>
        </w:trPr>
        <w:tc>
          <w:tcPr>
            <w:tcW w:w="0" w:type="auto"/>
            <w:vAlign w:val="center"/>
            <w:hideMark/>
          </w:tcPr>
          <w:p w14:paraId="5E4AD79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w:t>
            </w:r>
          </w:p>
        </w:tc>
        <w:tc>
          <w:tcPr>
            <w:tcW w:w="0" w:type="auto"/>
            <w:vAlign w:val="center"/>
            <w:hideMark/>
          </w:tcPr>
          <w:p w14:paraId="783EE16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Sovereign adapter</w:t>
            </w:r>
          </w:p>
        </w:tc>
        <w:tc>
          <w:tcPr>
            <w:tcW w:w="0" w:type="auto"/>
            <w:vAlign w:val="center"/>
            <w:hideMark/>
          </w:tcPr>
          <w:p w14:paraId="1F5A02D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0.622</w:t>
            </w:r>
          </w:p>
        </w:tc>
        <w:tc>
          <w:tcPr>
            <w:tcW w:w="0" w:type="auto"/>
            <w:vAlign w:val="center"/>
            <w:hideMark/>
          </w:tcPr>
          <w:p w14:paraId="5B2AA9A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0.0049</w:t>
            </w:r>
          </w:p>
        </w:tc>
        <w:tc>
          <w:tcPr>
            <w:tcW w:w="0" w:type="auto"/>
            <w:vAlign w:val="center"/>
            <w:hideMark/>
          </w:tcPr>
          <w:p w14:paraId="0EBC099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0.613–0.632</w:t>
            </w:r>
          </w:p>
        </w:tc>
      </w:tr>
      <w:tr w:rsidR="0028368D" w:rsidRPr="0028368D" w14:paraId="3FFEBAD5" w14:textId="77777777">
        <w:trPr>
          <w:tblCellSpacing w:w="15" w:type="dxa"/>
        </w:trPr>
        <w:tc>
          <w:tcPr>
            <w:tcW w:w="0" w:type="auto"/>
            <w:vAlign w:val="center"/>
            <w:hideMark/>
          </w:tcPr>
          <w:p w14:paraId="5CFD95C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w:t>
            </w:r>
          </w:p>
        </w:tc>
        <w:tc>
          <w:tcPr>
            <w:tcW w:w="0" w:type="auto"/>
            <w:vAlign w:val="center"/>
            <w:hideMark/>
          </w:tcPr>
          <w:p w14:paraId="076909C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externaliser</w:t>
            </w:r>
            <w:proofErr w:type="spellEnd"/>
          </w:p>
        </w:tc>
        <w:tc>
          <w:tcPr>
            <w:tcW w:w="0" w:type="auto"/>
            <w:vAlign w:val="center"/>
            <w:hideMark/>
          </w:tcPr>
          <w:p w14:paraId="63A9007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0.604</w:t>
            </w:r>
          </w:p>
        </w:tc>
        <w:tc>
          <w:tcPr>
            <w:tcW w:w="0" w:type="auto"/>
            <w:vAlign w:val="center"/>
            <w:hideMark/>
          </w:tcPr>
          <w:p w14:paraId="6584BC8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0.0054</w:t>
            </w:r>
          </w:p>
        </w:tc>
        <w:tc>
          <w:tcPr>
            <w:tcW w:w="0" w:type="auto"/>
            <w:vAlign w:val="center"/>
            <w:hideMark/>
          </w:tcPr>
          <w:p w14:paraId="3040C62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0.594–0.615</w:t>
            </w:r>
          </w:p>
        </w:tc>
      </w:tr>
      <w:tr w:rsidR="0028368D" w:rsidRPr="0028368D" w14:paraId="25C0FFBD" w14:textId="77777777">
        <w:trPr>
          <w:tblCellSpacing w:w="15" w:type="dxa"/>
        </w:trPr>
        <w:tc>
          <w:tcPr>
            <w:tcW w:w="0" w:type="auto"/>
            <w:vAlign w:val="center"/>
            <w:hideMark/>
          </w:tcPr>
          <w:p w14:paraId="2A52501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w:t>
            </w:r>
          </w:p>
        </w:tc>
        <w:tc>
          <w:tcPr>
            <w:tcW w:w="0" w:type="auto"/>
            <w:vAlign w:val="center"/>
            <w:hideMark/>
          </w:tcPr>
          <w:p w14:paraId="32D7BD4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Inconsistent </w:t>
            </w:r>
            <w:proofErr w:type="spellStart"/>
            <w:r w:rsidRPr="0028368D">
              <w:rPr>
                <w:rFonts w:ascii="Times New Roman" w:hAnsi="Times New Roman" w:cs="Times New Roman"/>
              </w:rPr>
              <w:t>externaliser</w:t>
            </w:r>
            <w:proofErr w:type="spellEnd"/>
          </w:p>
        </w:tc>
        <w:tc>
          <w:tcPr>
            <w:tcW w:w="0" w:type="auto"/>
            <w:vAlign w:val="center"/>
            <w:hideMark/>
          </w:tcPr>
          <w:p w14:paraId="1986143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0.638</w:t>
            </w:r>
          </w:p>
        </w:tc>
        <w:tc>
          <w:tcPr>
            <w:tcW w:w="0" w:type="auto"/>
            <w:vAlign w:val="center"/>
            <w:hideMark/>
          </w:tcPr>
          <w:p w14:paraId="47C2EC6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0.0098</w:t>
            </w:r>
          </w:p>
        </w:tc>
        <w:tc>
          <w:tcPr>
            <w:tcW w:w="0" w:type="auto"/>
            <w:vAlign w:val="center"/>
            <w:hideMark/>
          </w:tcPr>
          <w:p w14:paraId="1BF51F5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0.618–0.657</w:t>
            </w:r>
          </w:p>
        </w:tc>
      </w:tr>
      <w:tr w:rsidR="0028368D" w:rsidRPr="0028368D" w14:paraId="04B0E367" w14:textId="77777777">
        <w:trPr>
          <w:tblCellSpacing w:w="15" w:type="dxa"/>
        </w:trPr>
        <w:tc>
          <w:tcPr>
            <w:tcW w:w="0" w:type="auto"/>
            <w:vAlign w:val="center"/>
            <w:hideMark/>
          </w:tcPr>
          <w:p w14:paraId="781FBE0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w:t>
            </w:r>
          </w:p>
        </w:tc>
        <w:tc>
          <w:tcPr>
            <w:tcW w:w="0" w:type="auto"/>
            <w:vAlign w:val="center"/>
            <w:hideMark/>
          </w:tcPr>
          <w:p w14:paraId="74CA714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internaliser</w:t>
            </w:r>
            <w:proofErr w:type="spellEnd"/>
          </w:p>
        </w:tc>
        <w:tc>
          <w:tcPr>
            <w:tcW w:w="0" w:type="auto"/>
            <w:vAlign w:val="center"/>
            <w:hideMark/>
          </w:tcPr>
          <w:p w14:paraId="156997E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0.634</w:t>
            </w:r>
          </w:p>
        </w:tc>
        <w:tc>
          <w:tcPr>
            <w:tcW w:w="0" w:type="auto"/>
            <w:vAlign w:val="center"/>
            <w:hideMark/>
          </w:tcPr>
          <w:p w14:paraId="0EF629C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0.0037</w:t>
            </w:r>
          </w:p>
        </w:tc>
        <w:tc>
          <w:tcPr>
            <w:tcW w:w="0" w:type="auto"/>
            <w:vAlign w:val="center"/>
            <w:hideMark/>
          </w:tcPr>
          <w:p w14:paraId="14AE7AF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0.626–0.641</w:t>
            </w:r>
          </w:p>
        </w:tc>
      </w:tr>
      <w:tr w:rsidR="0028368D" w:rsidRPr="0028368D" w14:paraId="3911C033" w14:textId="77777777">
        <w:trPr>
          <w:tblCellSpacing w:w="15" w:type="dxa"/>
        </w:trPr>
        <w:tc>
          <w:tcPr>
            <w:tcW w:w="0" w:type="auto"/>
            <w:vAlign w:val="center"/>
            <w:hideMark/>
          </w:tcPr>
          <w:p w14:paraId="11108F5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w:t>
            </w:r>
          </w:p>
        </w:tc>
        <w:tc>
          <w:tcPr>
            <w:tcW w:w="0" w:type="auto"/>
            <w:vAlign w:val="center"/>
            <w:hideMark/>
          </w:tcPr>
          <w:p w14:paraId="43576A1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Sovereign adapter</w:t>
            </w:r>
          </w:p>
        </w:tc>
        <w:tc>
          <w:tcPr>
            <w:tcW w:w="0" w:type="auto"/>
            <w:vAlign w:val="center"/>
            <w:hideMark/>
          </w:tcPr>
          <w:p w14:paraId="0B8E201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0.628</w:t>
            </w:r>
          </w:p>
        </w:tc>
        <w:tc>
          <w:tcPr>
            <w:tcW w:w="0" w:type="auto"/>
            <w:vAlign w:val="center"/>
            <w:hideMark/>
          </w:tcPr>
          <w:p w14:paraId="6671F87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0.0046</w:t>
            </w:r>
          </w:p>
        </w:tc>
        <w:tc>
          <w:tcPr>
            <w:tcW w:w="0" w:type="auto"/>
            <w:vAlign w:val="center"/>
            <w:hideMark/>
          </w:tcPr>
          <w:p w14:paraId="3D5676A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0.619–0.637</w:t>
            </w:r>
          </w:p>
        </w:tc>
      </w:tr>
      <w:tr w:rsidR="0028368D" w:rsidRPr="0028368D" w14:paraId="4531C6A8" w14:textId="77777777">
        <w:trPr>
          <w:tblCellSpacing w:w="15" w:type="dxa"/>
        </w:trPr>
        <w:tc>
          <w:tcPr>
            <w:tcW w:w="0" w:type="auto"/>
            <w:vAlign w:val="center"/>
            <w:hideMark/>
          </w:tcPr>
          <w:p w14:paraId="790749D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w:t>
            </w:r>
          </w:p>
        </w:tc>
        <w:tc>
          <w:tcPr>
            <w:tcW w:w="0" w:type="auto"/>
            <w:vAlign w:val="center"/>
            <w:hideMark/>
          </w:tcPr>
          <w:p w14:paraId="27A83A0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externaliser</w:t>
            </w:r>
            <w:proofErr w:type="spellEnd"/>
          </w:p>
        </w:tc>
        <w:tc>
          <w:tcPr>
            <w:tcW w:w="0" w:type="auto"/>
            <w:vAlign w:val="center"/>
            <w:hideMark/>
          </w:tcPr>
          <w:p w14:paraId="7BC7340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0.623</w:t>
            </w:r>
          </w:p>
        </w:tc>
        <w:tc>
          <w:tcPr>
            <w:tcW w:w="0" w:type="auto"/>
            <w:vAlign w:val="center"/>
            <w:hideMark/>
          </w:tcPr>
          <w:p w14:paraId="2423B25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0.0054</w:t>
            </w:r>
          </w:p>
        </w:tc>
        <w:tc>
          <w:tcPr>
            <w:tcW w:w="0" w:type="auto"/>
            <w:vAlign w:val="center"/>
            <w:hideMark/>
          </w:tcPr>
          <w:p w14:paraId="087D2CF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0.613–0.634</w:t>
            </w:r>
          </w:p>
        </w:tc>
      </w:tr>
      <w:tr w:rsidR="0028368D" w:rsidRPr="0028368D" w14:paraId="0D4B5AB2" w14:textId="77777777">
        <w:trPr>
          <w:tblCellSpacing w:w="15" w:type="dxa"/>
        </w:trPr>
        <w:tc>
          <w:tcPr>
            <w:tcW w:w="0" w:type="auto"/>
            <w:vAlign w:val="center"/>
            <w:hideMark/>
          </w:tcPr>
          <w:p w14:paraId="219F023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w:t>
            </w:r>
          </w:p>
        </w:tc>
        <w:tc>
          <w:tcPr>
            <w:tcW w:w="0" w:type="auto"/>
            <w:vAlign w:val="center"/>
            <w:hideMark/>
          </w:tcPr>
          <w:p w14:paraId="6C2489A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Inconsistent </w:t>
            </w:r>
            <w:proofErr w:type="spellStart"/>
            <w:r w:rsidRPr="0028368D">
              <w:rPr>
                <w:rFonts w:ascii="Times New Roman" w:hAnsi="Times New Roman" w:cs="Times New Roman"/>
              </w:rPr>
              <w:t>externaliser</w:t>
            </w:r>
            <w:proofErr w:type="spellEnd"/>
          </w:p>
        </w:tc>
        <w:tc>
          <w:tcPr>
            <w:tcW w:w="0" w:type="auto"/>
            <w:vAlign w:val="center"/>
            <w:hideMark/>
          </w:tcPr>
          <w:p w14:paraId="50C2138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0.646</w:t>
            </w:r>
          </w:p>
        </w:tc>
        <w:tc>
          <w:tcPr>
            <w:tcW w:w="0" w:type="auto"/>
            <w:vAlign w:val="center"/>
            <w:hideMark/>
          </w:tcPr>
          <w:p w14:paraId="4073002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0.0101</w:t>
            </w:r>
          </w:p>
        </w:tc>
        <w:tc>
          <w:tcPr>
            <w:tcW w:w="0" w:type="auto"/>
            <w:vAlign w:val="center"/>
            <w:hideMark/>
          </w:tcPr>
          <w:p w14:paraId="16D8915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0.626–0.665</w:t>
            </w:r>
          </w:p>
        </w:tc>
      </w:tr>
    </w:tbl>
    <w:p w14:paraId="1EE30DB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i/>
          <w:iCs/>
        </w:rPr>
        <w:t>Note:</w:t>
      </w:r>
      <w:r w:rsidRPr="0028368D">
        <w:rPr>
          <w:rFonts w:ascii="Times New Roman" w:hAnsi="Times New Roman" w:cs="Times New Roman"/>
        </w:rPr>
        <w:t xml:space="preserve"> From the model in Table 3 of the main text, averaged over the weighted estimation sample (</w:t>
      </w:r>
      <w:proofErr w:type="spellStart"/>
      <w:r w:rsidRPr="0028368D">
        <w:rPr>
          <w:rFonts w:ascii="Times New Roman" w:hAnsi="Times New Roman" w:cs="Times New Roman"/>
        </w:rPr>
        <w:t>avg_predictions</w:t>
      </w:r>
      <w:proofErr w:type="spellEnd"/>
      <w:r w:rsidRPr="0028368D">
        <w:rPr>
          <w:rFonts w:ascii="Times New Roman" w:hAnsi="Times New Roman" w:cs="Times New Roman"/>
        </w:rPr>
        <w:t xml:space="preserve">, </w:t>
      </w:r>
      <w:proofErr w:type="spellStart"/>
      <w:r w:rsidRPr="0028368D">
        <w:rPr>
          <w:rFonts w:ascii="Times New Roman" w:hAnsi="Times New Roman" w:cs="Times New Roman"/>
        </w:rPr>
        <w:t>marginaleffects</w:t>
      </w:r>
      <w:proofErr w:type="spellEnd"/>
      <w:r w:rsidRPr="0028368D">
        <w:rPr>
          <w:rFonts w:ascii="Times New Roman" w:hAnsi="Times New Roman" w:cs="Times New Roman"/>
        </w:rPr>
        <w:t>). Standard errors clustered at the respondent level. All estimates p &lt; 0.001.</w:t>
      </w:r>
    </w:p>
    <w:p w14:paraId="0792286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lastRenderedPageBreak/>
        <w:t>Table S6. US–China gap by attribution type, from marginal means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5"/>
        <w:gridCol w:w="1614"/>
        <w:gridCol w:w="720"/>
        <w:gridCol w:w="1973"/>
      </w:tblGrid>
      <w:tr w:rsidR="0028368D" w:rsidRPr="0028368D" w14:paraId="6DA8C4A5" w14:textId="77777777">
        <w:trPr>
          <w:tblHeader/>
          <w:tblCellSpacing w:w="15" w:type="dxa"/>
        </w:trPr>
        <w:tc>
          <w:tcPr>
            <w:tcW w:w="0" w:type="auto"/>
            <w:vAlign w:val="center"/>
            <w:hideMark/>
          </w:tcPr>
          <w:p w14:paraId="0D23F798"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Attribution Type</w:t>
            </w:r>
          </w:p>
        </w:tc>
        <w:tc>
          <w:tcPr>
            <w:tcW w:w="0" w:type="auto"/>
            <w:vAlign w:val="center"/>
            <w:hideMark/>
          </w:tcPr>
          <w:p w14:paraId="37DE3A57"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US–China Gap</w:t>
            </w:r>
          </w:p>
        </w:tc>
        <w:tc>
          <w:tcPr>
            <w:tcW w:w="0" w:type="auto"/>
            <w:vAlign w:val="center"/>
            <w:hideMark/>
          </w:tcPr>
          <w:p w14:paraId="6370F751"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SE</w:t>
            </w:r>
          </w:p>
        </w:tc>
        <w:tc>
          <w:tcPr>
            <w:tcW w:w="0" w:type="auto"/>
            <w:vAlign w:val="center"/>
            <w:hideMark/>
          </w:tcPr>
          <w:p w14:paraId="7FCCC4D9"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95% CI</w:t>
            </w:r>
          </w:p>
        </w:tc>
      </w:tr>
      <w:tr w:rsidR="0028368D" w:rsidRPr="0028368D" w14:paraId="2C51A98A" w14:textId="77777777">
        <w:trPr>
          <w:tblCellSpacing w:w="15" w:type="dxa"/>
        </w:trPr>
        <w:tc>
          <w:tcPr>
            <w:tcW w:w="0" w:type="auto"/>
            <w:vAlign w:val="center"/>
            <w:hideMark/>
          </w:tcPr>
          <w:p w14:paraId="7E8CEC0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internaliser</w:t>
            </w:r>
            <w:proofErr w:type="spellEnd"/>
          </w:p>
        </w:tc>
        <w:tc>
          <w:tcPr>
            <w:tcW w:w="0" w:type="auto"/>
            <w:vAlign w:val="center"/>
            <w:hideMark/>
          </w:tcPr>
          <w:p w14:paraId="7F4856C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−0.0641</w:t>
            </w:r>
          </w:p>
        </w:tc>
        <w:tc>
          <w:tcPr>
            <w:tcW w:w="0" w:type="auto"/>
            <w:vAlign w:val="center"/>
            <w:hideMark/>
          </w:tcPr>
          <w:p w14:paraId="153723E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0.0047</w:t>
            </w:r>
          </w:p>
        </w:tc>
        <w:tc>
          <w:tcPr>
            <w:tcW w:w="0" w:type="auto"/>
            <w:vAlign w:val="center"/>
            <w:hideMark/>
          </w:tcPr>
          <w:p w14:paraId="7F6A4E7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−0.0732 to −0.0549</w:t>
            </w:r>
          </w:p>
        </w:tc>
      </w:tr>
      <w:tr w:rsidR="0028368D" w:rsidRPr="0028368D" w14:paraId="3A64390B" w14:textId="77777777">
        <w:trPr>
          <w:tblCellSpacing w:w="15" w:type="dxa"/>
        </w:trPr>
        <w:tc>
          <w:tcPr>
            <w:tcW w:w="0" w:type="auto"/>
            <w:vAlign w:val="center"/>
            <w:hideMark/>
          </w:tcPr>
          <w:p w14:paraId="53E1D97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Sovereign adapter</w:t>
            </w:r>
          </w:p>
        </w:tc>
        <w:tc>
          <w:tcPr>
            <w:tcW w:w="0" w:type="auto"/>
            <w:vAlign w:val="center"/>
            <w:hideMark/>
          </w:tcPr>
          <w:p w14:paraId="1A617FC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−0.0491</w:t>
            </w:r>
          </w:p>
        </w:tc>
        <w:tc>
          <w:tcPr>
            <w:tcW w:w="0" w:type="auto"/>
            <w:vAlign w:val="center"/>
            <w:hideMark/>
          </w:tcPr>
          <w:p w14:paraId="296EE5C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0.0053</w:t>
            </w:r>
          </w:p>
        </w:tc>
        <w:tc>
          <w:tcPr>
            <w:tcW w:w="0" w:type="auto"/>
            <w:vAlign w:val="center"/>
            <w:hideMark/>
          </w:tcPr>
          <w:p w14:paraId="1E72EFB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−0.0596 to −0.0387</w:t>
            </w:r>
          </w:p>
        </w:tc>
      </w:tr>
      <w:tr w:rsidR="0028368D" w:rsidRPr="0028368D" w14:paraId="375A36A7" w14:textId="77777777">
        <w:trPr>
          <w:tblCellSpacing w:w="15" w:type="dxa"/>
        </w:trPr>
        <w:tc>
          <w:tcPr>
            <w:tcW w:w="0" w:type="auto"/>
            <w:vAlign w:val="center"/>
            <w:hideMark/>
          </w:tcPr>
          <w:p w14:paraId="31ED3FD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Consistent </w:t>
            </w:r>
            <w:proofErr w:type="spellStart"/>
            <w:r w:rsidRPr="0028368D">
              <w:rPr>
                <w:rFonts w:ascii="Times New Roman" w:hAnsi="Times New Roman" w:cs="Times New Roman"/>
              </w:rPr>
              <w:t>externaliser</w:t>
            </w:r>
            <w:proofErr w:type="spellEnd"/>
          </w:p>
        </w:tc>
        <w:tc>
          <w:tcPr>
            <w:tcW w:w="0" w:type="auto"/>
            <w:vAlign w:val="center"/>
            <w:hideMark/>
          </w:tcPr>
          <w:p w14:paraId="75B7546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−0.0859</w:t>
            </w:r>
          </w:p>
        </w:tc>
        <w:tc>
          <w:tcPr>
            <w:tcW w:w="0" w:type="auto"/>
            <w:vAlign w:val="center"/>
            <w:hideMark/>
          </w:tcPr>
          <w:p w14:paraId="152DD4D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0.0062</w:t>
            </w:r>
          </w:p>
        </w:tc>
        <w:tc>
          <w:tcPr>
            <w:tcW w:w="0" w:type="auto"/>
            <w:vAlign w:val="center"/>
            <w:hideMark/>
          </w:tcPr>
          <w:p w14:paraId="1A4A819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−0.0981 to −0.0737</w:t>
            </w:r>
          </w:p>
        </w:tc>
      </w:tr>
      <w:tr w:rsidR="0028368D" w:rsidRPr="0028368D" w14:paraId="093B7B01" w14:textId="77777777">
        <w:trPr>
          <w:tblCellSpacing w:w="15" w:type="dxa"/>
        </w:trPr>
        <w:tc>
          <w:tcPr>
            <w:tcW w:w="0" w:type="auto"/>
            <w:vAlign w:val="center"/>
            <w:hideMark/>
          </w:tcPr>
          <w:p w14:paraId="1AEF725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Inconsistent </w:t>
            </w:r>
            <w:proofErr w:type="spellStart"/>
            <w:r w:rsidRPr="0028368D">
              <w:rPr>
                <w:rFonts w:ascii="Times New Roman" w:hAnsi="Times New Roman" w:cs="Times New Roman"/>
              </w:rPr>
              <w:t>externaliser</w:t>
            </w:r>
            <w:proofErr w:type="spellEnd"/>
          </w:p>
        </w:tc>
        <w:tc>
          <w:tcPr>
            <w:tcW w:w="0" w:type="auto"/>
            <w:vAlign w:val="center"/>
            <w:hideMark/>
          </w:tcPr>
          <w:p w14:paraId="6F0367D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−0.0551</w:t>
            </w:r>
          </w:p>
        </w:tc>
        <w:tc>
          <w:tcPr>
            <w:tcW w:w="0" w:type="auto"/>
            <w:vAlign w:val="center"/>
            <w:hideMark/>
          </w:tcPr>
          <w:p w14:paraId="70B3D8A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0.0118</w:t>
            </w:r>
          </w:p>
        </w:tc>
        <w:tc>
          <w:tcPr>
            <w:tcW w:w="0" w:type="auto"/>
            <w:vAlign w:val="center"/>
            <w:hideMark/>
          </w:tcPr>
          <w:p w14:paraId="3E8B835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−0.0783 to −0.0320</w:t>
            </w:r>
          </w:p>
        </w:tc>
      </w:tr>
    </w:tbl>
    <w:p w14:paraId="49EA7E4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i/>
          <w:iCs/>
        </w:rPr>
        <w:t>Note:</w:t>
      </w:r>
      <w:r w:rsidRPr="0028368D">
        <w:rPr>
          <w:rFonts w:ascii="Times New Roman" w:hAnsi="Times New Roman" w:cs="Times New Roman"/>
        </w:rPr>
        <w:t xml:space="preserve"> From </w:t>
      </w:r>
      <w:proofErr w:type="spellStart"/>
      <w:r w:rsidRPr="0028368D">
        <w:rPr>
          <w:rFonts w:ascii="Times New Roman" w:hAnsi="Times New Roman" w:cs="Times New Roman"/>
        </w:rPr>
        <w:t>avg_comparisons</w:t>
      </w:r>
      <w:proofErr w:type="spellEnd"/>
      <w:r w:rsidRPr="0028368D">
        <w:rPr>
          <w:rFonts w:ascii="Times New Roman" w:hAnsi="Times New Roman" w:cs="Times New Roman"/>
        </w:rPr>
        <w:t xml:space="preserve"> on the model in Table 3. All p &lt; 0.001.</w:t>
      </w:r>
    </w:p>
    <w:p w14:paraId="43FB240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pict w14:anchorId="6771B595">
          <v:rect id="_x0000_i1063" style="width:0;height:1.5pt" o:hralign="center" o:hrstd="t" o:hr="t" fillcolor="#a0a0a0" stroked="f"/>
        </w:pict>
      </w:r>
    </w:p>
    <w:p w14:paraId="14A1661A"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Supplementary Note 3: Unweighted vs weighted comparison</w:t>
      </w:r>
    </w:p>
    <w:p w14:paraId="0ED6B33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S7. Table 3 model, unweighted vs weighted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0"/>
        <w:gridCol w:w="1287"/>
        <w:gridCol w:w="1034"/>
        <w:gridCol w:w="1481"/>
        <w:gridCol w:w="1242"/>
      </w:tblGrid>
      <w:tr w:rsidR="0028368D" w:rsidRPr="0028368D" w14:paraId="28502EA0" w14:textId="77777777">
        <w:trPr>
          <w:tblHeader/>
          <w:tblCellSpacing w:w="15" w:type="dxa"/>
        </w:trPr>
        <w:tc>
          <w:tcPr>
            <w:tcW w:w="0" w:type="auto"/>
            <w:vAlign w:val="center"/>
            <w:hideMark/>
          </w:tcPr>
          <w:p w14:paraId="5DA5E832"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Term</w:t>
            </w:r>
          </w:p>
        </w:tc>
        <w:tc>
          <w:tcPr>
            <w:tcW w:w="0" w:type="auto"/>
            <w:vAlign w:val="center"/>
            <w:hideMark/>
          </w:tcPr>
          <w:p w14:paraId="40C9AE3D"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Unweighted</w:t>
            </w:r>
          </w:p>
        </w:tc>
        <w:tc>
          <w:tcPr>
            <w:tcW w:w="0" w:type="auto"/>
            <w:vAlign w:val="center"/>
            <w:hideMark/>
          </w:tcPr>
          <w:p w14:paraId="142E3F77"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Weighted</w:t>
            </w:r>
          </w:p>
        </w:tc>
        <w:tc>
          <w:tcPr>
            <w:tcW w:w="0" w:type="auto"/>
            <w:vAlign w:val="center"/>
            <w:hideMark/>
          </w:tcPr>
          <w:p w14:paraId="4D4581E2"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Unweighted p</w:t>
            </w:r>
          </w:p>
        </w:tc>
        <w:tc>
          <w:tcPr>
            <w:tcW w:w="0" w:type="auto"/>
            <w:vAlign w:val="center"/>
            <w:hideMark/>
          </w:tcPr>
          <w:p w14:paraId="7E94AA24"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Weighted p</w:t>
            </w:r>
          </w:p>
        </w:tc>
      </w:tr>
      <w:tr w:rsidR="0028368D" w:rsidRPr="0028368D" w14:paraId="6A513051" w14:textId="77777777">
        <w:trPr>
          <w:tblCellSpacing w:w="15" w:type="dxa"/>
        </w:trPr>
        <w:tc>
          <w:tcPr>
            <w:tcW w:w="0" w:type="auto"/>
            <w:vAlign w:val="center"/>
            <w:hideMark/>
          </w:tcPr>
          <w:p w14:paraId="27197A3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(vs. China)</w:t>
            </w:r>
          </w:p>
        </w:tc>
        <w:tc>
          <w:tcPr>
            <w:tcW w:w="0" w:type="auto"/>
            <w:vAlign w:val="center"/>
            <w:hideMark/>
          </w:tcPr>
          <w:p w14:paraId="1772F59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−0.0574</w:t>
            </w:r>
          </w:p>
        </w:tc>
        <w:tc>
          <w:tcPr>
            <w:tcW w:w="0" w:type="auto"/>
            <w:vAlign w:val="center"/>
            <w:hideMark/>
          </w:tcPr>
          <w:p w14:paraId="30435DC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−0.0641</w:t>
            </w:r>
          </w:p>
        </w:tc>
        <w:tc>
          <w:tcPr>
            <w:tcW w:w="0" w:type="auto"/>
            <w:vAlign w:val="center"/>
            <w:hideMark/>
          </w:tcPr>
          <w:p w14:paraId="23711AD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451FA6D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1CC67480" w14:textId="77777777">
        <w:trPr>
          <w:tblCellSpacing w:w="15" w:type="dxa"/>
        </w:trPr>
        <w:tc>
          <w:tcPr>
            <w:tcW w:w="0" w:type="auto"/>
            <w:vAlign w:val="center"/>
            <w:hideMark/>
          </w:tcPr>
          <w:p w14:paraId="47B790E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(vs. China)</w:t>
            </w:r>
          </w:p>
        </w:tc>
        <w:tc>
          <w:tcPr>
            <w:tcW w:w="0" w:type="auto"/>
            <w:vAlign w:val="center"/>
            <w:hideMark/>
          </w:tcPr>
          <w:p w14:paraId="683FDDD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−0.0470</w:t>
            </w:r>
          </w:p>
        </w:tc>
        <w:tc>
          <w:tcPr>
            <w:tcW w:w="0" w:type="auto"/>
            <w:vAlign w:val="center"/>
            <w:hideMark/>
          </w:tcPr>
          <w:p w14:paraId="752D6F3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−0.0500</w:t>
            </w:r>
          </w:p>
        </w:tc>
        <w:tc>
          <w:tcPr>
            <w:tcW w:w="0" w:type="auto"/>
            <w:vAlign w:val="center"/>
            <w:hideMark/>
          </w:tcPr>
          <w:p w14:paraId="6B109E7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779B52D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0402A043" w14:textId="77777777">
        <w:trPr>
          <w:tblCellSpacing w:w="15" w:type="dxa"/>
        </w:trPr>
        <w:tc>
          <w:tcPr>
            <w:tcW w:w="0" w:type="auto"/>
            <w:vAlign w:val="center"/>
            <w:hideMark/>
          </w:tcPr>
          <w:p w14:paraId="04701D5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 Sovereign adapter</w:t>
            </w:r>
          </w:p>
        </w:tc>
        <w:tc>
          <w:tcPr>
            <w:tcW w:w="0" w:type="auto"/>
            <w:vAlign w:val="center"/>
            <w:hideMark/>
          </w:tcPr>
          <w:p w14:paraId="5C22F12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+0.0096</w:t>
            </w:r>
          </w:p>
        </w:tc>
        <w:tc>
          <w:tcPr>
            <w:tcW w:w="0" w:type="auto"/>
            <w:vAlign w:val="center"/>
            <w:hideMark/>
          </w:tcPr>
          <w:p w14:paraId="4389DE0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+0.0149</w:t>
            </w:r>
          </w:p>
        </w:tc>
        <w:tc>
          <w:tcPr>
            <w:tcW w:w="0" w:type="auto"/>
            <w:vAlign w:val="center"/>
            <w:hideMark/>
          </w:tcPr>
          <w:p w14:paraId="1B1868C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0.080</w:t>
            </w:r>
          </w:p>
        </w:tc>
        <w:tc>
          <w:tcPr>
            <w:tcW w:w="0" w:type="auto"/>
            <w:vAlign w:val="center"/>
            <w:hideMark/>
          </w:tcPr>
          <w:p w14:paraId="127740E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0.035</w:t>
            </w:r>
          </w:p>
        </w:tc>
      </w:tr>
      <w:tr w:rsidR="0028368D" w:rsidRPr="0028368D" w14:paraId="659AB98B" w14:textId="77777777">
        <w:trPr>
          <w:tblCellSpacing w:w="15" w:type="dxa"/>
        </w:trPr>
        <w:tc>
          <w:tcPr>
            <w:tcW w:w="0" w:type="auto"/>
            <w:vAlign w:val="center"/>
            <w:hideMark/>
          </w:tcPr>
          <w:p w14:paraId="73CAEDD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 Sovereign adapter</w:t>
            </w:r>
          </w:p>
        </w:tc>
        <w:tc>
          <w:tcPr>
            <w:tcW w:w="0" w:type="auto"/>
            <w:vAlign w:val="center"/>
            <w:hideMark/>
          </w:tcPr>
          <w:p w14:paraId="4B1390E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+0.0070</w:t>
            </w:r>
          </w:p>
        </w:tc>
        <w:tc>
          <w:tcPr>
            <w:tcW w:w="0" w:type="auto"/>
            <w:vAlign w:val="center"/>
            <w:hideMark/>
          </w:tcPr>
          <w:p w14:paraId="48AB879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+0.0067</w:t>
            </w:r>
          </w:p>
        </w:tc>
        <w:tc>
          <w:tcPr>
            <w:tcW w:w="0" w:type="auto"/>
            <w:vAlign w:val="center"/>
            <w:hideMark/>
          </w:tcPr>
          <w:p w14:paraId="777CE41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0.205</w:t>
            </w:r>
          </w:p>
        </w:tc>
        <w:tc>
          <w:tcPr>
            <w:tcW w:w="0" w:type="auto"/>
            <w:vAlign w:val="center"/>
            <w:hideMark/>
          </w:tcPr>
          <w:p w14:paraId="0D46864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0.352</w:t>
            </w:r>
          </w:p>
        </w:tc>
      </w:tr>
      <w:tr w:rsidR="0028368D" w:rsidRPr="0028368D" w14:paraId="40C3581C" w14:textId="77777777">
        <w:trPr>
          <w:tblCellSpacing w:w="15" w:type="dxa"/>
        </w:trPr>
        <w:tc>
          <w:tcPr>
            <w:tcW w:w="0" w:type="auto"/>
            <w:vAlign w:val="center"/>
            <w:hideMark/>
          </w:tcPr>
          <w:p w14:paraId="7BCD029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 Consistent </w:t>
            </w:r>
            <w:proofErr w:type="spellStart"/>
            <w:r w:rsidRPr="0028368D">
              <w:rPr>
                <w:rFonts w:ascii="Times New Roman" w:hAnsi="Times New Roman" w:cs="Times New Roman"/>
              </w:rPr>
              <w:t>externaliser</w:t>
            </w:r>
            <w:proofErr w:type="spellEnd"/>
          </w:p>
        </w:tc>
        <w:tc>
          <w:tcPr>
            <w:tcW w:w="0" w:type="auto"/>
            <w:vAlign w:val="center"/>
            <w:hideMark/>
          </w:tcPr>
          <w:p w14:paraId="02E8D5F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−0.0266</w:t>
            </w:r>
          </w:p>
        </w:tc>
        <w:tc>
          <w:tcPr>
            <w:tcW w:w="0" w:type="auto"/>
            <w:vAlign w:val="center"/>
            <w:hideMark/>
          </w:tcPr>
          <w:p w14:paraId="396605E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−0.0218</w:t>
            </w:r>
          </w:p>
        </w:tc>
        <w:tc>
          <w:tcPr>
            <w:tcW w:w="0" w:type="auto"/>
            <w:vAlign w:val="center"/>
            <w:hideMark/>
          </w:tcPr>
          <w:p w14:paraId="19FC60B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0216D3A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w:t>
            </w:r>
          </w:p>
        </w:tc>
      </w:tr>
      <w:tr w:rsidR="0028368D" w:rsidRPr="0028368D" w14:paraId="0001D84F" w14:textId="77777777">
        <w:trPr>
          <w:tblCellSpacing w:w="15" w:type="dxa"/>
        </w:trPr>
        <w:tc>
          <w:tcPr>
            <w:tcW w:w="0" w:type="auto"/>
            <w:vAlign w:val="center"/>
            <w:hideMark/>
          </w:tcPr>
          <w:p w14:paraId="2117EFD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 Consistent </w:t>
            </w:r>
            <w:proofErr w:type="spellStart"/>
            <w:r w:rsidRPr="0028368D">
              <w:rPr>
                <w:rFonts w:ascii="Times New Roman" w:hAnsi="Times New Roman" w:cs="Times New Roman"/>
              </w:rPr>
              <w:t>externaliser</w:t>
            </w:r>
            <w:proofErr w:type="spellEnd"/>
          </w:p>
        </w:tc>
        <w:tc>
          <w:tcPr>
            <w:tcW w:w="0" w:type="auto"/>
            <w:vAlign w:val="center"/>
            <w:hideMark/>
          </w:tcPr>
          <w:p w14:paraId="2E59928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−0.0164</w:t>
            </w:r>
          </w:p>
        </w:tc>
        <w:tc>
          <w:tcPr>
            <w:tcW w:w="0" w:type="auto"/>
            <w:vAlign w:val="center"/>
            <w:hideMark/>
          </w:tcPr>
          <w:p w14:paraId="3D581DF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−0.0170</w:t>
            </w:r>
          </w:p>
        </w:tc>
        <w:tc>
          <w:tcPr>
            <w:tcW w:w="0" w:type="auto"/>
            <w:vAlign w:val="center"/>
            <w:hideMark/>
          </w:tcPr>
          <w:p w14:paraId="78815D8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0.006</w:t>
            </w:r>
          </w:p>
        </w:tc>
        <w:tc>
          <w:tcPr>
            <w:tcW w:w="0" w:type="auto"/>
            <w:vAlign w:val="center"/>
            <w:hideMark/>
          </w:tcPr>
          <w:p w14:paraId="15EEAA24"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0.026</w:t>
            </w:r>
          </w:p>
        </w:tc>
      </w:tr>
      <w:tr w:rsidR="0028368D" w:rsidRPr="0028368D" w14:paraId="571230FD" w14:textId="77777777">
        <w:trPr>
          <w:tblCellSpacing w:w="15" w:type="dxa"/>
        </w:trPr>
        <w:tc>
          <w:tcPr>
            <w:tcW w:w="0" w:type="auto"/>
            <w:vAlign w:val="center"/>
            <w:hideMark/>
          </w:tcPr>
          <w:p w14:paraId="61D40F2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 Inconsistent </w:t>
            </w:r>
            <w:proofErr w:type="spellStart"/>
            <w:r w:rsidRPr="0028368D">
              <w:rPr>
                <w:rFonts w:ascii="Times New Roman" w:hAnsi="Times New Roman" w:cs="Times New Roman"/>
              </w:rPr>
              <w:t>externaliser</w:t>
            </w:r>
            <w:proofErr w:type="spellEnd"/>
          </w:p>
        </w:tc>
        <w:tc>
          <w:tcPr>
            <w:tcW w:w="0" w:type="auto"/>
            <w:vAlign w:val="center"/>
            <w:hideMark/>
          </w:tcPr>
          <w:p w14:paraId="1F5593A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−0.0013</w:t>
            </w:r>
          </w:p>
        </w:tc>
        <w:tc>
          <w:tcPr>
            <w:tcW w:w="0" w:type="auto"/>
            <w:vAlign w:val="center"/>
            <w:hideMark/>
          </w:tcPr>
          <w:p w14:paraId="310E182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+0.0090</w:t>
            </w:r>
          </w:p>
        </w:tc>
        <w:tc>
          <w:tcPr>
            <w:tcW w:w="0" w:type="auto"/>
            <w:vAlign w:val="center"/>
            <w:hideMark/>
          </w:tcPr>
          <w:p w14:paraId="04C169A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0.905</w:t>
            </w:r>
          </w:p>
        </w:tc>
        <w:tc>
          <w:tcPr>
            <w:tcW w:w="0" w:type="auto"/>
            <w:vAlign w:val="center"/>
            <w:hideMark/>
          </w:tcPr>
          <w:p w14:paraId="0AFE410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0.480</w:t>
            </w:r>
          </w:p>
        </w:tc>
      </w:tr>
      <w:tr w:rsidR="0028368D" w:rsidRPr="0028368D" w14:paraId="42A002D7" w14:textId="77777777">
        <w:trPr>
          <w:tblCellSpacing w:w="15" w:type="dxa"/>
        </w:trPr>
        <w:tc>
          <w:tcPr>
            <w:tcW w:w="0" w:type="auto"/>
            <w:vAlign w:val="center"/>
            <w:hideMark/>
          </w:tcPr>
          <w:p w14:paraId="6FEE4C9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 Inconsistent </w:t>
            </w:r>
            <w:proofErr w:type="spellStart"/>
            <w:r w:rsidRPr="0028368D">
              <w:rPr>
                <w:rFonts w:ascii="Times New Roman" w:hAnsi="Times New Roman" w:cs="Times New Roman"/>
              </w:rPr>
              <w:t>externaliser</w:t>
            </w:r>
            <w:proofErr w:type="spellEnd"/>
          </w:p>
        </w:tc>
        <w:tc>
          <w:tcPr>
            <w:tcW w:w="0" w:type="auto"/>
            <w:vAlign w:val="center"/>
            <w:hideMark/>
          </w:tcPr>
          <w:p w14:paraId="23FE737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−0.0005</w:t>
            </w:r>
          </w:p>
        </w:tc>
        <w:tc>
          <w:tcPr>
            <w:tcW w:w="0" w:type="auto"/>
            <w:vAlign w:val="center"/>
            <w:hideMark/>
          </w:tcPr>
          <w:p w14:paraId="73A1427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+0.0031</w:t>
            </w:r>
          </w:p>
        </w:tc>
        <w:tc>
          <w:tcPr>
            <w:tcW w:w="0" w:type="auto"/>
            <w:vAlign w:val="center"/>
            <w:hideMark/>
          </w:tcPr>
          <w:p w14:paraId="0C80016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0.959</w:t>
            </w:r>
          </w:p>
        </w:tc>
        <w:tc>
          <w:tcPr>
            <w:tcW w:w="0" w:type="auto"/>
            <w:vAlign w:val="center"/>
            <w:hideMark/>
          </w:tcPr>
          <w:p w14:paraId="25C2F0E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0.815</w:t>
            </w:r>
          </w:p>
        </w:tc>
      </w:tr>
    </w:tbl>
    <w:p w14:paraId="0F99CBC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S8. Table 5 model, unweighted vs weighted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3"/>
        <w:gridCol w:w="1287"/>
        <w:gridCol w:w="1034"/>
        <w:gridCol w:w="1481"/>
        <w:gridCol w:w="1242"/>
      </w:tblGrid>
      <w:tr w:rsidR="0028368D" w:rsidRPr="0028368D" w14:paraId="7E1D1291" w14:textId="77777777">
        <w:trPr>
          <w:tblHeader/>
          <w:tblCellSpacing w:w="15" w:type="dxa"/>
        </w:trPr>
        <w:tc>
          <w:tcPr>
            <w:tcW w:w="0" w:type="auto"/>
            <w:vAlign w:val="center"/>
            <w:hideMark/>
          </w:tcPr>
          <w:p w14:paraId="1A2C14D9"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Term</w:t>
            </w:r>
          </w:p>
        </w:tc>
        <w:tc>
          <w:tcPr>
            <w:tcW w:w="0" w:type="auto"/>
            <w:vAlign w:val="center"/>
            <w:hideMark/>
          </w:tcPr>
          <w:p w14:paraId="2828841A"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Unweighted</w:t>
            </w:r>
          </w:p>
        </w:tc>
        <w:tc>
          <w:tcPr>
            <w:tcW w:w="0" w:type="auto"/>
            <w:vAlign w:val="center"/>
            <w:hideMark/>
          </w:tcPr>
          <w:p w14:paraId="3560A6EC"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Weighted</w:t>
            </w:r>
          </w:p>
        </w:tc>
        <w:tc>
          <w:tcPr>
            <w:tcW w:w="0" w:type="auto"/>
            <w:vAlign w:val="center"/>
            <w:hideMark/>
          </w:tcPr>
          <w:p w14:paraId="57F07E87"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Unweighted p</w:t>
            </w:r>
          </w:p>
        </w:tc>
        <w:tc>
          <w:tcPr>
            <w:tcW w:w="0" w:type="auto"/>
            <w:vAlign w:val="center"/>
            <w:hideMark/>
          </w:tcPr>
          <w:p w14:paraId="4032F63B"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Weighted p</w:t>
            </w:r>
          </w:p>
        </w:tc>
      </w:tr>
      <w:tr w:rsidR="0028368D" w:rsidRPr="0028368D" w14:paraId="0545FB7D" w14:textId="77777777">
        <w:trPr>
          <w:tblCellSpacing w:w="15" w:type="dxa"/>
        </w:trPr>
        <w:tc>
          <w:tcPr>
            <w:tcW w:w="0" w:type="auto"/>
            <w:vAlign w:val="center"/>
            <w:hideMark/>
          </w:tcPr>
          <w:p w14:paraId="3C5E3C6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 Climate-aware</w:t>
            </w:r>
          </w:p>
        </w:tc>
        <w:tc>
          <w:tcPr>
            <w:tcW w:w="0" w:type="auto"/>
            <w:vAlign w:val="center"/>
            <w:hideMark/>
          </w:tcPr>
          <w:p w14:paraId="06406C2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−0.0217</w:t>
            </w:r>
          </w:p>
        </w:tc>
        <w:tc>
          <w:tcPr>
            <w:tcW w:w="0" w:type="auto"/>
            <w:vAlign w:val="center"/>
            <w:hideMark/>
          </w:tcPr>
          <w:p w14:paraId="7082C0A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−0.0190</w:t>
            </w:r>
          </w:p>
        </w:tc>
        <w:tc>
          <w:tcPr>
            <w:tcW w:w="0" w:type="auto"/>
            <w:vAlign w:val="center"/>
            <w:hideMark/>
          </w:tcPr>
          <w:p w14:paraId="6324C8D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c>
          <w:tcPr>
            <w:tcW w:w="0" w:type="auto"/>
            <w:vAlign w:val="center"/>
            <w:hideMark/>
          </w:tcPr>
          <w:p w14:paraId="153AA12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7A04A507" w14:textId="77777777">
        <w:trPr>
          <w:tblCellSpacing w:w="15" w:type="dxa"/>
        </w:trPr>
        <w:tc>
          <w:tcPr>
            <w:tcW w:w="0" w:type="auto"/>
            <w:vAlign w:val="center"/>
            <w:hideMark/>
          </w:tcPr>
          <w:p w14:paraId="68CDB07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 Climate-aware</w:t>
            </w:r>
          </w:p>
        </w:tc>
        <w:tc>
          <w:tcPr>
            <w:tcW w:w="0" w:type="auto"/>
            <w:vAlign w:val="center"/>
            <w:hideMark/>
          </w:tcPr>
          <w:p w14:paraId="35F7BF1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−0.0002</w:t>
            </w:r>
          </w:p>
        </w:tc>
        <w:tc>
          <w:tcPr>
            <w:tcW w:w="0" w:type="auto"/>
            <w:vAlign w:val="center"/>
            <w:hideMark/>
          </w:tcPr>
          <w:p w14:paraId="7C69AFF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−0.0002</w:t>
            </w:r>
          </w:p>
        </w:tc>
        <w:tc>
          <w:tcPr>
            <w:tcW w:w="0" w:type="auto"/>
            <w:vAlign w:val="center"/>
            <w:hideMark/>
          </w:tcPr>
          <w:p w14:paraId="7D915B5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0.939</w:t>
            </w:r>
          </w:p>
        </w:tc>
        <w:tc>
          <w:tcPr>
            <w:tcW w:w="0" w:type="auto"/>
            <w:vAlign w:val="center"/>
            <w:hideMark/>
          </w:tcPr>
          <w:p w14:paraId="4C692D8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0.966</w:t>
            </w:r>
          </w:p>
        </w:tc>
      </w:tr>
    </w:tbl>
    <w:p w14:paraId="1F3BE99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Summary.</w:t>
      </w:r>
      <w:r w:rsidRPr="0028368D">
        <w:rPr>
          <w:rFonts w:ascii="Times New Roman" w:hAnsi="Times New Roman" w:cs="Times New Roman"/>
        </w:rPr>
        <w:t xml:space="preserve"> The weighted gaps are slightly larger than the unweighted gaps (e.g., −0.064 vs −0.057 for internalisers; −0.084 vs −0.083 for externalisers). The sovereign-adapter contrast is significant under weighting (p = 0.035) but marginal under non-weighting (p = 0.080). The weighted specification is the appropriate one for population inference and is reported as primary in the main text.</w:t>
      </w:r>
    </w:p>
    <w:p w14:paraId="587D1CF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lastRenderedPageBreak/>
        <w:pict w14:anchorId="104FF69D">
          <v:rect id="_x0000_i1064" style="width:0;height:1.5pt" o:hralign="center" o:hrstd="t" o:hr="t" fillcolor="#a0a0a0" stroked="f"/>
        </w:pict>
      </w:r>
    </w:p>
    <w:p w14:paraId="52CE45FE"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Supplementary Note 4: Complete-case specification</w:t>
      </w:r>
    </w:p>
    <w:p w14:paraId="4E5FF59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The main analysis recodes "Don't know" and "Refused" responses on the power ratings (Q67B, Q67C, Q67H) as the neutral midpoint (0.5 on the rescaled 0–1 scale), retaining 5,692 respondents who would otherwise be dropped from the rating models. Table S9 replicates the main interaction model using the complete-case specification (N = 18,726), in which those responses are dropped rather than recoded.</w:t>
      </w:r>
    </w:p>
    <w:p w14:paraId="525CA2C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Table S9. Complete-case specification, power interactions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0"/>
        <w:gridCol w:w="967"/>
        <w:gridCol w:w="720"/>
        <w:gridCol w:w="751"/>
      </w:tblGrid>
      <w:tr w:rsidR="0028368D" w:rsidRPr="0028368D" w14:paraId="4D4B92A6" w14:textId="77777777">
        <w:trPr>
          <w:tblHeader/>
          <w:tblCellSpacing w:w="15" w:type="dxa"/>
        </w:trPr>
        <w:tc>
          <w:tcPr>
            <w:tcW w:w="0" w:type="auto"/>
            <w:vAlign w:val="center"/>
            <w:hideMark/>
          </w:tcPr>
          <w:p w14:paraId="46DD83BC"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Term</w:t>
            </w:r>
          </w:p>
        </w:tc>
        <w:tc>
          <w:tcPr>
            <w:tcW w:w="0" w:type="auto"/>
            <w:vAlign w:val="center"/>
            <w:hideMark/>
          </w:tcPr>
          <w:p w14:paraId="3B139C2A"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Estimate</w:t>
            </w:r>
          </w:p>
        </w:tc>
        <w:tc>
          <w:tcPr>
            <w:tcW w:w="0" w:type="auto"/>
            <w:vAlign w:val="center"/>
            <w:hideMark/>
          </w:tcPr>
          <w:p w14:paraId="7A5ABB11"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SE</w:t>
            </w:r>
          </w:p>
        </w:tc>
        <w:tc>
          <w:tcPr>
            <w:tcW w:w="0" w:type="auto"/>
            <w:vAlign w:val="center"/>
            <w:hideMark/>
          </w:tcPr>
          <w:p w14:paraId="05C763C8"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p</w:t>
            </w:r>
          </w:p>
        </w:tc>
      </w:tr>
      <w:tr w:rsidR="0028368D" w:rsidRPr="0028368D" w14:paraId="43697410" w14:textId="77777777">
        <w:trPr>
          <w:tblCellSpacing w:w="15" w:type="dxa"/>
        </w:trPr>
        <w:tc>
          <w:tcPr>
            <w:tcW w:w="0" w:type="auto"/>
            <w:vAlign w:val="center"/>
            <w:hideMark/>
          </w:tcPr>
          <w:p w14:paraId="6745BD7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(vs. China)</w:t>
            </w:r>
          </w:p>
        </w:tc>
        <w:tc>
          <w:tcPr>
            <w:tcW w:w="0" w:type="auto"/>
            <w:vAlign w:val="center"/>
            <w:hideMark/>
          </w:tcPr>
          <w:p w14:paraId="7982BC9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−0.0623</w:t>
            </w:r>
          </w:p>
        </w:tc>
        <w:tc>
          <w:tcPr>
            <w:tcW w:w="0" w:type="auto"/>
            <w:vAlign w:val="center"/>
            <w:hideMark/>
          </w:tcPr>
          <w:p w14:paraId="278B0EA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0.0056</w:t>
            </w:r>
          </w:p>
        </w:tc>
        <w:tc>
          <w:tcPr>
            <w:tcW w:w="0" w:type="auto"/>
            <w:vAlign w:val="center"/>
            <w:hideMark/>
          </w:tcPr>
          <w:p w14:paraId="1CBE164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5691FC6E" w14:textId="77777777">
        <w:trPr>
          <w:tblCellSpacing w:w="15" w:type="dxa"/>
        </w:trPr>
        <w:tc>
          <w:tcPr>
            <w:tcW w:w="0" w:type="auto"/>
            <w:vAlign w:val="center"/>
            <w:hideMark/>
          </w:tcPr>
          <w:p w14:paraId="3F96749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(vs. China)</w:t>
            </w:r>
          </w:p>
        </w:tc>
        <w:tc>
          <w:tcPr>
            <w:tcW w:w="0" w:type="auto"/>
            <w:vAlign w:val="center"/>
            <w:hideMark/>
          </w:tcPr>
          <w:p w14:paraId="0A03721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−0.0395</w:t>
            </w:r>
          </w:p>
        </w:tc>
        <w:tc>
          <w:tcPr>
            <w:tcW w:w="0" w:type="auto"/>
            <w:vAlign w:val="center"/>
            <w:hideMark/>
          </w:tcPr>
          <w:p w14:paraId="413D914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0.0053</w:t>
            </w:r>
          </w:p>
        </w:tc>
        <w:tc>
          <w:tcPr>
            <w:tcW w:w="0" w:type="auto"/>
            <w:vAlign w:val="center"/>
            <w:hideMark/>
          </w:tcPr>
          <w:p w14:paraId="71FB73AF"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&lt;0.001</w:t>
            </w:r>
          </w:p>
        </w:tc>
      </w:tr>
      <w:tr w:rsidR="0028368D" w:rsidRPr="0028368D" w14:paraId="68D08007" w14:textId="77777777">
        <w:trPr>
          <w:tblCellSpacing w:w="15" w:type="dxa"/>
        </w:trPr>
        <w:tc>
          <w:tcPr>
            <w:tcW w:w="0" w:type="auto"/>
            <w:vAlign w:val="center"/>
            <w:hideMark/>
          </w:tcPr>
          <w:p w14:paraId="398DEB8B"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US × Sovereign adapter</w:t>
            </w:r>
          </w:p>
        </w:tc>
        <w:tc>
          <w:tcPr>
            <w:tcW w:w="0" w:type="auto"/>
            <w:vAlign w:val="center"/>
            <w:hideMark/>
          </w:tcPr>
          <w:p w14:paraId="1491F65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+0.0156</w:t>
            </w:r>
          </w:p>
        </w:tc>
        <w:tc>
          <w:tcPr>
            <w:tcW w:w="0" w:type="auto"/>
            <w:vAlign w:val="center"/>
            <w:hideMark/>
          </w:tcPr>
          <w:p w14:paraId="3EA3F59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0.0085</w:t>
            </w:r>
          </w:p>
        </w:tc>
        <w:tc>
          <w:tcPr>
            <w:tcW w:w="0" w:type="auto"/>
            <w:vAlign w:val="center"/>
            <w:hideMark/>
          </w:tcPr>
          <w:p w14:paraId="331286F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0.067</w:t>
            </w:r>
          </w:p>
        </w:tc>
      </w:tr>
      <w:tr w:rsidR="0028368D" w:rsidRPr="0028368D" w14:paraId="6EA42393" w14:textId="77777777">
        <w:trPr>
          <w:tblCellSpacing w:w="15" w:type="dxa"/>
        </w:trPr>
        <w:tc>
          <w:tcPr>
            <w:tcW w:w="0" w:type="auto"/>
            <w:vAlign w:val="center"/>
            <w:hideMark/>
          </w:tcPr>
          <w:p w14:paraId="21CC85A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EU × Sovereign adapter</w:t>
            </w:r>
          </w:p>
        </w:tc>
        <w:tc>
          <w:tcPr>
            <w:tcW w:w="0" w:type="auto"/>
            <w:vAlign w:val="center"/>
            <w:hideMark/>
          </w:tcPr>
          <w:p w14:paraId="3E2F395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+0.0040</w:t>
            </w:r>
          </w:p>
        </w:tc>
        <w:tc>
          <w:tcPr>
            <w:tcW w:w="0" w:type="auto"/>
            <w:vAlign w:val="center"/>
            <w:hideMark/>
          </w:tcPr>
          <w:p w14:paraId="34B7C63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0.0086</w:t>
            </w:r>
          </w:p>
        </w:tc>
        <w:tc>
          <w:tcPr>
            <w:tcW w:w="0" w:type="auto"/>
            <w:vAlign w:val="center"/>
            <w:hideMark/>
          </w:tcPr>
          <w:p w14:paraId="093C701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0.638</w:t>
            </w:r>
          </w:p>
        </w:tc>
      </w:tr>
      <w:tr w:rsidR="0028368D" w:rsidRPr="0028368D" w14:paraId="79C0E4F9" w14:textId="77777777">
        <w:trPr>
          <w:tblCellSpacing w:w="15" w:type="dxa"/>
        </w:trPr>
        <w:tc>
          <w:tcPr>
            <w:tcW w:w="0" w:type="auto"/>
            <w:vAlign w:val="center"/>
            <w:hideMark/>
          </w:tcPr>
          <w:p w14:paraId="29F5B1B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 Consistent </w:t>
            </w:r>
            <w:proofErr w:type="spellStart"/>
            <w:r w:rsidRPr="0028368D">
              <w:rPr>
                <w:rFonts w:ascii="Times New Roman" w:hAnsi="Times New Roman" w:cs="Times New Roman"/>
              </w:rPr>
              <w:t>externaliser</w:t>
            </w:r>
            <w:proofErr w:type="spellEnd"/>
          </w:p>
        </w:tc>
        <w:tc>
          <w:tcPr>
            <w:tcW w:w="0" w:type="auto"/>
            <w:vAlign w:val="center"/>
            <w:hideMark/>
          </w:tcPr>
          <w:p w14:paraId="51AFA84C"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−0.0214</w:t>
            </w:r>
          </w:p>
        </w:tc>
        <w:tc>
          <w:tcPr>
            <w:tcW w:w="0" w:type="auto"/>
            <w:vAlign w:val="center"/>
            <w:hideMark/>
          </w:tcPr>
          <w:p w14:paraId="5AD85E4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0.0093</w:t>
            </w:r>
          </w:p>
        </w:tc>
        <w:tc>
          <w:tcPr>
            <w:tcW w:w="0" w:type="auto"/>
            <w:vAlign w:val="center"/>
            <w:hideMark/>
          </w:tcPr>
          <w:p w14:paraId="39A493A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0.021</w:t>
            </w:r>
          </w:p>
        </w:tc>
      </w:tr>
      <w:tr w:rsidR="0028368D" w:rsidRPr="0028368D" w14:paraId="2E73AC7B" w14:textId="77777777">
        <w:trPr>
          <w:tblCellSpacing w:w="15" w:type="dxa"/>
        </w:trPr>
        <w:tc>
          <w:tcPr>
            <w:tcW w:w="0" w:type="auto"/>
            <w:vAlign w:val="center"/>
            <w:hideMark/>
          </w:tcPr>
          <w:p w14:paraId="781D21F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 Consistent </w:t>
            </w:r>
            <w:proofErr w:type="spellStart"/>
            <w:r w:rsidRPr="0028368D">
              <w:rPr>
                <w:rFonts w:ascii="Times New Roman" w:hAnsi="Times New Roman" w:cs="Times New Roman"/>
              </w:rPr>
              <w:t>externaliser</w:t>
            </w:r>
            <w:proofErr w:type="spellEnd"/>
          </w:p>
        </w:tc>
        <w:tc>
          <w:tcPr>
            <w:tcW w:w="0" w:type="auto"/>
            <w:vAlign w:val="center"/>
            <w:hideMark/>
          </w:tcPr>
          <w:p w14:paraId="10ACBDC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−0.0195</w:t>
            </w:r>
          </w:p>
        </w:tc>
        <w:tc>
          <w:tcPr>
            <w:tcW w:w="0" w:type="auto"/>
            <w:vAlign w:val="center"/>
            <w:hideMark/>
          </w:tcPr>
          <w:p w14:paraId="4DFA1672"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0.0091</w:t>
            </w:r>
          </w:p>
        </w:tc>
        <w:tc>
          <w:tcPr>
            <w:tcW w:w="0" w:type="auto"/>
            <w:vAlign w:val="center"/>
            <w:hideMark/>
          </w:tcPr>
          <w:p w14:paraId="0E3BFD5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0.032</w:t>
            </w:r>
          </w:p>
        </w:tc>
      </w:tr>
      <w:tr w:rsidR="0028368D" w:rsidRPr="0028368D" w14:paraId="2DA464CE" w14:textId="77777777">
        <w:trPr>
          <w:tblCellSpacing w:w="15" w:type="dxa"/>
        </w:trPr>
        <w:tc>
          <w:tcPr>
            <w:tcW w:w="0" w:type="auto"/>
            <w:vAlign w:val="center"/>
            <w:hideMark/>
          </w:tcPr>
          <w:p w14:paraId="26ACC06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US × Inconsistent </w:t>
            </w:r>
            <w:proofErr w:type="spellStart"/>
            <w:r w:rsidRPr="0028368D">
              <w:rPr>
                <w:rFonts w:ascii="Times New Roman" w:hAnsi="Times New Roman" w:cs="Times New Roman"/>
              </w:rPr>
              <w:t>externaliser</w:t>
            </w:r>
            <w:proofErr w:type="spellEnd"/>
          </w:p>
        </w:tc>
        <w:tc>
          <w:tcPr>
            <w:tcW w:w="0" w:type="auto"/>
            <w:vAlign w:val="center"/>
            <w:hideMark/>
          </w:tcPr>
          <w:p w14:paraId="4C5E0177"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+0.0088</w:t>
            </w:r>
          </w:p>
        </w:tc>
        <w:tc>
          <w:tcPr>
            <w:tcW w:w="0" w:type="auto"/>
            <w:vAlign w:val="center"/>
            <w:hideMark/>
          </w:tcPr>
          <w:p w14:paraId="4D6B081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0.0148</w:t>
            </w:r>
          </w:p>
        </w:tc>
        <w:tc>
          <w:tcPr>
            <w:tcW w:w="0" w:type="auto"/>
            <w:vAlign w:val="center"/>
            <w:hideMark/>
          </w:tcPr>
          <w:p w14:paraId="1E22871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0.553</w:t>
            </w:r>
          </w:p>
        </w:tc>
      </w:tr>
      <w:tr w:rsidR="0028368D" w:rsidRPr="0028368D" w14:paraId="1D32EBF6" w14:textId="77777777">
        <w:trPr>
          <w:tblCellSpacing w:w="15" w:type="dxa"/>
        </w:trPr>
        <w:tc>
          <w:tcPr>
            <w:tcW w:w="0" w:type="auto"/>
            <w:vAlign w:val="center"/>
            <w:hideMark/>
          </w:tcPr>
          <w:p w14:paraId="16BBED3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 xml:space="preserve">EU × Inconsistent </w:t>
            </w:r>
            <w:proofErr w:type="spellStart"/>
            <w:r w:rsidRPr="0028368D">
              <w:rPr>
                <w:rFonts w:ascii="Times New Roman" w:hAnsi="Times New Roman" w:cs="Times New Roman"/>
              </w:rPr>
              <w:t>externaliser</w:t>
            </w:r>
            <w:proofErr w:type="spellEnd"/>
          </w:p>
        </w:tc>
        <w:tc>
          <w:tcPr>
            <w:tcW w:w="0" w:type="auto"/>
            <w:vAlign w:val="center"/>
            <w:hideMark/>
          </w:tcPr>
          <w:p w14:paraId="4287D0D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−0.0001</w:t>
            </w:r>
          </w:p>
        </w:tc>
        <w:tc>
          <w:tcPr>
            <w:tcW w:w="0" w:type="auto"/>
            <w:vAlign w:val="center"/>
            <w:hideMark/>
          </w:tcPr>
          <w:p w14:paraId="6F637FA0"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0.0155</w:t>
            </w:r>
          </w:p>
        </w:tc>
        <w:tc>
          <w:tcPr>
            <w:tcW w:w="0" w:type="auto"/>
            <w:vAlign w:val="center"/>
            <w:hideMark/>
          </w:tcPr>
          <w:p w14:paraId="57240DD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0.994</w:t>
            </w:r>
          </w:p>
        </w:tc>
      </w:tr>
    </w:tbl>
    <w:p w14:paraId="4592F876"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i/>
          <w:iCs/>
        </w:rPr>
        <w:t>Note:</w:t>
      </w:r>
      <w:r w:rsidRPr="0028368D">
        <w:rPr>
          <w:rFonts w:ascii="Times New Roman" w:hAnsi="Times New Roman" w:cs="Times New Roman"/>
        </w:rPr>
        <w:t xml:space="preserve"> Survey-weighted estimates; standard errors clustered at the respondent level. N = 18,726 respondents.</w:t>
      </w:r>
    </w:p>
    <w:p w14:paraId="3252944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Summary.</w:t>
      </w:r>
      <w:r w:rsidRPr="0028368D">
        <w:rPr>
          <w:rFonts w:ascii="Times New Roman" w:hAnsi="Times New Roman" w:cs="Times New Roman"/>
        </w:rPr>
        <w:t xml:space="preserve"> The complete-case estimates are substantively identical to the main weighted estimates. The </w:t>
      </w:r>
      <w:proofErr w:type="spellStart"/>
      <w:r w:rsidRPr="0028368D">
        <w:rPr>
          <w:rFonts w:ascii="Times New Roman" w:hAnsi="Times New Roman" w:cs="Times New Roman"/>
        </w:rPr>
        <w:t>externaliser</w:t>
      </w:r>
      <w:proofErr w:type="spellEnd"/>
      <w:r w:rsidRPr="0028368D">
        <w:rPr>
          <w:rFonts w:ascii="Times New Roman" w:hAnsi="Times New Roman" w:cs="Times New Roman"/>
        </w:rPr>
        <w:t xml:space="preserve"> interaction remains significant (−0.021, p = 0.021); the sovereign-adapter interaction is marginal (+0.016, p = 0.067), consistent with the main text's scope condition.</w:t>
      </w:r>
    </w:p>
    <w:p w14:paraId="250EE6E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pict w14:anchorId="66B4A493">
          <v:rect id="_x0000_i1065" style="width:0;height:1.5pt" o:hralign="center" o:hrstd="t" o:hr="t" fillcolor="#a0a0a0" stroked="f"/>
        </w:pict>
      </w:r>
    </w:p>
    <w:p w14:paraId="47BCB223"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 xml:space="preserve">Supplementary Note 5: Alternative attribution </w:t>
      </w:r>
      <w:proofErr w:type="gramStart"/>
      <w:r w:rsidRPr="0028368D">
        <w:rPr>
          <w:rFonts w:ascii="Times New Roman" w:hAnsi="Times New Roman" w:cs="Times New Roman"/>
          <w:b/>
          <w:bCs/>
        </w:rPr>
        <w:t>recode</w:t>
      </w:r>
      <w:proofErr w:type="gramEnd"/>
    </w:p>
    <w:p w14:paraId="2D0AC57A"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t>The main analysis treats "None of these" (Q62D = 0) and "Someone else" (Q62D = 6) as missing. As a robustness check, we re-estimate the models treating these as domestic remedy (coded 0). The four-type distribution shifts by less than 1 percentage point in each category, and the interaction coefficients are unchanged in sign and significance (results available on request). The main text reports the conservative specification (treating these as missing).</w:t>
      </w:r>
    </w:p>
    <w:p w14:paraId="1146AE3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rPr>
        <w:pict w14:anchorId="3B1A7671">
          <v:rect id="_x0000_i1066" style="width:0;height:1.5pt" o:hralign="center" o:hrstd="t" o:hr="t" fillcolor="#a0a0a0" stroked="f"/>
        </w:pict>
      </w:r>
    </w:p>
    <w:p w14:paraId="5F96461A" w14:textId="77777777" w:rsidR="0028368D" w:rsidRPr="0028368D" w:rsidRDefault="0028368D" w:rsidP="0028368D">
      <w:pPr>
        <w:jc w:val="both"/>
        <w:rPr>
          <w:rFonts w:ascii="Times New Roman" w:hAnsi="Times New Roman" w:cs="Times New Roman"/>
          <w:b/>
          <w:bCs/>
        </w:rPr>
      </w:pPr>
      <w:r w:rsidRPr="0028368D">
        <w:rPr>
          <w:rFonts w:ascii="Times New Roman" w:hAnsi="Times New Roman" w:cs="Times New Roman"/>
          <w:b/>
          <w:bCs/>
        </w:rPr>
        <w:t>Supplementary Note 6: Survey questions and coding</w:t>
      </w:r>
    </w:p>
    <w:p w14:paraId="230C3049"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lastRenderedPageBreak/>
        <w:t>Q60A (Climate awareness).</w:t>
      </w:r>
      <w:r w:rsidRPr="0028368D">
        <w:rPr>
          <w:rFonts w:ascii="Times New Roman" w:hAnsi="Times New Roman" w:cs="Times New Roman"/>
        </w:rPr>
        <w:t xml:space="preserve"> "Have you heard about climate change?" Coded 1 = Yes, 0 = No.</w:t>
      </w:r>
    </w:p>
    <w:p w14:paraId="25A51605"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Q61A (Anthropogenic cause).</w:t>
      </w:r>
      <w:r w:rsidRPr="0028368D">
        <w:rPr>
          <w:rFonts w:ascii="Times New Roman" w:hAnsi="Times New Roman" w:cs="Times New Roman"/>
        </w:rPr>
        <w:t xml:space="preserve"> "What do you think is the main cause of climate change?" Coded 1 = Human activity, 2 = Natural processes, 3 = Both, 4 = Other, 8 = Refused, 9 = Don't know.</w:t>
      </w:r>
    </w:p>
    <w:p w14:paraId="494A8BD1"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Q61B (Cause attribution).</w:t>
      </w:r>
      <w:r w:rsidRPr="0028368D">
        <w:rPr>
          <w:rFonts w:ascii="Times New Roman" w:hAnsi="Times New Roman" w:cs="Times New Roman"/>
        </w:rPr>
        <w:t xml:space="preserve"> "Who is most responsible for causing climate change?" Coded 1 = Domestic actors ("people, businesses, and governments in [own country]"), 2 = Foreign actors ("people, businesses, and governments in other parts of the world"), 3 = None of these, 8 = Refused, 9 = Don't know. The main analysis uses 1 = domestic cause, 2 = foreign cause; 3, 8, 9 = missing.</w:t>
      </w:r>
    </w:p>
    <w:p w14:paraId="4BE2AE23"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Q62D (Remedy attribution).</w:t>
      </w:r>
      <w:r w:rsidRPr="0028368D">
        <w:rPr>
          <w:rFonts w:ascii="Times New Roman" w:hAnsi="Times New Roman" w:cs="Times New Roman"/>
        </w:rPr>
        <w:t xml:space="preserve"> "Who should have primary responsibility for limiting climate change and reducing its impact?" Coded 1 = Ordinary citizens, 2 = Business and industry, 3 = Government, 4 = Rich or developed countries, 5 = Traditional leaders, 6 = Someone else, 0 = None of these, 8 = Refused, 9 = Don't know. The main analysis uses 4 = foreign remedy, 1/2/3/5 = domestic remedy; 0, 6, 8, 9 = missing.</w:t>
      </w:r>
    </w:p>
    <w:p w14:paraId="523F4D0E"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Q67B, Q67C, Q67H (Power evaluations).</w:t>
      </w:r>
      <w:r w:rsidRPr="0028368D">
        <w:rPr>
          <w:rFonts w:ascii="Times New Roman" w:hAnsi="Times New Roman" w:cs="Times New Roman"/>
        </w:rPr>
        <w:t xml:space="preserve"> "Do you think the influence of [China / the United States / the European Union] in [own country] is...?" Coded 1 = Very negative, 2 = Somewhat negative, 3 = Neither positive nor negative, 4 = Somewhat positive, 5 = Very positive, 8 = Refused, 9 = Don't know. Rescaled to 0–1 via (Q67 − 1) / 4; 8 and 9 recoded to 0.5.</w:t>
      </w:r>
    </w:p>
    <w:p w14:paraId="617BF1D8"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Controls.</w:t>
      </w:r>
      <w:r w:rsidRPr="0028368D">
        <w:rPr>
          <w:rFonts w:ascii="Times New Roman" w:hAnsi="Times New Roman" w:cs="Times New Roman"/>
        </w:rPr>
        <w:t xml:space="preserve"> Education (Q96: tertiary or above = 1, below = 0), gender (Q101: female = 1, male = 0), age (Q1, continuous), urban residence (URBRUR: urban = 1, rural = 0), lived poverty (</w:t>
      </w:r>
      <w:proofErr w:type="spellStart"/>
      <w:r w:rsidRPr="0028368D">
        <w:rPr>
          <w:rFonts w:ascii="Times New Roman" w:hAnsi="Times New Roman" w:cs="Times New Roman"/>
        </w:rPr>
        <w:t>LivedPoverty</w:t>
      </w:r>
      <w:proofErr w:type="spellEnd"/>
      <w:r w:rsidRPr="0028368D">
        <w:rPr>
          <w:rFonts w:ascii="Times New Roman" w:hAnsi="Times New Roman" w:cs="Times New Roman"/>
        </w:rPr>
        <w:t>), news-source count (sum of Q65A–Q65E, each coded 1–4 for frequency). Country fixed effects use COUNTRY as a factor.</w:t>
      </w:r>
    </w:p>
    <w:p w14:paraId="6AF9CA8D" w14:textId="77777777" w:rsidR="0028368D" w:rsidRPr="0028368D" w:rsidRDefault="0028368D" w:rsidP="0028368D">
      <w:pPr>
        <w:jc w:val="both"/>
        <w:rPr>
          <w:rFonts w:ascii="Times New Roman" w:hAnsi="Times New Roman" w:cs="Times New Roman"/>
        </w:rPr>
      </w:pPr>
      <w:r w:rsidRPr="0028368D">
        <w:rPr>
          <w:rFonts w:ascii="Times New Roman" w:hAnsi="Times New Roman" w:cs="Times New Roman"/>
          <w:b/>
          <w:bCs/>
        </w:rPr>
        <w:t>Weight.</w:t>
      </w:r>
      <w:r w:rsidRPr="0028368D">
        <w:rPr>
          <w:rFonts w:ascii="Times New Roman" w:hAnsi="Times New Roman" w:cs="Times New Roman"/>
        </w:rPr>
        <w:t xml:space="preserve"> </w:t>
      </w:r>
      <w:proofErr w:type="spellStart"/>
      <w:r w:rsidRPr="0028368D">
        <w:rPr>
          <w:rFonts w:ascii="Times New Roman" w:hAnsi="Times New Roman" w:cs="Times New Roman"/>
        </w:rPr>
        <w:t>Combinwt_new_hh</w:t>
      </w:r>
      <w:proofErr w:type="spellEnd"/>
      <w:r w:rsidRPr="0028368D">
        <w:rPr>
          <w:rFonts w:ascii="Times New Roman" w:hAnsi="Times New Roman" w:cs="Times New Roman"/>
        </w:rPr>
        <w:t xml:space="preserve"> provided by Afrobarometer (2024).</w:t>
      </w:r>
    </w:p>
    <w:p w14:paraId="0F0D5E54" w14:textId="54CB9E85" w:rsidR="00486B7B" w:rsidRPr="00486B7B" w:rsidRDefault="00486B7B" w:rsidP="00486B7B">
      <w:pPr>
        <w:jc w:val="both"/>
        <w:rPr>
          <w:rFonts w:ascii="Times New Roman" w:hAnsi="Times New Roman" w:cs="Times New Roman"/>
        </w:rPr>
      </w:pPr>
    </w:p>
    <w:sectPr w:rsidR="00486B7B" w:rsidRPr="00486B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79E"/>
    <w:multiLevelType w:val="multilevel"/>
    <w:tmpl w:val="75689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686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B7B"/>
    <w:rsid w:val="001F6E9F"/>
    <w:rsid w:val="00274027"/>
    <w:rsid w:val="0028368D"/>
    <w:rsid w:val="00486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02E9E"/>
  <w15:chartTrackingRefBased/>
  <w15:docId w15:val="{5FBA8C58-DD44-4423-8C74-5220BD07E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B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B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B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B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B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B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B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B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B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B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B7B"/>
    <w:rPr>
      <w:rFonts w:eastAsiaTheme="majorEastAsia" w:cstheme="majorBidi"/>
      <w:color w:val="272727" w:themeColor="text1" w:themeTint="D8"/>
    </w:rPr>
  </w:style>
  <w:style w:type="paragraph" w:styleId="Title">
    <w:name w:val="Title"/>
    <w:basedOn w:val="Normal"/>
    <w:next w:val="Normal"/>
    <w:link w:val="TitleChar"/>
    <w:uiPriority w:val="10"/>
    <w:qFormat/>
    <w:rsid w:val="00486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B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B7B"/>
    <w:pPr>
      <w:spacing w:before="160"/>
      <w:jc w:val="center"/>
    </w:pPr>
    <w:rPr>
      <w:i/>
      <w:iCs/>
      <w:color w:val="404040" w:themeColor="text1" w:themeTint="BF"/>
    </w:rPr>
  </w:style>
  <w:style w:type="character" w:customStyle="1" w:styleId="QuoteChar">
    <w:name w:val="Quote Char"/>
    <w:basedOn w:val="DefaultParagraphFont"/>
    <w:link w:val="Quote"/>
    <w:uiPriority w:val="29"/>
    <w:rsid w:val="00486B7B"/>
    <w:rPr>
      <w:i/>
      <w:iCs/>
      <w:color w:val="404040" w:themeColor="text1" w:themeTint="BF"/>
    </w:rPr>
  </w:style>
  <w:style w:type="paragraph" w:styleId="ListParagraph">
    <w:name w:val="List Paragraph"/>
    <w:basedOn w:val="Normal"/>
    <w:uiPriority w:val="34"/>
    <w:qFormat/>
    <w:rsid w:val="00486B7B"/>
    <w:pPr>
      <w:ind w:left="720"/>
      <w:contextualSpacing/>
    </w:pPr>
  </w:style>
  <w:style w:type="character" w:styleId="IntenseEmphasis">
    <w:name w:val="Intense Emphasis"/>
    <w:basedOn w:val="DefaultParagraphFont"/>
    <w:uiPriority w:val="21"/>
    <w:qFormat/>
    <w:rsid w:val="00486B7B"/>
    <w:rPr>
      <w:i/>
      <w:iCs/>
      <w:color w:val="0F4761" w:themeColor="accent1" w:themeShade="BF"/>
    </w:rPr>
  </w:style>
  <w:style w:type="paragraph" w:styleId="IntenseQuote">
    <w:name w:val="Intense Quote"/>
    <w:basedOn w:val="Normal"/>
    <w:next w:val="Normal"/>
    <w:link w:val="IntenseQuoteChar"/>
    <w:uiPriority w:val="30"/>
    <w:qFormat/>
    <w:rsid w:val="00486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B7B"/>
    <w:rPr>
      <w:i/>
      <w:iCs/>
      <w:color w:val="0F4761" w:themeColor="accent1" w:themeShade="BF"/>
    </w:rPr>
  </w:style>
  <w:style w:type="character" w:styleId="IntenseReference">
    <w:name w:val="Intense Reference"/>
    <w:basedOn w:val="DefaultParagraphFont"/>
    <w:uiPriority w:val="32"/>
    <w:qFormat/>
    <w:rsid w:val="00486B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1518</Words>
  <Characters>9068</Characters>
  <Application>Microsoft Office Word</Application>
  <DocSecurity>0</DocSecurity>
  <Lines>232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Agboga</dc:creator>
  <cp:keywords/>
  <dc:description/>
  <cp:lastModifiedBy>Victor Agboga</cp:lastModifiedBy>
  <cp:revision>1</cp:revision>
  <dcterms:created xsi:type="dcterms:W3CDTF">2026-11-02T10:10:00Z</dcterms:created>
  <dcterms:modified xsi:type="dcterms:W3CDTF">2026-11-02T11:27:00Z</dcterms:modified>
</cp:coreProperties>
</file>