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media/image6.png" ContentType="image/png"/>
  <Override PartName="/word/media/image5.png" ContentType="image/png"/>
  <Override PartName="/word/media/image4.png" ContentType="image/png"/>
  <Override PartName="/word/media/image3.png" ContentType="image/png"/>
  <Override PartName="/word/media/image1.png" ContentType="image/png"/>
  <Override PartName="/word/media/image2.png" ContentType="image/png"/>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eastAsia="Times New Roman" w:cs="Times New Roman"/>
          <w:sz w:val="24"/>
          <w:szCs w:val="24"/>
        </w:rPr>
      </w:pPr>
      <w:r>
        <w:rPr>
          <w:rFonts w:eastAsia="Times New Roman" w:cs="Times New Roman" w:ascii="Times New Roman" w:hAnsi="Times New Roman"/>
          <w:b/>
          <w:sz w:val="24"/>
          <w:szCs w:val="24"/>
        </w:rPr>
        <w:t>Supplementary Material</w:t>
      </w:r>
    </w:p>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Emergence of within-host SARS-CoV-2 recombinant genome after coinfection by Gamma and Delta variants</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Ronaldo da Silva Francisco Junior¹, Luiz G P de Almeida¹, Alessandra P Lamarca¹, Liliane Cavalcante¹, Yasmmin Martins¹, Alexandra L Gerber¹, Ana Paula de C Guimarães¹, Ricardo Barbosa Salviano², Fernanda Leitão dos Santos², Thiago Henrique de Oliveira², Isabelle Vasconcellos de Souza</w:t>
      </w:r>
      <w:r>
        <w:rPr>
          <w:rFonts w:eastAsia="Times New Roman" w:cs="Times New Roman" w:ascii="Times New Roman" w:hAnsi="Times New Roman"/>
          <w:sz w:val="24"/>
          <w:szCs w:val="24"/>
          <w:vertAlign w:val="superscript"/>
        </w:rPr>
        <w:t>3</w:t>
      </w:r>
      <w:r>
        <w:rPr>
          <w:rFonts w:eastAsia="Times New Roman" w:cs="Times New Roman" w:ascii="Times New Roman" w:hAnsi="Times New Roman"/>
          <w:sz w:val="24"/>
          <w:szCs w:val="24"/>
        </w:rPr>
        <w:t>, Erika Martins de Carvalho</w:t>
      </w:r>
      <w:r>
        <w:rPr>
          <w:rFonts w:eastAsia="Times New Roman" w:cs="Times New Roman" w:ascii="Times New Roman" w:hAnsi="Times New Roman"/>
          <w:sz w:val="24"/>
          <w:szCs w:val="24"/>
          <w:vertAlign w:val="superscript"/>
        </w:rPr>
        <w:t>3</w:t>
      </w:r>
      <w:r>
        <w:rPr>
          <w:rFonts w:eastAsia="Times New Roman" w:cs="Times New Roman" w:ascii="Times New Roman" w:hAnsi="Times New Roman"/>
          <w:sz w:val="24"/>
          <w:szCs w:val="24"/>
        </w:rPr>
        <w:t>, Mario Sergio Ribeiro</w:t>
      </w:r>
      <w:r>
        <w:rPr>
          <w:rFonts w:eastAsia="Times New Roman" w:cs="Times New Roman" w:ascii="Times New Roman" w:hAnsi="Times New Roman"/>
          <w:sz w:val="24"/>
          <w:szCs w:val="24"/>
          <w:vertAlign w:val="superscript"/>
        </w:rPr>
        <w:t>4</w:t>
      </w:r>
      <w:r>
        <w:rPr>
          <w:rFonts w:eastAsia="Times New Roman" w:cs="Times New Roman" w:ascii="Times New Roman" w:hAnsi="Times New Roman"/>
          <w:sz w:val="24"/>
          <w:szCs w:val="24"/>
        </w:rPr>
        <w:t>, Silvia Carvalho</w:t>
      </w:r>
      <w:r>
        <w:rPr>
          <w:rFonts w:eastAsia="Times New Roman" w:cs="Times New Roman" w:ascii="Times New Roman" w:hAnsi="Times New Roman"/>
          <w:sz w:val="24"/>
          <w:szCs w:val="24"/>
          <w:vertAlign w:val="superscript"/>
        </w:rPr>
        <w:t>4</w:t>
      </w:r>
      <w:r>
        <w:rPr>
          <w:rFonts w:eastAsia="Times New Roman" w:cs="Times New Roman" w:ascii="Times New Roman" w:hAnsi="Times New Roman"/>
          <w:sz w:val="24"/>
          <w:szCs w:val="24"/>
        </w:rPr>
        <w:t>, Flávio Dias da Silva</w:t>
      </w:r>
      <w:r>
        <w:rPr>
          <w:rFonts w:eastAsia="Times New Roman" w:cs="Times New Roman" w:ascii="Times New Roman" w:hAnsi="Times New Roman"/>
          <w:sz w:val="24"/>
          <w:szCs w:val="24"/>
          <w:vertAlign w:val="superscript"/>
        </w:rPr>
        <w:t>5</w:t>
      </w:r>
      <w:r>
        <w:rPr>
          <w:rFonts w:eastAsia="Times New Roman" w:cs="Times New Roman" w:ascii="Times New Roman" w:hAnsi="Times New Roman"/>
          <w:sz w:val="24"/>
          <w:szCs w:val="24"/>
        </w:rPr>
        <w:t>, Marcio Henrique de Oliveira Garcia</w:t>
      </w:r>
      <w:r>
        <w:rPr>
          <w:rFonts w:eastAsia="Times New Roman" w:cs="Times New Roman" w:ascii="Times New Roman" w:hAnsi="Times New Roman"/>
          <w:sz w:val="24"/>
          <w:szCs w:val="24"/>
          <w:vertAlign w:val="superscript"/>
        </w:rPr>
        <w:t>5</w:t>
      </w:r>
      <w:r>
        <w:rPr>
          <w:rFonts w:eastAsia="Times New Roman" w:cs="Times New Roman" w:ascii="Times New Roman" w:hAnsi="Times New Roman"/>
          <w:sz w:val="24"/>
          <w:szCs w:val="24"/>
        </w:rPr>
        <w:t>, Leandro Magalhães de Souza</w:t>
      </w:r>
      <w:r>
        <w:rPr>
          <w:rFonts w:eastAsia="Times New Roman" w:cs="Times New Roman" w:ascii="Times New Roman" w:hAnsi="Times New Roman"/>
          <w:sz w:val="24"/>
          <w:szCs w:val="24"/>
          <w:vertAlign w:val="superscript"/>
        </w:rPr>
        <w:t>6</w:t>
      </w:r>
      <w:r>
        <w:rPr>
          <w:rFonts w:eastAsia="Times New Roman" w:cs="Times New Roman" w:ascii="Times New Roman" w:hAnsi="Times New Roman"/>
          <w:sz w:val="24"/>
          <w:szCs w:val="24"/>
        </w:rPr>
        <w:t>, Cristiane Gomes Da Silva</w:t>
      </w:r>
      <w:r>
        <w:rPr>
          <w:rFonts w:eastAsia="Times New Roman" w:cs="Times New Roman" w:ascii="Times New Roman" w:hAnsi="Times New Roman"/>
          <w:sz w:val="24"/>
          <w:szCs w:val="24"/>
          <w:vertAlign w:val="superscript"/>
        </w:rPr>
        <w:t>6</w:t>
      </w:r>
      <w:r>
        <w:rPr>
          <w:rFonts w:eastAsia="Times New Roman" w:cs="Times New Roman" w:ascii="Times New Roman" w:hAnsi="Times New Roman"/>
          <w:sz w:val="24"/>
          <w:szCs w:val="24"/>
        </w:rPr>
        <w:t>, Caio Luiz Pereira Ribeiro</w:t>
      </w:r>
      <w:r>
        <w:rPr>
          <w:rFonts w:eastAsia="Times New Roman" w:cs="Times New Roman" w:ascii="Times New Roman" w:hAnsi="Times New Roman"/>
          <w:sz w:val="24"/>
          <w:szCs w:val="24"/>
          <w:vertAlign w:val="superscript"/>
        </w:rPr>
        <w:t>5</w:t>
      </w:r>
      <w:r>
        <w:rPr>
          <w:rFonts w:eastAsia="Times New Roman" w:cs="Times New Roman" w:ascii="Times New Roman" w:hAnsi="Times New Roman"/>
          <w:sz w:val="24"/>
          <w:szCs w:val="24"/>
        </w:rPr>
        <w:t>, Andréa Cony Cavalcanti</w:t>
      </w:r>
      <w:r>
        <w:rPr>
          <w:rFonts w:eastAsia="Times New Roman" w:cs="Times New Roman" w:ascii="Times New Roman" w:hAnsi="Times New Roman"/>
          <w:sz w:val="24"/>
          <w:szCs w:val="24"/>
          <w:vertAlign w:val="superscript"/>
        </w:rPr>
        <w:t>6</w:t>
      </w:r>
      <w:r>
        <w:rPr>
          <w:rFonts w:eastAsia="Times New Roman" w:cs="Times New Roman" w:ascii="Times New Roman" w:hAnsi="Times New Roman"/>
          <w:sz w:val="24"/>
          <w:szCs w:val="24"/>
        </w:rPr>
        <w:t>, Claudia Maria Braga de Mello</w:t>
      </w:r>
      <w:r>
        <w:rPr>
          <w:rFonts w:eastAsia="Times New Roman" w:cs="Times New Roman" w:ascii="Times New Roman" w:hAnsi="Times New Roman"/>
          <w:sz w:val="24"/>
          <w:szCs w:val="24"/>
          <w:vertAlign w:val="superscript"/>
        </w:rPr>
        <w:t>4</w:t>
      </w:r>
      <w:r>
        <w:rPr>
          <w:rFonts w:eastAsia="Times New Roman" w:cs="Times New Roman" w:ascii="Times New Roman" w:hAnsi="Times New Roman"/>
          <w:sz w:val="24"/>
          <w:szCs w:val="24"/>
        </w:rPr>
        <w:t>, Amilcar Tanuri², Ana Tereza R Vasconcelos¹*</w:t>
      </w:r>
    </w:p>
    <w:p>
      <w:pPr>
        <w:pStyle w:val="Normal"/>
        <w:spacing w:lineRule="auto" w:line="240" w:before="240" w:after="240"/>
        <w:jc w:val="both"/>
        <w:rPr>
          <w:rFonts w:ascii="Times New Roman" w:hAnsi="Times New Roman" w:eastAsia="Times New Roman" w:cs="Times New Roman"/>
          <w:color w:val="1155CC"/>
          <w:sz w:val="24"/>
          <w:szCs w:val="24"/>
        </w:rPr>
      </w:pPr>
      <w:r>
        <w:rPr>
          <w:rFonts w:eastAsia="Times New Roman" w:cs="Times New Roman" w:ascii="Times New Roman" w:hAnsi="Times New Roman"/>
          <w:sz w:val="24"/>
          <w:szCs w:val="24"/>
        </w:rPr>
        <w:t xml:space="preserve"> </w:t>
      </w:r>
      <w:r>
        <w:rPr>
          <w:rFonts w:eastAsia="Times New Roman" w:cs="Times New Roman" w:ascii="Times New Roman" w:hAnsi="Times New Roman"/>
          <w:sz w:val="24"/>
          <w:szCs w:val="24"/>
        </w:rPr>
        <w:t xml:space="preserve">*Corresponding author: </w:t>
      </w:r>
      <w:r>
        <w:rPr>
          <w:rFonts w:eastAsia="Times New Roman" w:cs="Times New Roman" w:ascii="Times New Roman" w:hAnsi="Times New Roman"/>
          <w:color w:val="1155CC"/>
          <w:sz w:val="24"/>
          <w:szCs w:val="24"/>
        </w:rPr>
        <w:t>atrv@lncc.br</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1</w:t>
      </w:r>
      <w:r>
        <w:rPr>
          <w:rFonts w:eastAsia="Times New Roman" w:cs="Times New Roman" w:ascii="Times New Roman" w:hAnsi="Times New Roman"/>
          <w:sz w:val="24"/>
          <w:szCs w:val="24"/>
        </w:rPr>
        <w:t xml:space="preserve"> Laboratório de Bioinformática, Laboratório Nacional de Computação Científica, Petrópolis, Brazil.</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Departamento de Genética, Instituto de Biologia, Universidade Federal do Rio de Janeiro, Rio de Janeiro, Brazil.</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3</w:t>
      </w:r>
      <w:r>
        <w:rPr>
          <w:rFonts w:eastAsia="Times New Roman" w:cs="Times New Roman" w:ascii="Times New Roman" w:hAnsi="Times New Roman"/>
          <w:sz w:val="24"/>
          <w:szCs w:val="24"/>
        </w:rPr>
        <w:t xml:space="preserve"> Unidades de Apoio ao Diagnóstico da Covid-19, Rio de Janeiro, Brazil.</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4</w:t>
      </w:r>
      <w:r>
        <w:rPr>
          <w:rFonts w:eastAsia="Times New Roman" w:cs="Times New Roman" w:ascii="Times New Roman" w:hAnsi="Times New Roman"/>
          <w:sz w:val="24"/>
          <w:szCs w:val="24"/>
        </w:rPr>
        <w:t xml:space="preserve"> Secretaria Estadual de Saúde do Rio de Janeiro, Rio de Janeiro, Brazil.</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5</w:t>
      </w:r>
      <w:r>
        <w:rPr>
          <w:rFonts w:eastAsia="Times New Roman" w:cs="Times New Roman" w:ascii="Times New Roman" w:hAnsi="Times New Roman"/>
          <w:sz w:val="24"/>
          <w:szCs w:val="24"/>
        </w:rPr>
        <w:t xml:space="preserve"> Secretaria Municipal de Saúde Rio de Janeiro, Rio de Janeiro, Brazil</w:t>
      </w:r>
    </w:p>
    <w:p>
      <w:pPr>
        <w:pStyle w:val="Normal"/>
        <w:spacing w:lineRule="auto" w:line="240" w:before="240" w:after="2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vertAlign w:val="superscript"/>
        </w:rPr>
        <w:t>6</w:t>
      </w:r>
      <w:r>
        <w:rPr>
          <w:rFonts w:eastAsia="Times New Roman" w:cs="Times New Roman" w:ascii="Times New Roman" w:hAnsi="Times New Roman"/>
          <w:sz w:val="24"/>
          <w:szCs w:val="24"/>
        </w:rPr>
        <w:t xml:space="preserve"> Laboratório Central de Saúde Pública Noel Nutels, Rio de Janeiro, Brazil.</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r>
        <w:br w:type="page"/>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Supplementary Methods</w:t>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Sample collection, RNA extraction, and sequencing</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The nasopharyngeal swab for SARS-CoV-2 RT-PCR test was collected and referred to the Noel Nutels Central Laboratory (LACEN-RJ). The viral RNA was extracted at the Molecular Virology Laboratory (LVM-UFRJ) with MagMAX Viral / Pathogen Nucleic Acid Isolation kit and KingFisher automatic platform. Annealing of cDNA was conducted with 8,5 µl of the viral RNA extracted. Next-generation sequencing steps including library preparation were performed at the DFA/LNCC Genomics Unit with Illumina COVIDSeq Test (Illumina), according to the manufacturer’s protocol. Purification was then conducted using 5 µl of each library combined, and the TapeStation (Agilent) system was used for quality control. NextSeq 500/550 Mid Output Kit v2.5 (300 Cycles) was used to generate reads of 2x149 bp in the NextSeq (Illumina). The study was approved by the Ethics Committee (30161620.0.1001.5257 and 34025020.0.0000.5257).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Bioinformatic analysis</w:t>
      </w:r>
    </w:p>
    <w:p>
      <w:pPr>
        <w:pStyle w:val="Normal"/>
        <w:rPr/>
      </w:pPr>
      <w:r>
        <w:rPr>
          <w:rFonts w:eastAsia="Times New Roman" w:cs="Times New Roman" w:ascii="Times New Roman" w:hAnsi="Times New Roman"/>
          <w:sz w:val="24"/>
          <w:szCs w:val="24"/>
        </w:rPr>
        <w:t>Initially, adapter sequences generated next-generation sequencing were removed using cutadapt (v.3.0)</w:t>
      </w:r>
      <w:hyperlink r:id="rId2">
        <w:r>
          <w:rPr>
            <w:rStyle w:val="ListLabel1"/>
            <w:rFonts w:eastAsia="Times New Roman" w:cs="Times New Roman" w:ascii="Times New Roman" w:hAnsi="Times New Roman"/>
            <w:b w:val="false"/>
            <w:color w:val="000000"/>
            <w:sz w:val="24"/>
            <w:szCs w:val="24"/>
            <w:u w:val="none"/>
            <w:vertAlign w:val="superscript"/>
          </w:rPr>
          <w:t>1</w:t>
        </w:r>
      </w:hyperlink>
      <w:r>
        <w:rPr>
          <w:rFonts w:eastAsia="Times New Roman" w:cs="Times New Roman" w:ascii="Times New Roman" w:hAnsi="Times New Roman"/>
          <w:sz w:val="24"/>
          <w:szCs w:val="24"/>
        </w:rPr>
        <w:t>. We then performed the short read mapping to the SARS-CoV-2 reference genome (NC_045512.2) using bowtie2 (v.2.2.1)</w:t>
      </w:r>
      <w:hyperlink r:id="rId3">
        <w:r>
          <w:rPr>
            <w:rStyle w:val="ListLabel1"/>
            <w:rFonts w:eastAsia="Times New Roman" w:cs="Times New Roman" w:ascii="Times New Roman" w:hAnsi="Times New Roman"/>
            <w:b w:val="false"/>
            <w:color w:val="000000"/>
            <w:sz w:val="24"/>
            <w:szCs w:val="24"/>
            <w:u w:val="none"/>
            <w:vertAlign w:val="superscript"/>
          </w:rPr>
          <w:t>2</w:t>
        </w:r>
      </w:hyperlink>
      <w:r>
        <w:rPr>
          <w:rFonts w:eastAsia="Times New Roman" w:cs="Times New Roman" w:ascii="Times New Roman" w:hAnsi="Times New Roman"/>
          <w:sz w:val="24"/>
          <w:szCs w:val="24"/>
        </w:rPr>
        <w:t xml:space="preserve"> and bwa (v.0.7.12-r1039)</w:t>
      </w:r>
      <w:hyperlink r:id="rId4">
        <w:r>
          <w:rPr>
            <w:rStyle w:val="ListLabel1"/>
            <w:rFonts w:eastAsia="Times New Roman" w:cs="Times New Roman" w:ascii="Times New Roman" w:hAnsi="Times New Roman"/>
            <w:b w:val="false"/>
            <w:color w:val="000000"/>
            <w:sz w:val="24"/>
            <w:szCs w:val="24"/>
            <w:u w:val="none"/>
            <w:vertAlign w:val="superscript"/>
          </w:rPr>
          <w:t>3</w:t>
        </w:r>
      </w:hyperlink>
      <w:r>
        <w:rPr>
          <w:rFonts w:eastAsia="Times New Roman" w:cs="Times New Roman" w:ascii="Times New Roman" w:hAnsi="Times New Roman"/>
          <w:sz w:val="24"/>
          <w:szCs w:val="24"/>
        </w:rPr>
        <w:t>. The post-processing steps and variant calling were performed independently for each output file. SAM format files were converted to BAM and sorted using samtools (v.1.11)</w:t>
      </w:r>
      <w:hyperlink r:id="rId5">
        <w:r>
          <w:rPr>
            <w:rStyle w:val="ListLabel1"/>
            <w:rFonts w:eastAsia="Times New Roman" w:cs="Times New Roman" w:ascii="Times New Roman" w:hAnsi="Times New Roman"/>
            <w:b w:val="false"/>
            <w:color w:val="000000"/>
            <w:sz w:val="24"/>
            <w:szCs w:val="24"/>
            <w:u w:val="none"/>
            <w:vertAlign w:val="superscript"/>
          </w:rPr>
          <w:t>4</w:t>
        </w:r>
      </w:hyperlink>
      <w:r>
        <w:rPr>
          <w:rFonts w:eastAsia="Times New Roman" w:cs="Times New Roman" w:ascii="Times New Roman" w:hAnsi="Times New Roman"/>
          <w:sz w:val="24"/>
          <w:szCs w:val="24"/>
        </w:rPr>
        <w:t>. Next, duplicate reads were marked and removed using MarkDuplicates from Picard (v2; https://broadinstitute.github.io/picard/). We performed the variant calling using HaplotypeCaller from GATK (v.4.1.7.0)</w:t>
      </w:r>
      <w:hyperlink r:id="rId6">
        <w:r>
          <w:rPr>
            <w:rStyle w:val="ListLabel1"/>
            <w:rFonts w:eastAsia="Times New Roman" w:cs="Times New Roman" w:ascii="Times New Roman" w:hAnsi="Times New Roman"/>
            <w:b w:val="false"/>
            <w:color w:val="000000"/>
            <w:sz w:val="24"/>
            <w:szCs w:val="24"/>
            <w:u w:val="none"/>
            <w:vertAlign w:val="superscript"/>
          </w:rPr>
          <w:t>5</w:t>
        </w:r>
      </w:hyperlink>
      <w:r>
        <w:rPr>
          <w:rFonts w:eastAsia="Times New Roman" w:cs="Times New Roman" w:ascii="Times New Roman" w:hAnsi="Times New Roman"/>
          <w:sz w:val="24"/>
          <w:szCs w:val="24"/>
        </w:rPr>
        <w:t xml:space="preserve"> and LoFreq (v2.1.5)</w:t>
      </w:r>
      <w:hyperlink r:id="rId7">
        <w:r>
          <w:rPr>
            <w:rStyle w:val="ListLabel1"/>
            <w:rFonts w:eastAsia="Times New Roman" w:cs="Times New Roman" w:ascii="Times New Roman" w:hAnsi="Times New Roman"/>
            <w:b w:val="false"/>
            <w:color w:val="000000"/>
            <w:sz w:val="24"/>
            <w:szCs w:val="24"/>
            <w:u w:val="none"/>
            <w:vertAlign w:val="superscript"/>
          </w:rPr>
          <w:t>6</w:t>
        </w:r>
      </w:hyperlink>
      <w:r>
        <w:rPr>
          <w:rFonts w:eastAsia="Times New Roman" w:cs="Times New Roman" w:ascii="Times New Roman" w:hAnsi="Times New Roman"/>
          <w:sz w:val="24"/>
          <w:szCs w:val="24"/>
        </w:rPr>
        <w:t>. Next, iSNVs identified were annotated with snpEff/SnpSift (v5.0e)</w:t>
      </w:r>
      <w:hyperlink r:id="rId8">
        <w:r>
          <w:rPr>
            <w:rStyle w:val="ListLabel1"/>
            <w:rFonts w:eastAsia="Times New Roman" w:cs="Times New Roman" w:ascii="Times New Roman" w:hAnsi="Times New Roman"/>
            <w:b w:val="false"/>
            <w:color w:val="000000"/>
            <w:sz w:val="24"/>
            <w:szCs w:val="24"/>
            <w:u w:val="none"/>
            <w:vertAlign w:val="superscript"/>
          </w:rPr>
          <w:t>7</w:t>
        </w:r>
      </w:hyperlink>
      <w:r>
        <w:rPr>
          <w:rFonts w:eastAsia="Times New Roman" w:cs="Times New Roman" w:ascii="Times New Roman" w:hAnsi="Times New Roman"/>
          <w:sz w:val="24"/>
          <w:szCs w:val="24"/>
        </w:rPr>
        <w:t>. Coinfection events were detected with a hypergeometric distribution approach described by Zhou et al., 2021, and later confirmed by RegressHaplo</w:t>
      </w:r>
      <w:hyperlink r:id="rId9">
        <w:r>
          <w:rPr>
            <w:rStyle w:val="ListLabel1"/>
            <w:rFonts w:eastAsia="Times New Roman" w:cs="Times New Roman" w:ascii="Times New Roman" w:hAnsi="Times New Roman"/>
            <w:b w:val="false"/>
            <w:color w:val="000000"/>
            <w:sz w:val="24"/>
            <w:szCs w:val="24"/>
            <w:u w:val="none"/>
            <w:vertAlign w:val="superscript"/>
          </w:rPr>
          <w:t>8</w:t>
        </w:r>
      </w:hyperlink>
      <w:r>
        <w:rPr>
          <w:rFonts w:eastAsia="Times New Roman" w:cs="Times New Roman" w:ascii="Times New Roman" w:hAnsi="Times New Roman"/>
          <w:sz w:val="24"/>
          <w:szCs w:val="24"/>
        </w:rPr>
        <w:t xml:space="preserve">. We retrieved the mosaic reads covering the genomic windows selected using sam2tsv </w:t>
      </w:r>
      <w:hyperlink r:id="rId10">
        <w:r>
          <w:rPr>
            <w:rStyle w:val="ListLabel1"/>
            <w:rFonts w:eastAsia="Times New Roman" w:cs="Times New Roman" w:ascii="Times New Roman" w:hAnsi="Times New Roman"/>
            <w:b w:val="false"/>
            <w:color w:val="000000"/>
            <w:sz w:val="24"/>
            <w:szCs w:val="24"/>
            <w:u w:val="none"/>
            <w:vertAlign w:val="superscript"/>
          </w:rPr>
          <w:t>9</w:t>
        </w:r>
      </w:hyperlink>
      <w:r>
        <w:rPr>
          <w:rFonts w:eastAsia="Times New Roman" w:cs="Times New Roman" w:ascii="Times New Roman" w:hAnsi="Times New Roman"/>
          <w:sz w:val="24"/>
          <w:szCs w:val="24"/>
        </w:rPr>
        <w:t xml:space="preserve">. IGV (v.2.9.4) was used to visualize the mapping in the target regions. Finally, consensus sequences were classified according to the Pango Lineage classification using the PangoLEARN model database (v3.5.3).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r>
        <w:br w:type="page"/>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Supplementary Information</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pPr>
      <w:r>
        <w:rPr>
          <w:rFonts w:eastAsia="Times New Roman" w:cs="Times New Roman" w:ascii="Times New Roman" w:hAnsi="Times New Roman"/>
          <w:sz w:val="24"/>
          <w:szCs w:val="24"/>
        </w:rPr>
        <w:t>During a routine analysis for coinfection events across the 5,073 SARS-CoV-2 genomes from Corona-ômica-RJ project data (http://www.corona-omica.rj.lncc.br/#/), we were able to identify the coinfection between Gamma and Delta. Since the first reports of patients coinfected by two genetically-distinct lineages of SARS-CoV-2</w:t>
      </w:r>
      <w:hyperlink r:id="rId11">
        <w:r>
          <w:rPr>
            <w:rStyle w:val="ListLabel1"/>
            <w:rFonts w:eastAsia="Times New Roman" w:cs="Times New Roman" w:ascii="Times New Roman" w:hAnsi="Times New Roman"/>
            <w:b w:val="false"/>
            <w:color w:val="000000"/>
            <w:sz w:val="24"/>
            <w:szCs w:val="24"/>
            <w:u w:val="none"/>
            <w:vertAlign w:val="superscript"/>
          </w:rPr>
          <w:t>10–16</w:t>
        </w:r>
      </w:hyperlink>
      <w:r>
        <w:rPr>
          <w:rFonts w:eastAsia="Times New Roman" w:cs="Times New Roman" w:ascii="Times New Roman" w:hAnsi="Times New Roman"/>
          <w:sz w:val="24"/>
          <w:szCs w:val="24"/>
        </w:rPr>
        <w:t>, the scientific community raised concerns about the recombination of intra-host viral RNA sequences as a possible mechanism underlying the emergence of novel variants. Indeed, this phenomenon occurs at a relatively high frequency among betacoronaviruses</w:t>
      </w:r>
      <w:hyperlink r:id="rId12">
        <w:r>
          <w:rPr>
            <w:rStyle w:val="ListLabel1"/>
            <w:rFonts w:eastAsia="Times New Roman" w:cs="Times New Roman" w:ascii="Times New Roman" w:hAnsi="Times New Roman"/>
            <w:b w:val="false"/>
            <w:color w:val="000000"/>
            <w:sz w:val="24"/>
            <w:szCs w:val="24"/>
            <w:u w:val="none"/>
            <w:vertAlign w:val="superscript"/>
          </w:rPr>
          <w:t>17–19</w:t>
        </w:r>
      </w:hyperlink>
      <w:r>
        <w:rPr>
          <w:rFonts w:eastAsia="Times New Roman" w:cs="Times New Roman" w:ascii="Times New Roman" w:hAnsi="Times New Roman"/>
          <w:sz w:val="24"/>
          <w:szCs w:val="24"/>
        </w:rPr>
        <w:t xml:space="preserve">.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pPr>
      <w:r>
        <w:rPr>
          <w:rFonts w:eastAsia="Times New Roman" w:cs="Times New Roman" w:ascii="Times New Roman" w:hAnsi="Times New Roman"/>
          <w:sz w:val="24"/>
          <w:szCs w:val="24"/>
        </w:rPr>
        <w:t>The recombination in our sample was detected during the first reports of Delta in the city of Santo Antônio de Pádua and an ongoing replacement of the variant Gamma by the Delta in the state of Rio de Janeiro. Nevertheless, genomic surveillance data from the state of Rio de Janeiro indicated a frequency of 47% of sequences from Delta and 37% from Gamma</w:t>
      </w:r>
      <w:hyperlink r:id="rId13">
        <w:r>
          <w:rPr>
            <w:rStyle w:val="ListLabel1"/>
            <w:rFonts w:eastAsia="Times New Roman" w:cs="Times New Roman" w:ascii="Times New Roman" w:hAnsi="Times New Roman"/>
            <w:b w:val="false"/>
            <w:color w:val="000000"/>
            <w:sz w:val="24"/>
            <w:szCs w:val="24"/>
            <w:u w:val="none"/>
            <w:vertAlign w:val="superscript"/>
          </w:rPr>
          <w:t>20</w:t>
        </w:r>
      </w:hyperlink>
      <w:r>
        <w:rPr>
          <w:rFonts w:eastAsia="Times New Roman" w:cs="Times New Roman" w:ascii="Times New Roman" w:hAnsi="Times New Roman"/>
          <w:sz w:val="24"/>
          <w:szCs w:val="24"/>
        </w:rPr>
        <w:t xml:space="preserve"> in July 2021. Thus, the epidemiological, geographic, and genomic data provide a conducive scenario to SARS-CoV-2 recombination. Furthermore, the relative quantification of the viral load (RQVL = 2</w:t>
      </w:r>
      <w:r>
        <w:rPr>
          <w:rFonts w:eastAsia="Gungsuh" w:cs="Gungsuh" w:ascii="Gungsuh" w:hAnsi="Gungsuh"/>
          <w:sz w:val="24"/>
          <w:szCs w:val="24"/>
          <w:vertAlign w:val="superscript"/>
        </w:rPr>
        <w:t>-∆CT</w:t>
      </w:r>
      <w:r>
        <w:rPr>
          <w:rFonts w:eastAsia="Times New Roman" w:cs="Times New Roman" w:ascii="Times New Roman" w:hAnsi="Times New Roman"/>
          <w:sz w:val="24"/>
          <w:szCs w:val="24"/>
        </w:rPr>
        <w:t xml:space="preserve">) exhibited elevated values, with an RT-PCR cycle threshold (Ct) of 16.70. This value corresponds to the top 3% of samples with the highest viral load from Gamma variants in our database (n = 1881).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From the six regions selected in our analysis, four overlapped the spike gene and two the nucleocapsid gene. All recombinant haplotypes were found at a low frequency compared to the reads supporting the sequences from each VOC (Table 1). Region I is located at the 5’ region of the spike gene and includes three lineage-defining mutations from Gamma (S: L18F, T20N, and P26S) and one from Delta (S: T19R; Figure S1). We identified two regions (II and III; Figure S2-S3) overlapping the receptor-binding domain (RBD). Region II included two amino acid residue alterations from Delta (S: L452R, T478K) and one from Gamma (S: E484K; Figure S2). The T478K and E484K mutations were also present in Region III (Figure S3), which harbored a second alteration from Gamma (S: N501Y). This region was the only window where three different recombinant haplotypes were observed (Table 1; Figure S3). The last region (IV) in the spike includes only one mutation from Gamma (S: H655Y) and one from Delta (S: 681R; Figure S4). At the 5’ portion of the nucleocapsid gene, we selected a window (region V; Figure S5) containing a single mutation from Delta (N: D63G) and from Gamma (N: P80R). Finally, the largest region selected (VI) was also mapped in N and included four mutations from Gamma (N: S202C, S202T, R203K, G204R) and two from Delta (R203M, G215C; Figure S6).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pPr>
      <w:r>
        <w:rPr>
          <w:rFonts w:eastAsia="Times New Roman" w:cs="Times New Roman" w:ascii="Times New Roman" w:hAnsi="Times New Roman"/>
          <w:sz w:val="24"/>
          <w:szCs w:val="24"/>
        </w:rPr>
        <w:t xml:space="preserve">Homologous recombination in positive-sense RNA viruses is mainly driven by a copy-choice replication mechanism with a switch from an RNA template by the RNA-polymerase complex during replication </w:t>
      </w:r>
      <w:hyperlink r:id="rId14">
        <w:r>
          <w:rPr>
            <w:rStyle w:val="ListLabel1"/>
            <w:rFonts w:eastAsia="Times New Roman" w:cs="Times New Roman" w:ascii="Times New Roman" w:hAnsi="Times New Roman"/>
            <w:b w:val="false"/>
            <w:color w:val="000000"/>
            <w:sz w:val="24"/>
            <w:szCs w:val="24"/>
            <w:u w:val="none"/>
            <w:vertAlign w:val="superscript"/>
          </w:rPr>
          <w:t>21,22</w:t>
        </w:r>
      </w:hyperlink>
      <w:r>
        <w:rPr>
          <w:rFonts w:eastAsia="Times New Roman" w:cs="Times New Roman" w:ascii="Times New Roman" w:hAnsi="Times New Roman"/>
          <w:sz w:val="24"/>
          <w:szCs w:val="24"/>
        </w:rPr>
        <w:t>. Thus, the recombinant haplotypes found across the different regions selected can represent multiple events of switches occurring within a cell or a few switches from RNA templates simultaneously occurring at multiple cells. One alternative speculation about the presence of mosaic reads in our sample is that the sequences could be generated by reverse mutational processes, that rescue the ancestral state of the Wuhan reference sequence in each haplotype. Nevertheless, to consider an elevated number of reverse mutations happening at the same time in a coinfected sample would exceed the rate of intra-host evolution previously observed</w:t>
      </w:r>
      <w:hyperlink r:id="rId15">
        <w:r>
          <w:rPr>
            <w:rStyle w:val="ListLabel1"/>
            <w:rFonts w:eastAsia="Times New Roman" w:cs="Times New Roman" w:ascii="Times New Roman" w:hAnsi="Times New Roman"/>
            <w:b w:val="false"/>
            <w:color w:val="000000"/>
            <w:sz w:val="24"/>
            <w:szCs w:val="24"/>
            <w:u w:val="none"/>
            <w:vertAlign w:val="superscript"/>
          </w:rPr>
          <w:t>13,23</w:t>
        </w:r>
      </w:hyperlink>
      <w:r>
        <w:rPr>
          <w:rFonts w:eastAsia="Times New Roman" w:cs="Times New Roman" w:ascii="Times New Roman" w:hAnsi="Times New Roman"/>
          <w:sz w:val="24"/>
          <w:szCs w:val="24"/>
        </w:rPr>
        <w:t>. Even if this high rate would be accepted as real, it is unlikely that these mutations would occur only in the “reverse direction” instead of generating a myriad of new substitutions.</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r>
        <w:br w:type="page"/>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Supplementary Figures</w:t>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r>
    </w:p>
    <w:p>
      <w:pPr>
        <w:pStyle w:val="Normal"/>
        <w:rPr/>
      </w:pPr>
      <w:r>
        <w:rPr/>
        <w:drawing>
          <wp:inline distT="0" distB="0" distL="0" distR="0">
            <wp:extent cx="5647690" cy="6504305"/>
            <wp:effectExtent l="0" t="0" r="0" b="0"/>
            <wp:docPr id="1" name="image5.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descr=""/>
                    <pic:cNvPicPr>
                      <a:picLocks noChangeAspect="1" noChangeArrowheads="1"/>
                    </pic:cNvPicPr>
                  </pic:nvPicPr>
                  <pic:blipFill>
                    <a:blip r:embed="rId16"/>
                    <a:stretch>
                      <a:fillRect/>
                    </a:stretch>
                  </pic:blipFill>
                  <pic:spPr bwMode="auto">
                    <a:xfrm>
                      <a:off x="0" y="0"/>
                      <a:ext cx="5647690" cy="6504305"/>
                    </a:xfrm>
                    <a:prstGeom prst="rect">
                      <a:avLst/>
                    </a:prstGeom>
                  </pic:spPr>
                </pic:pic>
              </a:graphicData>
            </a:graphic>
          </wp:inline>
        </w:drawing>
      </w:r>
    </w:p>
    <w:p>
      <w:pPr>
        <w:pStyle w:val="Normal"/>
        <w:rPr/>
      </w:pPr>
      <w:r>
        <w:rPr>
          <w:rFonts w:eastAsia="Times New Roman" w:cs="Times New Roman" w:ascii="Times New Roman" w:hAnsi="Times New Roman"/>
          <w:b/>
          <w:sz w:val="24"/>
          <w:szCs w:val="24"/>
        </w:rPr>
        <w:t xml:space="preserve">Figure S1. Visualization of sequenced reads covering recombinant haplotypes found in region I. </w:t>
      </w:r>
      <w:r>
        <w:rPr>
          <w:rFonts w:eastAsia="Times New Roman" w:cs="Times New Roman" w:ascii="Times New Roman" w:hAnsi="Times New Roman"/>
          <w:sz w:val="24"/>
          <w:szCs w:val="24"/>
        </w:rPr>
        <w:t xml:space="preserve">Screenshot of some mosaic reads found in region I as proof of within-host recombination. Blue and red rectangles represent lineage-defining sites where an alternative allele characteristic of Gamma and Delta variants was found, respectively. </w:t>
      </w:r>
    </w:p>
    <w:p>
      <w:pPr>
        <w:pStyle w:val="Normal"/>
        <w:rPr>
          <w:rFonts w:ascii="Times New Roman" w:hAnsi="Times New Roman" w:eastAsia="Times New Roman" w:cs="Times New Roman"/>
          <w:sz w:val="24"/>
          <w:szCs w:val="24"/>
        </w:rPr>
      </w:pPr>
      <w:r>
        <w:rPr/>
        <w:drawing>
          <wp:inline distT="0" distB="0" distL="0" distR="0">
            <wp:extent cx="5943600" cy="6845300"/>
            <wp:effectExtent l="0" t="0" r="0" b="0"/>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17"/>
                    <a:stretch>
                      <a:fillRect/>
                    </a:stretch>
                  </pic:blipFill>
                  <pic:spPr bwMode="auto">
                    <a:xfrm>
                      <a:off x="0" y="0"/>
                      <a:ext cx="5943600" cy="6845300"/>
                    </a:xfrm>
                    <a:prstGeom prst="rect">
                      <a:avLst/>
                    </a:prstGeom>
                  </pic:spPr>
                </pic:pic>
              </a:graphicData>
            </a:graphic>
          </wp:inline>
        </w:drawing>
      </w:r>
    </w:p>
    <w:p>
      <w:pPr>
        <w:pStyle w:val="Normal"/>
        <w:rPr>
          <w:rFonts w:ascii="Times New Roman" w:hAnsi="Times New Roman" w:eastAsia="Times New Roman" w:cs="Times New Roman"/>
          <w:sz w:val="24"/>
          <w:szCs w:val="24"/>
        </w:rPr>
      </w:pPr>
      <w:r>
        <w:rPr>
          <w:rFonts w:eastAsia="Times New Roman" w:cs="Times New Roman" w:ascii="Times New Roman" w:hAnsi="Times New Roman"/>
          <w:b/>
          <w:sz w:val="24"/>
          <w:szCs w:val="24"/>
        </w:rPr>
        <w:t xml:space="preserve">Figure S2. Visualization of sequenced reads covering recombinant haplotypes found in region II. </w:t>
      </w:r>
      <w:r>
        <w:rPr>
          <w:rFonts w:eastAsia="Times New Roman" w:cs="Times New Roman" w:ascii="Times New Roman" w:hAnsi="Times New Roman"/>
          <w:sz w:val="24"/>
          <w:szCs w:val="24"/>
        </w:rPr>
        <w:t xml:space="preserve">Screenshot of some mosaic reads found in region II as proof of within-host recombination. Blue and red rectangles represent lineage-defining sites where an alternative allele characteristic of Gamma and Delta variants was found, respectively.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r>
        <w:br w:type="page"/>
      </w:r>
    </w:p>
    <w:p>
      <w:pPr>
        <w:pStyle w:val="Normal"/>
        <w:jc w:val="center"/>
        <w:rPr/>
      </w:pPr>
      <w:r>
        <w:rPr/>
        <w:drawing>
          <wp:inline distT="0" distB="0" distL="0" distR="0">
            <wp:extent cx="4130040" cy="6776720"/>
            <wp:effectExtent l="0" t="0" r="0" b="0"/>
            <wp:docPr id="3" name="image6.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descr=""/>
                    <pic:cNvPicPr>
                      <a:picLocks noChangeAspect="1" noChangeArrowheads="1"/>
                    </pic:cNvPicPr>
                  </pic:nvPicPr>
                  <pic:blipFill>
                    <a:blip r:embed="rId18"/>
                    <a:stretch>
                      <a:fillRect/>
                    </a:stretch>
                  </pic:blipFill>
                  <pic:spPr bwMode="auto">
                    <a:xfrm>
                      <a:off x="0" y="0"/>
                      <a:ext cx="4130040" cy="6776720"/>
                    </a:xfrm>
                    <a:prstGeom prst="rect">
                      <a:avLst/>
                    </a:prstGeom>
                  </pic:spPr>
                </pic:pic>
              </a:graphicData>
            </a:graphic>
          </wp:inline>
        </w:drawing>
      </w:r>
    </w:p>
    <w:p>
      <w:pPr>
        <w:pStyle w:val="Normal"/>
        <w:jc w:val="left"/>
        <w:rPr/>
      </w:pPr>
      <w:r>
        <w:rPr>
          <w:rFonts w:eastAsia="Times New Roman" w:cs="Times New Roman" w:ascii="Times New Roman" w:hAnsi="Times New Roman"/>
          <w:b/>
          <w:sz w:val="24"/>
          <w:szCs w:val="24"/>
        </w:rPr>
        <w:t xml:space="preserve">Figure S3. Visualization of sequenced reads covering recombinant haplotypes found in region III. </w:t>
      </w:r>
      <w:r>
        <w:rPr>
          <w:rFonts w:eastAsia="Times New Roman" w:cs="Times New Roman" w:ascii="Times New Roman" w:hAnsi="Times New Roman"/>
          <w:sz w:val="24"/>
          <w:szCs w:val="24"/>
        </w:rPr>
        <w:t>Screenshot of some mosaic reads found in region III as proof of within-host recombination. Blue and red rectangles represent lineage-defining sites where an alternative allele characteristic of Gamma and Delta variants was found, respectively.</w:t>
      </w:r>
    </w:p>
    <w:p>
      <w:pPr>
        <w:pStyle w:val="Normal"/>
        <w:rPr>
          <w:rFonts w:ascii="Times New Roman" w:hAnsi="Times New Roman" w:eastAsia="Times New Roman" w:cs="Times New Roman"/>
          <w:sz w:val="24"/>
          <w:szCs w:val="24"/>
        </w:rPr>
      </w:pPr>
      <w:r>
        <w:rPr/>
        <w:drawing>
          <wp:inline distT="0" distB="0" distL="0" distR="0">
            <wp:extent cx="5943600" cy="6845300"/>
            <wp:effectExtent l="0" t="0" r="0" b="0"/>
            <wp:docPr id="4"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descr=""/>
                    <pic:cNvPicPr>
                      <a:picLocks noChangeAspect="1" noChangeArrowheads="1"/>
                    </pic:cNvPicPr>
                  </pic:nvPicPr>
                  <pic:blipFill>
                    <a:blip r:embed="rId19"/>
                    <a:stretch>
                      <a:fillRect/>
                    </a:stretch>
                  </pic:blipFill>
                  <pic:spPr bwMode="auto">
                    <a:xfrm>
                      <a:off x="0" y="0"/>
                      <a:ext cx="5943600" cy="6845300"/>
                    </a:xfrm>
                    <a:prstGeom prst="rect">
                      <a:avLst/>
                    </a:prstGeom>
                  </pic:spPr>
                </pic:pic>
              </a:graphicData>
            </a:graphic>
          </wp:inline>
        </w:drawing>
      </w:r>
    </w:p>
    <w:p>
      <w:pPr>
        <w:pStyle w:val="Normal"/>
        <w:rPr>
          <w:rFonts w:ascii="Times New Roman" w:hAnsi="Times New Roman" w:eastAsia="Times New Roman" w:cs="Times New Roman"/>
          <w:sz w:val="24"/>
          <w:szCs w:val="24"/>
        </w:rPr>
      </w:pPr>
      <w:r>
        <w:rPr>
          <w:rFonts w:eastAsia="Times New Roman" w:cs="Times New Roman" w:ascii="Times New Roman" w:hAnsi="Times New Roman"/>
          <w:b/>
          <w:sz w:val="24"/>
          <w:szCs w:val="24"/>
        </w:rPr>
        <w:t xml:space="preserve">Figure S4. Visualization of sequenced reads covering recombinant haplotypes found in region IV. </w:t>
      </w:r>
      <w:r>
        <w:rPr>
          <w:rFonts w:eastAsia="Times New Roman" w:cs="Times New Roman" w:ascii="Times New Roman" w:hAnsi="Times New Roman"/>
          <w:sz w:val="24"/>
          <w:szCs w:val="24"/>
        </w:rPr>
        <w:t xml:space="preserve">Screenshot of some mosaic reads found in region IV as proof of within-host recombination. Blue and red rectangles represent lineage-defining sites where an alternative allele characteristic of Gamma and Delta variants was found, respectively.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r>
        <w:br w:type="page"/>
      </w:r>
    </w:p>
    <w:p>
      <w:pPr>
        <w:pStyle w:val="Normal"/>
        <w:rPr>
          <w:rFonts w:ascii="Times New Roman" w:hAnsi="Times New Roman" w:eastAsia="Times New Roman" w:cs="Times New Roman"/>
          <w:sz w:val="24"/>
          <w:szCs w:val="24"/>
        </w:rPr>
      </w:pPr>
      <w:r>
        <w:rPr/>
        <w:drawing>
          <wp:inline distT="0" distB="0" distL="0" distR="0">
            <wp:extent cx="5943600" cy="6845300"/>
            <wp:effectExtent l="0" t="0" r="0" b="0"/>
            <wp:docPr id="5"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
                    <pic:cNvPicPr>
                      <a:picLocks noChangeAspect="1" noChangeArrowheads="1"/>
                    </pic:cNvPicPr>
                  </pic:nvPicPr>
                  <pic:blipFill>
                    <a:blip r:embed="rId20"/>
                    <a:stretch>
                      <a:fillRect/>
                    </a:stretch>
                  </pic:blipFill>
                  <pic:spPr bwMode="auto">
                    <a:xfrm>
                      <a:off x="0" y="0"/>
                      <a:ext cx="5943600" cy="6845300"/>
                    </a:xfrm>
                    <a:prstGeom prst="rect">
                      <a:avLst/>
                    </a:prstGeom>
                  </pic:spPr>
                </pic:pic>
              </a:graphicData>
            </a:graphic>
          </wp:inline>
        </w:drawing>
      </w:r>
    </w:p>
    <w:p>
      <w:pPr>
        <w:pStyle w:val="Normal"/>
        <w:rPr>
          <w:rFonts w:ascii="Times New Roman" w:hAnsi="Times New Roman" w:eastAsia="Times New Roman" w:cs="Times New Roman"/>
          <w:sz w:val="24"/>
          <w:szCs w:val="24"/>
        </w:rPr>
      </w:pPr>
      <w:r>
        <w:rPr>
          <w:rFonts w:eastAsia="Times New Roman" w:cs="Times New Roman" w:ascii="Times New Roman" w:hAnsi="Times New Roman"/>
          <w:b/>
          <w:sz w:val="24"/>
          <w:szCs w:val="24"/>
        </w:rPr>
        <w:t xml:space="preserve">Figure S5. Visualization of sequenced reads covering recombinant haplotypes found in region V. </w:t>
      </w:r>
      <w:r>
        <w:rPr>
          <w:rFonts w:eastAsia="Times New Roman" w:cs="Times New Roman" w:ascii="Times New Roman" w:hAnsi="Times New Roman"/>
          <w:sz w:val="24"/>
          <w:szCs w:val="24"/>
        </w:rPr>
        <w:t xml:space="preserve">Screenshot of some mosaic reads found in region V as proof of within-host recombination. Blue and red rectangles represent lineage-defining sites where an alternative allele characteristic of Gamma and Delta variants was found, respectively.  </w:t>
      </w:r>
    </w:p>
    <w:p>
      <w:pPr>
        <w:pStyle w:val="Normal"/>
        <w:rPr>
          <w:rFonts w:ascii="Times New Roman" w:hAnsi="Times New Roman" w:eastAsia="Times New Roman" w:cs="Times New Roman"/>
          <w:sz w:val="24"/>
          <w:szCs w:val="24"/>
        </w:rPr>
      </w:pPr>
      <w:r>
        <w:rPr>
          <w:rFonts w:eastAsia="Times New Roman" w:cs="Times New Roman" w:ascii="Times New Roman" w:hAnsi="Times New Roman"/>
          <w:sz w:val="24"/>
          <w:szCs w:val="24"/>
        </w:rPr>
      </w:r>
      <w:r>
        <w:br w:type="page"/>
      </w:r>
    </w:p>
    <w:p>
      <w:pPr>
        <w:pStyle w:val="Normal"/>
        <w:rPr>
          <w:rFonts w:ascii="Times New Roman" w:hAnsi="Times New Roman" w:eastAsia="Times New Roman" w:cs="Times New Roman"/>
          <w:sz w:val="24"/>
          <w:szCs w:val="24"/>
        </w:rPr>
      </w:pPr>
      <w:r>
        <w:rPr/>
        <w:drawing>
          <wp:inline distT="0" distB="0" distL="0" distR="0">
            <wp:extent cx="5943600" cy="6845300"/>
            <wp:effectExtent l="0" t="0" r="0" b="0"/>
            <wp:docPr id="6"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descr=""/>
                    <pic:cNvPicPr>
                      <a:picLocks noChangeAspect="1" noChangeArrowheads="1"/>
                    </pic:cNvPicPr>
                  </pic:nvPicPr>
                  <pic:blipFill>
                    <a:blip r:embed="rId21"/>
                    <a:stretch>
                      <a:fillRect/>
                    </a:stretch>
                  </pic:blipFill>
                  <pic:spPr bwMode="auto">
                    <a:xfrm>
                      <a:off x="0" y="0"/>
                      <a:ext cx="5943600" cy="6845300"/>
                    </a:xfrm>
                    <a:prstGeom prst="rect">
                      <a:avLst/>
                    </a:prstGeom>
                  </pic:spPr>
                </pic:pic>
              </a:graphicData>
            </a:graphic>
          </wp:inline>
        </w:drawing>
      </w:r>
    </w:p>
    <w:p>
      <w:pPr>
        <w:pStyle w:val="Normal"/>
        <w:rPr>
          <w:rFonts w:ascii="Times New Roman" w:hAnsi="Times New Roman" w:eastAsia="Times New Roman" w:cs="Times New Roman"/>
          <w:sz w:val="24"/>
          <w:szCs w:val="24"/>
        </w:rPr>
      </w:pPr>
      <w:r>
        <w:rPr>
          <w:rFonts w:eastAsia="Times New Roman" w:cs="Times New Roman" w:ascii="Times New Roman" w:hAnsi="Times New Roman"/>
          <w:b/>
          <w:sz w:val="24"/>
          <w:szCs w:val="24"/>
        </w:rPr>
        <w:t xml:space="preserve">Figure S6. Visualization of sequenced reads covering recombinant haplotypes found in region VI. </w:t>
      </w:r>
      <w:r>
        <w:rPr>
          <w:rFonts w:eastAsia="Times New Roman" w:cs="Times New Roman" w:ascii="Times New Roman" w:hAnsi="Times New Roman"/>
          <w:sz w:val="24"/>
          <w:szCs w:val="24"/>
        </w:rPr>
        <w:t>Screenshot of some mosaic reads found in region VI as proof of within-host recombination. Blue and red rectangles represent lineage-defining sites where an alternative allele characteristic of Gamma and Delta variants was found, respectively. Despite the limited number of reads shown, more fragments were found in each region.</w:t>
      </w:r>
      <w:r>
        <w:br w:type="page"/>
      </w:r>
    </w:p>
    <w:p>
      <w:pPr>
        <w:pStyle w:val="Normal"/>
        <w:rPr>
          <w:rFonts w:ascii="Times New Roman" w:hAnsi="Times New Roman" w:eastAsia="Times New Roman" w:cs="Times New Roman"/>
          <w:b/>
          <w:b/>
          <w:sz w:val="24"/>
          <w:szCs w:val="24"/>
        </w:rPr>
      </w:pPr>
      <w:r>
        <w:rPr>
          <w:rFonts w:eastAsia="Times New Roman" w:cs="Times New Roman" w:ascii="Times New Roman" w:hAnsi="Times New Roman"/>
          <w:b/>
          <w:sz w:val="24"/>
          <w:szCs w:val="24"/>
        </w:rPr>
        <w:t>References</w:t>
      </w:r>
    </w:p>
    <w:p>
      <w:pPr>
        <w:pStyle w:val="Normal"/>
        <w:keepNext w:val="false"/>
        <w:keepLines w:val="false"/>
        <w:pageBreakBefore w:val="false"/>
        <w:widowControl w:val="false"/>
        <w:shd w:val="clear" w:fill="auto"/>
        <w:spacing w:lineRule="auto" w:line="240" w:before="240" w:after="240"/>
        <w:ind w:left="480" w:right="0" w:hanging="480"/>
        <w:jc w:val="left"/>
        <w:rPr/>
      </w:pPr>
      <w:r>
        <w:rPr>
          <w:rFonts w:eastAsia="Times New Roman" w:cs="Times New Roman" w:ascii="Times New Roman" w:hAnsi="Times New Roman"/>
          <w:b w:val="false"/>
          <w:i w:val="false"/>
          <w:color w:val="000000"/>
          <w:sz w:val="24"/>
          <w:szCs w:val="24"/>
        </w:rPr>
        <w:t>1</w:t>
        <w:tab/>
      </w:r>
      <w:hyperlink r:id="rId22">
        <w:r>
          <w:rPr>
            <w:rStyle w:val="ListLabel2"/>
            <w:rFonts w:eastAsia="Times New Roman" w:cs="Times New Roman" w:ascii="Times New Roman" w:hAnsi="Times New Roman"/>
            <w:b w:val="false"/>
            <w:i w:val="false"/>
            <w:color w:val="000000"/>
            <w:sz w:val="24"/>
            <w:szCs w:val="24"/>
            <w:u w:val="none"/>
          </w:rPr>
          <w:t xml:space="preserve">Martin M. Cutadapt removes adapter sequences from high-throughput sequencing reads. </w:t>
        </w:r>
      </w:hyperlink>
      <w:hyperlink r:id="rId23">
        <w:r>
          <w:rPr>
            <w:rStyle w:val="ListLabel3"/>
            <w:rFonts w:eastAsia="Times New Roman" w:cs="Times New Roman" w:ascii="Times New Roman" w:hAnsi="Times New Roman"/>
            <w:b w:val="false"/>
            <w:i/>
            <w:color w:val="000000"/>
            <w:sz w:val="24"/>
            <w:szCs w:val="24"/>
            <w:u w:val="none"/>
          </w:rPr>
          <w:t>EMBnet J</w:t>
        </w:r>
      </w:hyperlink>
      <w:hyperlink r:id="rId24">
        <w:r>
          <w:rPr>
            <w:rStyle w:val="ListLabel2"/>
            <w:rFonts w:eastAsia="Times New Roman" w:cs="Times New Roman" w:ascii="Times New Roman" w:hAnsi="Times New Roman"/>
            <w:b w:val="false"/>
            <w:i w:val="false"/>
            <w:color w:val="000000"/>
            <w:sz w:val="24"/>
            <w:szCs w:val="24"/>
            <w:u w:val="none"/>
          </w:rPr>
          <w:t xml:space="preserve"> 2011; </w:t>
        </w:r>
      </w:hyperlink>
      <w:hyperlink r:id="rId25">
        <w:r>
          <w:rPr>
            <w:rStyle w:val="ListLabel4"/>
            <w:rFonts w:eastAsia="Times New Roman" w:cs="Times New Roman" w:ascii="Times New Roman" w:hAnsi="Times New Roman"/>
            <w:b/>
            <w:i w:val="false"/>
            <w:color w:val="000000"/>
            <w:sz w:val="24"/>
            <w:szCs w:val="24"/>
            <w:u w:val="none"/>
          </w:rPr>
          <w:t>17</w:t>
        </w:r>
      </w:hyperlink>
      <w:hyperlink r:id="rId26">
        <w:r>
          <w:rPr>
            <w:rStyle w:val="ListLabel2"/>
            <w:rFonts w:eastAsia="Times New Roman" w:cs="Times New Roman" w:ascii="Times New Roman" w:hAnsi="Times New Roman"/>
            <w:b w:val="false"/>
            <w:i w:val="false"/>
            <w:color w:val="000000"/>
            <w:sz w:val="24"/>
            <w:szCs w:val="24"/>
            <w:u w:val="none"/>
          </w:rPr>
          <w:t>: 10.</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2</w:t>
        <w:tab/>
      </w:r>
      <w:hyperlink r:id="rId27">
        <w:r>
          <w:rPr>
            <w:rStyle w:val="ListLabel2"/>
            <w:rFonts w:eastAsia="Times New Roman" w:cs="Times New Roman" w:ascii="Times New Roman" w:hAnsi="Times New Roman"/>
            <w:b w:val="false"/>
            <w:i w:val="false"/>
            <w:color w:val="000000"/>
            <w:sz w:val="24"/>
            <w:szCs w:val="24"/>
            <w:u w:val="none"/>
          </w:rPr>
          <w:t xml:space="preserve">Langmead B, Salzberg SL. Fast gapped-read alignment with Bowtie 2. </w:t>
        </w:r>
      </w:hyperlink>
      <w:hyperlink r:id="rId28">
        <w:r>
          <w:rPr>
            <w:rStyle w:val="ListLabel3"/>
            <w:rFonts w:eastAsia="Times New Roman" w:cs="Times New Roman" w:ascii="Times New Roman" w:hAnsi="Times New Roman"/>
            <w:b w:val="false"/>
            <w:i/>
            <w:color w:val="000000"/>
            <w:sz w:val="24"/>
            <w:szCs w:val="24"/>
            <w:u w:val="none"/>
          </w:rPr>
          <w:t>Nat Methods</w:t>
        </w:r>
      </w:hyperlink>
      <w:hyperlink r:id="rId29">
        <w:r>
          <w:rPr>
            <w:rStyle w:val="ListLabel2"/>
            <w:rFonts w:eastAsia="Times New Roman" w:cs="Times New Roman" w:ascii="Times New Roman" w:hAnsi="Times New Roman"/>
            <w:b w:val="false"/>
            <w:i w:val="false"/>
            <w:color w:val="000000"/>
            <w:sz w:val="24"/>
            <w:szCs w:val="24"/>
            <w:u w:val="none"/>
          </w:rPr>
          <w:t xml:space="preserve"> 2012; </w:t>
        </w:r>
      </w:hyperlink>
      <w:hyperlink r:id="rId30">
        <w:r>
          <w:rPr>
            <w:rStyle w:val="ListLabel4"/>
            <w:rFonts w:eastAsia="Times New Roman" w:cs="Times New Roman" w:ascii="Times New Roman" w:hAnsi="Times New Roman"/>
            <w:b/>
            <w:i w:val="false"/>
            <w:color w:val="000000"/>
            <w:sz w:val="24"/>
            <w:szCs w:val="24"/>
            <w:u w:val="none"/>
          </w:rPr>
          <w:t>9</w:t>
        </w:r>
      </w:hyperlink>
      <w:hyperlink r:id="rId31">
        <w:r>
          <w:rPr>
            <w:rStyle w:val="ListLabel2"/>
            <w:rFonts w:eastAsia="Times New Roman" w:cs="Times New Roman" w:ascii="Times New Roman" w:hAnsi="Times New Roman"/>
            <w:b w:val="false"/>
            <w:i w:val="false"/>
            <w:color w:val="000000"/>
            <w:sz w:val="24"/>
            <w:szCs w:val="24"/>
            <w:u w:val="none"/>
          </w:rPr>
          <w:t>: 357–9.</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3</w:t>
        <w:tab/>
      </w:r>
      <w:hyperlink r:id="rId32">
        <w:r>
          <w:rPr>
            <w:rStyle w:val="ListLabel2"/>
            <w:rFonts w:eastAsia="Times New Roman" w:cs="Times New Roman" w:ascii="Times New Roman" w:hAnsi="Times New Roman"/>
            <w:b w:val="false"/>
            <w:i w:val="false"/>
            <w:color w:val="000000"/>
            <w:sz w:val="24"/>
            <w:szCs w:val="24"/>
            <w:u w:val="none"/>
          </w:rPr>
          <w:t xml:space="preserve">Li H, Durbin R. Fast and accurate short read alignment with Burrows-Wheeler transform. </w:t>
        </w:r>
      </w:hyperlink>
      <w:hyperlink r:id="rId33">
        <w:r>
          <w:rPr>
            <w:rStyle w:val="ListLabel3"/>
            <w:rFonts w:eastAsia="Times New Roman" w:cs="Times New Roman" w:ascii="Times New Roman" w:hAnsi="Times New Roman"/>
            <w:b w:val="false"/>
            <w:i/>
            <w:color w:val="000000"/>
            <w:sz w:val="24"/>
            <w:szCs w:val="24"/>
            <w:u w:val="none"/>
          </w:rPr>
          <w:t>Bioinformatics</w:t>
        </w:r>
      </w:hyperlink>
      <w:hyperlink r:id="rId34">
        <w:r>
          <w:rPr>
            <w:rStyle w:val="ListLabel2"/>
            <w:rFonts w:eastAsia="Times New Roman" w:cs="Times New Roman" w:ascii="Times New Roman" w:hAnsi="Times New Roman"/>
            <w:b w:val="false"/>
            <w:i w:val="false"/>
            <w:color w:val="000000"/>
            <w:sz w:val="24"/>
            <w:szCs w:val="24"/>
            <w:u w:val="none"/>
          </w:rPr>
          <w:t xml:space="preserve"> 2009; </w:t>
        </w:r>
      </w:hyperlink>
      <w:hyperlink r:id="rId35">
        <w:r>
          <w:rPr>
            <w:rStyle w:val="ListLabel4"/>
            <w:rFonts w:eastAsia="Times New Roman" w:cs="Times New Roman" w:ascii="Times New Roman" w:hAnsi="Times New Roman"/>
            <w:b/>
            <w:i w:val="false"/>
            <w:color w:val="000000"/>
            <w:sz w:val="24"/>
            <w:szCs w:val="24"/>
            <w:u w:val="none"/>
          </w:rPr>
          <w:t>25</w:t>
        </w:r>
      </w:hyperlink>
      <w:hyperlink r:id="rId36">
        <w:r>
          <w:rPr>
            <w:rStyle w:val="ListLabel2"/>
            <w:rFonts w:eastAsia="Times New Roman" w:cs="Times New Roman" w:ascii="Times New Roman" w:hAnsi="Times New Roman"/>
            <w:b w:val="false"/>
            <w:i w:val="false"/>
            <w:color w:val="000000"/>
            <w:sz w:val="24"/>
            <w:szCs w:val="24"/>
            <w:u w:val="none"/>
          </w:rPr>
          <w:t>: 1754–60.</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4</w:t>
        <w:tab/>
      </w:r>
      <w:hyperlink r:id="rId37">
        <w:r>
          <w:rPr>
            <w:rStyle w:val="ListLabel2"/>
            <w:rFonts w:eastAsia="Times New Roman" w:cs="Times New Roman" w:ascii="Times New Roman" w:hAnsi="Times New Roman"/>
            <w:b w:val="false"/>
            <w:i w:val="false"/>
            <w:color w:val="000000"/>
            <w:sz w:val="24"/>
            <w:szCs w:val="24"/>
            <w:u w:val="none"/>
          </w:rPr>
          <w:t xml:space="preserve">Li H, Handsaker B, Wysoker A, </w:t>
        </w:r>
      </w:hyperlink>
      <w:hyperlink r:id="rId38">
        <w:r>
          <w:rPr>
            <w:rStyle w:val="ListLabel3"/>
            <w:rFonts w:eastAsia="Times New Roman" w:cs="Times New Roman" w:ascii="Times New Roman" w:hAnsi="Times New Roman"/>
            <w:b w:val="false"/>
            <w:i/>
            <w:color w:val="000000"/>
            <w:sz w:val="24"/>
            <w:szCs w:val="24"/>
            <w:u w:val="none"/>
          </w:rPr>
          <w:t>et al.</w:t>
        </w:r>
      </w:hyperlink>
      <w:hyperlink r:id="rId39">
        <w:r>
          <w:rPr>
            <w:rStyle w:val="ListLabel2"/>
            <w:rFonts w:eastAsia="Times New Roman" w:cs="Times New Roman" w:ascii="Times New Roman" w:hAnsi="Times New Roman"/>
            <w:b w:val="false"/>
            <w:i w:val="false"/>
            <w:color w:val="000000"/>
            <w:sz w:val="24"/>
            <w:szCs w:val="24"/>
            <w:u w:val="none"/>
          </w:rPr>
          <w:t xml:space="preserve"> The Sequence Alignment/Map format and SAMtools. Bioinformatics. 2009; </w:t>
        </w:r>
      </w:hyperlink>
      <w:hyperlink r:id="rId40">
        <w:r>
          <w:rPr>
            <w:rStyle w:val="ListLabel4"/>
            <w:rFonts w:eastAsia="Times New Roman" w:cs="Times New Roman" w:ascii="Times New Roman" w:hAnsi="Times New Roman"/>
            <w:b/>
            <w:i w:val="false"/>
            <w:color w:val="000000"/>
            <w:sz w:val="24"/>
            <w:szCs w:val="24"/>
            <w:u w:val="none"/>
          </w:rPr>
          <w:t>25</w:t>
        </w:r>
      </w:hyperlink>
      <w:hyperlink r:id="rId41">
        <w:r>
          <w:rPr>
            <w:rStyle w:val="ListLabel2"/>
            <w:rFonts w:eastAsia="Times New Roman" w:cs="Times New Roman" w:ascii="Times New Roman" w:hAnsi="Times New Roman"/>
            <w:b w:val="false"/>
            <w:i w:val="false"/>
            <w:color w:val="000000"/>
            <w:sz w:val="24"/>
            <w:szCs w:val="24"/>
            <w:u w:val="none"/>
          </w:rPr>
          <w:t>: 2078–9.</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5</w:t>
        <w:tab/>
      </w:r>
      <w:hyperlink r:id="rId42">
        <w:r>
          <w:rPr>
            <w:rStyle w:val="ListLabel2"/>
            <w:rFonts w:eastAsia="Times New Roman" w:cs="Times New Roman" w:ascii="Times New Roman" w:hAnsi="Times New Roman"/>
            <w:b w:val="false"/>
            <w:i w:val="false"/>
            <w:color w:val="000000"/>
            <w:sz w:val="24"/>
            <w:szCs w:val="24"/>
            <w:u w:val="none"/>
          </w:rPr>
          <w:t xml:space="preserve">DePristo MA, Banks E, Poplin R, </w:t>
        </w:r>
      </w:hyperlink>
      <w:hyperlink r:id="rId43">
        <w:r>
          <w:rPr>
            <w:rStyle w:val="ListLabel3"/>
            <w:rFonts w:eastAsia="Times New Roman" w:cs="Times New Roman" w:ascii="Times New Roman" w:hAnsi="Times New Roman"/>
            <w:b w:val="false"/>
            <w:i/>
            <w:color w:val="000000"/>
            <w:sz w:val="24"/>
            <w:szCs w:val="24"/>
            <w:u w:val="none"/>
          </w:rPr>
          <w:t>et al.</w:t>
        </w:r>
      </w:hyperlink>
      <w:hyperlink r:id="rId44">
        <w:r>
          <w:rPr>
            <w:rStyle w:val="ListLabel2"/>
            <w:rFonts w:eastAsia="Times New Roman" w:cs="Times New Roman" w:ascii="Times New Roman" w:hAnsi="Times New Roman"/>
            <w:b w:val="false"/>
            <w:i w:val="false"/>
            <w:color w:val="000000"/>
            <w:sz w:val="24"/>
            <w:szCs w:val="24"/>
            <w:u w:val="none"/>
          </w:rPr>
          <w:t xml:space="preserve"> A framework for variation discovery and genotyping using next-generation DNA sequencing data. Nature Genetics. 2011; </w:t>
        </w:r>
      </w:hyperlink>
      <w:hyperlink r:id="rId45">
        <w:r>
          <w:rPr>
            <w:rStyle w:val="ListLabel4"/>
            <w:rFonts w:eastAsia="Times New Roman" w:cs="Times New Roman" w:ascii="Times New Roman" w:hAnsi="Times New Roman"/>
            <w:b/>
            <w:i w:val="false"/>
            <w:color w:val="000000"/>
            <w:sz w:val="24"/>
            <w:szCs w:val="24"/>
            <w:u w:val="none"/>
          </w:rPr>
          <w:t>43</w:t>
        </w:r>
      </w:hyperlink>
      <w:hyperlink r:id="rId46">
        <w:r>
          <w:rPr>
            <w:rStyle w:val="ListLabel2"/>
            <w:rFonts w:eastAsia="Times New Roman" w:cs="Times New Roman" w:ascii="Times New Roman" w:hAnsi="Times New Roman"/>
            <w:b w:val="false"/>
            <w:i w:val="false"/>
            <w:color w:val="000000"/>
            <w:sz w:val="24"/>
            <w:szCs w:val="24"/>
            <w:u w:val="none"/>
          </w:rPr>
          <w:t>: 491–8.</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6</w:t>
        <w:tab/>
      </w:r>
      <w:hyperlink r:id="rId47">
        <w:r>
          <w:rPr>
            <w:rStyle w:val="ListLabel2"/>
            <w:rFonts w:eastAsia="Times New Roman" w:cs="Times New Roman" w:ascii="Times New Roman" w:hAnsi="Times New Roman"/>
            <w:b w:val="false"/>
            <w:i w:val="false"/>
            <w:color w:val="000000"/>
            <w:sz w:val="24"/>
            <w:szCs w:val="24"/>
            <w:u w:val="none"/>
          </w:rPr>
          <w:t xml:space="preserve">Wilm A, Aw PPK, Bertrand D, </w:t>
        </w:r>
      </w:hyperlink>
      <w:hyperlink r:id="rId48">
        <w:r>
          <w:rPr>
            <w:rStyle w:val="ListLabel3"/>
            <w:rFonts w:eastAsia="Times New Roman" w:cs="Times New Roman" w:ascii="Times New Roman" w:hAnsi="Times New Roman"/>
            <w:b w:val="false"/>
            <w:i/>
            <w:color w:val="000000"/>
            <w:sz w:val="24"/>
            <w:szCs w:val="24"/>
            <w:u w:val="none"/>
          </w:rPr>
          <w:t>et al.</w:t>
        </w:r>
      </w:hyperlink>
      <w:hyperlink r:id="rId49">
        <w:r>
          <w:rPr>
            <w:rStyle w:val="ListLabel2"/>
            <w:rFonts w:eastAsia="Times New Roman" w:cs="Times New Roman" w:ascii="Times New Roman" w:hAnsi="Times New Roman"/>
            <w:b w:val="false"/>
            <w:i w:val="false"/>
            <w:color w:val="000000"/>
            <w:sz w:val="24"/>
            <w:szCs w:val="24"/>
            <w:u w:val="none"/>
          </w:rPr>
          <w:t xml:space="preserve"> LoFreq: a sequence-quality aware, ultra-sensitive variant caller for uncovering cell-population heterogeneity from high-throughput sequencing datasets. Nucleic Acids Research. 2012; </w:t>
        </w:r>
      </w:hyperlink>
      <w:hyperlink r:id="rId50">
        <w:r>
          <w:rPr>
            <w:rStyle w:val="ListLabel4"/>
            <w:rFonts w:eastAsia="Times New Roman" w:cs="Times New Roman" w:ascii="Times New Roman" w:hAnsi="Times New Roman"/>
            <w:b/>
            <w:i w:val="false"/>
            <w:color w:val="000000"/>
            <w:sz w:val="24"/>
            <w:szCs w:val="24"/>
            <w:u w:val="none"/>
          </w:rPr>
          <w:t>40</w:t>
        </w:r>
      </w:hyperlink>
      <w:hyperlink r:id="rId51">
        <w:r>
          <w:rPr>
            <w:rStyle w:val="ListLabel2"/>
            <w:rFonts w:eastAsia="Times New Roman" w:cs="Times New Roman" w:ascii="Times New Roman" w:hAnsi="Times New Roman"/>
            <w:b w:val="false"/>
            <w:i w:val="false"/>
            <w:color w:val="000000"/>
            <w:sz w:val="24"/>
            <w:szCs w:val="24"/>
            <w:u w:val="none"/>
          </w:rPr>
          <w:t>: 11189–201.</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7</w:t>
        <w:tab/>
      </w:r>
      <w:hyperlink r:id="rId52">
        <w:r>
          <w:rPr>
            <w:rStyle w:val="ListLabel2"/>
            <w:rFonts w:eastAsia="Times New Roman" w:cs="Times New Roman" w:ascii="Times New Roman" w:hAnsi="Times New Roman"/>
            <w:b w:val="false"/>
            <w:i w:val="false"/>
            <w:color w:val="000000"/>
            <w:sz w:val="24"/>
            <w:szCs w:val="24"/>
            <w:u w:val="none"/>
          </w:rPr>
          <w:t xml:space="preserve">Cingolani P, Platts A, Wang LL, </w:t>
        </w:r>
      </w:hyperlink>
      <w:hyperlink r:id="rId53">
        <w:r>
          <w:rPr>
            <w:rStyle w:val="ListLabel3"/>
            <w:rFonts w:eastAsia="Times New Roman" w:cs="Times New Roman" w:ascii="Times New Roman" w:hAnsi="Times New Roman"/>
            <w:b w:val="false"/>
            <w:i/>
            <w:color w:val="000000"/>
            <w:sz w:val="24"/>
            <w:szCs w:val="24"/>
            <w:u w:val="none"/>
          </w:rPr>
          <w:t>et al.</w:t>
        </w:r>
      </w:hyperlink>
      <w:hyperlink r:id="rId54">
        <w:r>
          <w:rPr>
            <w:rStyle w:val="ListLabel2"/>
            <w:rFonts w:eastAsia="Times New Roman" w:cs="Times New Roman" w:ascii="Times New Roman" w:hAnsi="Times New Roman"/>
            <w:b w:val="false"/>
            <w:i w:val="false"/>
            <w:color w:val="000000"/>
            <w:sz w:val="24"/>
            <w:szCs w:val="24"/>
            <w:u w:val="none"/>
          </w:rPr>
          <w:t xml:space="preserve"> A program for annotating and predicting the effects of single nucleotide polymorphisms, SnpEff. Fly. 2012; </w:t>
        </w:r>
      </w:hyperlink>
      <w:hyperlink r:id="rId55">
        <w:r>
          <w:rPr>
            <w:rStyle w:val="ListLabel4"/>
            <w:rFonts w:eastAsia="Times New Roman" w:cs="Times New Roman" w:ascii="Times New Roman" w:hAnsi="Times New Roman"/>
            <w:b/>
            <w:i w:val="false"/>
            <w:color w:val="000000"/>
            <w:sz w:val="24"/>
            <w:szCs w:val="24"/>
            <w:u w:val="none"/>
          </w:rPr>
          <w:t>6</w:t>
        </w:r>
      </w:hyperlink>
      <w:hyperlink r:id="rId56">
        <w:r>
          <w:rPr>
            <w:rStyle w:val="ListLabel2"/>
            <w:rFonts w:eastAsia="Times New Roman" w:cs="Times New Roman" w:ascii="Times New Roman" w:hAnsi="Times New Roman"/>
            <w:b w:val="false"/>
            <w:i w:val="false"/>
            <w:color w:val="000000"/>
            <w:sz w:val="24"/>
            <w:szCs w:val="24"/>
            <w:u w:val="none"/>
          </w:rPr>
          <w:t>: 80–92.</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8</w:t>
        <w:tab/>
      </w:r>
      <w:hyperlink r:id="rId57">
        <w:r>
          <w:rPr>
            <w:rStyle w:val="ListLabel2"/>
            <w:rFonts w:eastAsia="Times New Roman" w:cs="Times New Roman" w:ascii="Times New Roman" w:hAnsi="Times New Roman"/>
            <w:b w:val="false"/>
            <w:i w:val="false"/>
            <w:color w:val="000000"/>
            <w:sz w:val="24"/>
            <w:szCs w:val="24"/>
            <w:u w:val="none"/>
          </w:rPr>
          <w:t xml:space="preserve">Leviyang S, Griva I, Ita S, Johnson WE. A penalized regression approach to haplotype reconstruction of viral populations arising in early HIV/SIV infection. </w:t>
        </w:r>
      </w:hyperlink>
      <w:hyperlink r:id="rId58">
        <w:r>
          <w:rPr>
            <w:rStyle w:val="ListLabel3"/>
            <w:rFonts w:eastAsia="Times New Roman" w:cs="Times New Roman" w:ascii="Times New Roman" w:hAnsi="Times New Roman"/>
            <w:b w:val="false"/>
            <w:i/>
            <w:color w:val="000000"/>
            <w:sz w:val="24"/>
            <w:szCs w:val="24"/>
            <w:u w:val="none"/>
          </w:rPr>
          <w:t>Bioinformatics</w:t>
        </w:r>
      </w:hyperlink>
      <w:hyperlink r:id="rId59">
        <w:r>
          <w:rPr>
            <w:rStyle w:val="ListLabel2"/>
            <w:rFonts w:eastAsia="Times New Roman" w:cs="Times New Roman" w:ascii="Times New Roman" w:hAnsi="Times New Roman"/>
            <w:b w:val="false"/>
            <w:i w:val="false"/>
            <w:color w:val="000000"/>
            <w:sz w:val="24"/>
            <w:szCs w:val="24"/>
            <w:u w:val="none"/>
          </w:rPr>
          <w:t xml:space="preserve"> 2017; </w:t>
        </w:r>
      </w:hyperlink>
      <w:hyperlink r:id="rId60">
        <w:r>
          <w:rPr>
            <w:rStyle w:val="ListLabel4"/>
            <w:rFonts w:eastAsia="Times New Roman" w:cs="Times New Roman" w:ascii="Times New Roman" w:hAnsi="Times New Roman"/>
            <w:b/>
            <w:i w:val="false"/>
            <w:color w:val="000000"/>
            <w:sz w:val="24"/>
            <w:szCs w:val="24"/>
            <w:u w:val="none"/>
          </w:rPr>
          <w:t>33</w:t>
        </w:r>
      </w:hyperlink>
      <w:hyperlink r:id="rId61">
        <w:r>
          <w:rPr>
            <w:rStyle w:val="ListLabel2"/>
            <w:rFonts w:eastAsia="Times New Roman" w:cs="Times New Roman" w:ascii="Times New Roman" w:hAnsi="Times New Roman"/>
            <w:b w:val="false"/>
            <w:i w:val="false"/>
            <w:color w:val="000000"/>
            <w:sz w:val="24"/>
            <w:szCs w:val="24"/>
            <w:u w:val="none"/>
          </w:rPr>
          <w:t>: 2455–63.</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9</w:t>
        <w:tab/>
      </w:r>
      <w:hyperlink r:id="rId62">
        <w:r>
          <w:rPr>
            <w:rStyle w:val="ListLabel2"/>
            <w:rFonts w:eastAsia="Times New Roman" w:cs="Times New Roman" w:ascii="Times New Roman" w:hAnsi="Times New Roman"/>
            <w:b w:val="false"/>
            <w:i w:val="false"/>
            <w:color w:val="000000"/>
            <w:sz w:val="24"/>
            <w:szCs w:val="24"/>
            <w:u w:val="none"/>
          </w:rPr>
          <w:t>Lindenbaum P. JVarkit: java-based utilities for Bioinformatics. 2015; published online May 26. DOI:</w:t>
        </w:r>
      </w:hyperlink>
      <w:hyperlink r:id="rId63">
        <w:r>
          <w:rPr>
            <w:rStyle w:val="ListLabel2"/>
            <w:rFonts w:eastAsia="Times New Roman" w:cs="Times New Roman" w:ascii="Times New Roman" w:hAnsi="Times New Roman"/>
            <w:b w:val="false"/>
            <w:i w:val="false"/>
            <w:color w:val="000000"/>
            <w:sz w:val="24"/>
            <w:szCs w:val="24"/>
            <w:u w:val="none"/>
          </w:rPr>
          <w:t>10.6084/m9.figshare.1425030.v1</w:t>
        </w:r>
      </w:hyperlink>
      <w:hyperlink r:id="rId64">
        <w:r>
          <w:rPr>
            <w:rStyle w:val="ListLabel2"/>
            <w:rFonts w:eastAsia="Times New Roman" w:cs="Times New Roman" w:ascii="Times New Roman" w:hAnsi="Times New Roman"/>
            <w:b w:val="false"/>
            <w:i w:val="false"/>
            <w:color w:val="000000"/>
            <w:sz w:val="24"/>
            <w:szCs w:val="24"/>
            <w:u w:val="none"/>
          </w:rPr>
          <w:t>.</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10</w:t>
        <w:tab/>
      </w:r>
      <w:hyperlink r:id="rId65">
        <w:r>
          <w:rPr>
            <w:rStyle w:val="ListLabel2"/>
            <w:rFonts w:eastAsia="Times New Roman" w:cs="Times New Roman" w:ascii="Times New Roman" w:hAnsi="Times New Roman"/>
            <w:b w:val="false"/>
            <w:i w:val="false"/>
            <w:color w:val="000000"/>
            <w:sz w:val="24"/>
            <w:szCs w:val="24"/>
            <w:u w:val="none"/>
          </w:rPr>
          <w:t xml:space="preserve">Samoilov AE, Kaptelova VV, Bukharina AY, </w:t>
        </w:r>
      </w:hyperlink>
      <w:hyperlink r:id="rId66">
        <w:r>
          <w:rPr>
            <w:rStyle w:val="ListLabel3"/>
            <w:rFonts w:eastAsia="Times New Roman" w:cs="Times New Roman" w:ascii="Times New Roman" w:hAnsi="Times New Roman"/>
            <w:b w:val="false"/>
            <w:i/>
            <w:color w:val="000000"/>
            <w:sz w:val="24"/>
            <w:szCs w:val="24"/>
            <w:u w:val="none"/>
          </w:rPr>
          <w:t>et al.</w:t>
        </w:r>
      </w:hyperlink>
      <w:hyperlink r:id="rId67">
        <w:r>
          <w:rPr>
            <w:rStyle w:val="ListLabel2"/>
            <w:rFonts w:eastAsia="Times New Roman" w:cs="Times New Roman" w:ascii="Times New Roman" w:hAnsi="Times New Roman"/>
            <w:b w:val="false"/>
            <w:i w:val="false"/>
            <w:color w:val="000000"/>
            <w:sz w:val="24"/>
            <w:szCs w:val="24"/>
            <w:u w:val="none"/>
          </w:rPr>
          <w:t xml:space="preserve"> Case report: change of dominant strain during dual SARS-CoV-2 infection. </w:t>
        </w:r>
      </w:hyperlink>
      <w:hyperlink r:id="rId68">
        <w:r>
          <w:rPr>
            <w:rStyle w:val="ListLabel3"/>
            <w:rFonts w:eastAsia="Times New Roman" w:cs="Times New Roman" w:ascii="Times New Roman" w:hAnsi="Times New Roman"/>
            <w:b w:val="false"/>
            <w:i/>
            <w:color w:val="000000"/>
            <w:sz w:val="24"/>
            <w:szCs w:val="24"/>
            <w:u w:val="none"/>
          </w:rPr>
          <w:t>BMC Infect Dis</w:t>
        </w:r>
      </w:hyperlink>
      <w:hyperlink r:id="rId69">
        <w:r>
          <w:rPr>
            <w:rStyle w:val="ListLabel2"/>
            <w:rFonts w:eastAsia="Times New Roman" w:cs="Times New Roman" w:ascii="Times New Roman" w:hAnsi="Times New Roman"/>
            <w:b w:val="false"/>
            <w:i w:val="false"/>
            <w:color w:val="000000"/>
            <w:sz w:val="24"/>
            <w:szCs w:val="24"/>
            <w:u w:val="none"/>
          </w:rPr>
          <w:t xml:space="preserve"> 2021; </w:t>
        </w:r>
      </w:hyperlink>
      <w:hyperlink r:id="rId70">
        <w:r>
          <w:rPr>
            <w:rStyle w:val="ListLabel4"/>
            <w:rFonts w:eastAsia="Times New Roman" w:cs="Times New Roman" w:ascii="Times New Roman" w:hAnsi="Times New Roman"/>
            <w:b/>
            <w:i w:val="false"/>
            <w:color w:val="000000"/>
            <w:sz w:val="24"/>
            <w:szCs w:val="24"/>
            <w:u w:val="none"/>
          </w:rPr>
          <w:t>21</w:t>
        </w:r>
      </w:hyperlink>
      <w:hyperlink r:id="rId71">
        <w:r>
          <w:rPr>
            <w:rStyle w:val="ListLabel2"/>
            <w:rFonts w:eastAsia="Times New Roman" w:cs="Times New Roman" w:ascii="Times New Roman" w:hAnsi="Times New Roman"/>
            <w:b w:val="false"/>
            <w:i w:val="false"/>
            <w:color w:val="000000"/>
            <w:sz w:val="24"/>
            <w:szCs w:val="24"/>
            <w:u w:val="none"/>
          </w:rPr>
          <w:t>: 959.</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11</w:t>
        <w:tab/>
      </w:r>
      <w:hyperlink r:id="rId72">
        <w:r>
          <w:rPr>
            <w:rStyle w:val="ListLabel2"/>
            <w:rFonts w:eastAsia="Times New Roman" w:cs="Times New Roman" w:ascii="Times New Roman" w:hAnsi="Times New Roman"/>
            <w:b w:val="false"/>
            <w:i w:val="false"/>
            <w:color w:val="000000"/>
            <w:sz w:val="24"/>
            <w:szCs w:val="24"/>
            <w:u w:val="none"/>
          </w:rPr>
          <w:t xml:space="preserve">Hashim HO, Mohammed MK, Mousa MJ, </w:t>
        </w:r>
      </w:hyperlink>
      <w:hyperlink r:id="rId73">
        <w:r>
          <w:rPr>
            <w:rStyle w:val="ListLabel3"/>
            <w:rFonts w:eastAsia="Times New Roman" w:cs="Times New Roman" w:ascii="Times New Roman" w:hAnsi="Times New Roman"/>
            <w:b w:val="false"/>
            <w:i/>
            <w:color w:val="000000"/>
            <w:sz w:val="24"/>
            <w:szCs w:val="24"/>
            <w:u w:val="none"/>
          </w:rPr>
          <w:t>et al.</w:t>
        </w:r>
      </w:hyperlink>
      <w:hyperlink r:id="rId74">
        <w:r>
          <w:rPr>
            <w:rStyle w:val="ListLabel2"/>
            <w:rFonts w:eastAsia="Times New Roman" w:cs="Times New Roman" w:ascii="Times New Roman" w:hAnsi="Times New Roman"/>
            <w:b w:val="false"/>
            <w:i w:val="false"/>
            <w:color w:val="000000"/>
            <w:sz w:val="24"/>
            <w:szCs w:val="24"/>
            <w:u w:val="none"/>
          </w:rPr>
          <w:t xml:space="preserve"> Unexpected Co-infection with Different Strains of SARS-CoV-2 in Patients with COVID-19. DOI:</w:t>
        </w:r>
      </w:hyperlink>
      <w:hyperlink r:id="rId75">
        <w:r>
          <w:rPr>
            <w:rStyle w:val="ListLabel2"/>
            <w:rFonts w:eastAsia="Times New Roman" w:cs="Times New Roman" w:ascii="Times New Roman" w:hAnsi="Times New Roman"/>
            <w:b w:val="false"/>
            <w:i w:val="false"/>
            <w:color w:val="000000"/>
            <w:sz w:val="24"/>
            <w:szCs w:val="24"/>
            <w:u w:val="none"/>
          </w:rPr>
          <w:t>10.20944/preprints202009.0375.v1</w:t>
        </w:r>
      </w:hyperlink>
      <w:hyperlink r:id="rId76">
        <w:r>
          <w:rPr>
            <w:rStyle w:val="ListLabel2"/>
            <w:rFonts w:eastAsia="Times New Roman" w:cs="Times New Roman" w:ascii="Times New Roman" w:hAnsi="Times New Roman"/>
            <w:b w:val="false"/>
            <w:i w:val="false"/>
            <w:color w:val="000000"/>
            <w:sz w:val="24"/>
            <w:szCs w:val="24"/>
            <w:u w:val="none"/>
          </w:rPr>
          <w:t>.</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12</w:t>
        <w:tab/>
      </w:r>
      <w:hyperlink r:id="rId77">
        <w:r>
          <w:rPr>
            <w:rStyle w:val="ListLabel2"/>
            <w:rFonts w:eastAsia="Times New Roman" w:cs="Times New Roman" w:ascii="Times New Roman" w:hAnsi="Times New Roman"/>
            <w:b w:val="false"/>
            <w:i w:val="false"/>
            <w:color w:val="000000"/>
            <w:sz w:val="24"/>
            <w:szCs w:val="24"/>
            <w:u w:val="none"/>
          </w:rPr>
          <w:t xml:space="preserve">Tonkin-Hill G, Martincorena I, Amato R, </w:t>
        </w:r>
      </w:hyperlink>
      <w:hyperlink r:id="rId78">
        <w:r>
          <w:rPr>
            <w:rStyle w:val="ListLabel3"/>
            <w:rFonts w:eastAsia="Times New Roman" w:cs="Times New Roman" w:ascii="Times New Roman" w:hAnsi="Times New Roman"/>
            <w:b w:val="false"/>
            <w:i/>
            <w:color w:val="000000"/>
            <w:sz w:val="24"/>
            <w:szCs w:val="24"/>
            <w:u w:val="none"/>
          </w:rPr>
          <w:t>et al.</w:t>
        </w:r>
      </w:hyperlink>
      <w:hyperlink r:id="rId79">
        <w:r>
          <w:rPr>
            <w:rStyle w:val="ListLabel2"/>
            <w:rFonts w:eastAsia="Times New Roman" w:cs="Times New Roman" w:ascii="Times New Roman" w:hAnsi="Times New Roman"/>
            <w:b w:val="false"/>
            <w:i w:val="false"/>
            <w:color w:val="000000"/>
            <w:sz w:val="24"/>
            <w:szCs w:val="24"/>
            <w:u w:val="none"/>
          </w:rPr>
          <w:t xml:space="preserve"> Patterns of within-host genetic diversity in SARS-CoV-2. </w:t>
        </w:r>
      </w:hyperlink>
      <w:hyperlink r:id="rId80">
        <w:r>
          <w:rPr>
            <w:rStyle w:val="ListLabel3"/>
            <w:rFonts w:eastAsia="Times New Roman" w:cs="Times New Roman" w:ascii="Times New Roman" w:hAnsi="Times New Roman"/>
            <w:b w:val="false"/>
            <w:i/>
            <w:color w:val="000000"/>
            <w:sz w:val="24"/>
            <w:szCs w:val="24"/>
            <w:u w:val="none"/>
          </w:rPr>
          <w:t>Elife</w:t>
        </w:r>
      </w:hyperlink>
      <w:hyperlink r:id="rId81">
        <w:r>
          <w:rPr>
            <w:rStyle w:val="ListLabel2"/>
            <w:rFonts w:eastAsia="Times New Roman" w:cs="Times New Roman" w:ascii="Times New Roman" w:hAnsi="Times New Roman"/>
            <w:b w:val="false"/>
            <w:i w:val="false"/>
            <w:color w:val="000000"/>
            <w:sz w:val="24"/>
            <w:szCs w:val="24"/>
            <w:u w:val="none"/>
          </w:rPr>
          <w:t xml:space="preserve"> 2021; </w:t>
        </w:r>
      </w:hyperlink>
      <w:hyperlink r:id="rId82">
        <w:r>
          <w:rPr>
            <w:rStyle w:val="ListLabel4"/>
            <w:rFonts w:eastAsia="Times New Roman" w:cs="Times New Roman" w:ascii="Times New Roman" w:hAnsi="Times New Roman"/>
            <w:b/>
            <w:i w:val="false"/>
            <w:color w:val="000000"/>
            <w:sz w:val="24"/>
            <w:szCs w:val="24"/>
            <w:u w:val="none"/>
          </w:rPr>
          <w:t>10</w:t>
        </w:r>
      </w:hyperlink>
      <w:hyperlink r:id="rId83">
        <w:r>
          <w:rPr>
            <w:rStyle w:val="ListLabel2"/>
            <w:rFonts w:eastAsia="Times New Roman" w:cs="Times New Roman" w:ascii="Times New Roman" w:hAnsi="Times New Roman"/>
            <w:b w:val="false"/>
            <w:i w:val="false"/>
            <w:color w:val="000000"/>
            <w:sz w:val="24"/>
            <w:szCs w:val="24"/>
            <w:u w:val="none"/>
          </w:rPr>
          <w:t>. DOI:</w:t>
        </w:r>
      </w:hyperlink>
      <w:hyperlink r:id="rId84">
        <w:r>
          <w:rPr>
            <w:rStyle w:val="ListLabel2"/>
            <w:rFonts w:eastAsia="Times New Roman" w:cs="Times New Roman" w:ascii="Times New Roman" w:hAnsi="Times New Roman"/>
            <w:b w:val="false"/>
            <w:i w:val="false"/>
            <w:color w:val="000000"/>
            <w:sz w:val="24"/>
            <w:szCs w:val="24"/>
            <w:u w:val="none"/>
          </w:rPr>
          <w:t>10.7554/eLife.66857</w:t>
        </w:r>
      </w:hyperlink>
      <w:hyperlink r:id="rId85">
        <w:r>
          <w:rPr>
            <w:rStyle w:val="ListLabel2"/>
            <w:rFonts w:eastAsia="Times New Roman" w:cs="Times New Roman" w:ascii="Times New Roman" w:hAnsi="Times New Roman"/>
            <w:b w:val="false"/>
            <w:i w:val="false"/>
            <w:color w:val="000000"/>
            <w:sz w:val="24"/>
            <w:szCs w:val="24"/>
            <w:u w:val="none"/>
          </w:rPr>
          <w:t>.</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13</w:t>
        <w:tab/>
      </w:r>
      <w:hyperlink r:id="rId86">
        <w:r>
          <w:rPr>
            <w:rStyle w:val="ListLabel2"/>
            <w:rFonts w:eastAsia="Times New Roman" w:cs="Times New Roman" w:ascii="Times New Roman" w:hAnsi="Times New Roman"/>
            <w:b w:val="false"/>
            <w:i w:val="false"/>
            <w:color w:val="000000"/>
            <w:sz w:val="24"/>
            <w:szCs w:val="24"/>
            <w:u w:val="none"/>
          </w:rPr>
          <w:t xml:space="preserve">Lythgoe KA, Hall M, Ferretti L, </w:t>
        </w:r>
      </w:hyperlink>
      <w:hyperlink r:id="rId87">
        <w:r>
          <w:rPr>
            <w:rStyle w:val="ListLabel3"/>
            <w:rFonts w:eastAsia="Times New Roman" w:cs="Times New Roman" w:ascii="Times New Roman" w:hAnsi="Times New Roman"/>
            <w:b w:val="false"/>
            <w:i/>
            <w:color w:val="000000"/>
            <w:sz w:val="24"/>
            <w:szCs w:val="24"/>
            <w:u w:val="none"/>
          </w:rPr>
          <w:t>et al.</w:t>
        </w:r>
      </w:hyperlink>
      <w:hyperlink r:id="rId88">
        <w:r>
          <w:rPr>
            <w:rStyle w:val="ListLabel2"/>
            <w:rFonts w:eastAsia="Times New Roman" w:cs="Times New Roman" w:ascii="Times New Roman" w:hAnsi="Times New Roman"/>
            <w:b w:val="false"/>
            <w:i w:val="false"/>
            <w:color w:val="000000"/>
            <w:sz w:val="24"/>
            <w:szCs w:val="24"/>
            <w:u w:val="none"/>
          </w:rPr>
          <w:t xml:space="preserve"> SARS-CoV-2 within-host diversity and transmission. </w:t>
        </w:r>
      </w:hyperlink>
      <w:hyperlink r:id="rId89">
        <w:r>
          <w:rPr>
            <w:rStyle w:val="ListLabel3"/>
            <w:rFonts w:eastAsia="Times New Roman" w:cs="Times New Roman" w:ascii="Times New Roman" w:hAnsi="Times New Roman"/>
            <w:b w:val="false"/>
            <w:i/>
            <w:color w:val="000000"/>
            <w:sz w:val="24"/>
            <w:szCs w:val="24"/>
            <w:u w:val="none"/>
          </w:rPr>
          <w:t>Science</w:t>
        </w:r>
      </w:hyperlink>
      <w:hyperlink r:id="rId90">
        <w:r>
          <w:rPr>
            <w:rStyle w:val="ListLabel2"/>
            <w:rFonts w:eastAsia="Times New Roman" w:cs="Times New Roman" w:ascii="Times New Roman" w:hAnsi="Times New Roman"/>
            <w:b w:val="false"/>
            <w:i w:val="false"/>
            <w:color w:val="000000"/>
            <w:sz w:val="24"/>
            <w:szCs w:val="24"/>
            <w:u w:val="none"/>
          </w:rPr>
          <w:t xml:space="preserve"> 2021; </w:t>
        </w:r>
      </w:hyperlink>
      <w:hyperlink r:id="rId91">
        <w:r>
          <w:rPr>
            <w:rStyle w:val="ListLabel4"/>
            <w:rFonts w:eastAsia="Times New Roman" w:cs="Times New Roman" w:ascii="Times New Roman" w:hAnsi="Times New Roman"/>
            <w:b/>
            <w:i w:val="false"/>
            <w:color w:val="000000"/>
            <w:sz w:val="24"/>
            <w:szCs w:val="24"/>
            <w:u w:val="none"/>
          </w:rPr>
          <w:t>372</w:t>
        </w:r>
      </w:hyperlink>
      <w:hyperlink r:id="rId92">
        <w:r>
          <w:rPr>
            <w:rStyle w:val="ListLabel2"/>
            <w:rFonts w:eastAsia="Times New Roman" w:cs="Times New Roman" w:ascii="Times New Roman" w:hAnsi="Times New Roman"/>
            <w:b w:val="false"/>
            <w:i w:val="false"/>
            <w:color w:val="000000"/>
            <w:sz w:val="24"/>
            <w:szCs w:val="24"/>
            <w:u w:val="none"/>
          </w:rPr>
          <w:t>. DOI:</w:t>
        </w:r>
      </w:hyperlink>
      <w:hyperlink r:id="rId93">
        <w:r>
          <w:rPr>
            <w:rStyle w:val="ListLabel2"/>
            <w:rFonts w:eastAsia="Times New Roman" w:cs="Times New Roman" w:ascii="Times New Roman" w:hAnsi="Times New Roman"/>
            <w:b w:val="false"/>
            <w:i w:val="false"/>
            <w:color w:val="000000"/>
            <w:sz w:val="24"/>
            <w:szCs w:val="24"/>
            <w:u w:val="none"/>
          </w:rPr>
          <w:t>10.1126/science.abg0821</w:t>
        </w:r>
      </w:hyperlink>
      <w:hyperlink r:id="rId94">
        <w:r>
          <w:rPr>
            <w:rStyle w:val="ListLabel2"/>
            <w:rFonts w:eastAsia="Times New Roman" w:cs="Times New Roman" w:ascii="Times New Roman" w:hAnsi="Times New Roman"/>
            <w:b w:val="false"/>
            <w:i w:val="false"/>
            <w:color w:val="000000"/>
            <w:sz w:val="24"/>
            <w:szCs w:val="24"/>
            <w:u w:val="none"/>
          </w:rPr>
          <w:t>.</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14</w:t>
        <w:tab/>
      </w:r>
      <w:hyperlink r:id="rId95">
        <w:r>
          <w:rPr>
            <w:rStyle w:val="ListLabel2"/>
            <w:rFonts w:eastAsia="Times New Roman" w:cs="Times New Roman" w:ascii="Times New Roman" w:hAnsi="Times New Roman"/>
            <w:b w:val="false"/>
            <w:i w:val="false"/>
            <w:color w:val="000000"/>
            <w:sz w:val="24"/>
            <w:szCs w:val="24"/>
            <w:u w:val="none"/>
          </w:rPr>
          <w:t xml:space="preserve">Dezordi FZ, Resende PC, Naveca FG, </w:t>
        </w:r>
      </w:hyperlink>
      <w:hyperlink r:id="rId96">
        <w:r>
          <w:rPr>
            <w:rStyle w:val="ListLabel3"/>
            <w:rFonts w:eastAsia="Times New Roman" w:cs="Times New Roman" w:ascii="Times New Roman" w:hAnsi="Times New Roman"/>
            <w:b w:val="false"/>
            <w:i/>
            <w:color w:val="000000"/>
            <w:sz w:val="24"/>
            <w:szCs w:val="24"/>
            <w:u w:val="none"/>
          </w:rPr>
          <w:t>et al.</w:t>
        </w:r>
      </w:hyperlink>
      <w:hyperlink r:id="rId97">
        <w:r>
          <w:rPr>
            <w:rStyle w:val="ListLabel2"/>
            <w:rFonts w:eastAsia="Times New Roman" w:cs="Times New Roman" w:ascii="Times New Roman" w:hAnsi="Times New Roman"/>
            <w:b w:val="false"/>
            <w:i w:val="false"/>
            <w:color w:val="000000"/>
            <w:sz w:val="24"/>
            <w:szCs w:val="24"/>
            <w:u w:val="none"/>
          </w:rPr>
          <w:t xml:space="preserve"> Unusual SARS-CoV-2 intra-host diversity reveals lineages superinfection. </w:t>
        </w:r>
      </w:hyperlink>
      <w:hyperlink r:id="rId98">
        <w:r>
          <w:rPr>
            <w:rStyle w:val="ListLabel3"/>
            <w:rFonts w:eastAsia="Times New Roman" w:cs="Times New Roman" w:ascii="Times New Roman" w:hAnsi="Times New Roman"/>
            <w:b w:val="false"/>
            <w:i/>
            <w:color w:val="000000"/>
            <w:sz w:val="24"/>
            <w:szCs w:val="24"/>
            <w:u w:val="none"/>
          </w:rPr>
          <w:t>medRxiv</w:t>
        </w:r>
      </w:hyperlink>
      <w:hyperlink r:id="rId99">
        <w:r>
          <w:rPr>
            <w:rStyle w:val="ListLabel2"/>
            <w:rFonts w:eastAsia="Times New Roman" w:cs="Times New Roman" w:ascii="Times New Roman" w:hAnsi="Times New Roman"/>
            <w:b w:val="false"/>
            <w:i w:val="false"/>
            <w:color w:val="000000"/>
            <w:sz w:val="24"/>
            <w:szCs w:val="24"/>
            <w:u w:val="none"/>
          </w:rPr>
          <w:t xml:space="preserve"> 2021; : 2021.09.18.21263755.</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15</w:t>
        <w:tab/>
      </w:r>
      <w:hyperlink r:id="rId100">
        <w:r>
          <w:rPr>
            <w:rStyle w:val="ListLabel2"/>
            <w:rFonts w:eastAsia="Times New Roman" w:cs="Times New Roman" w:ascii="Times New Roman" w:hAnsi="Times New Roman"/>
            <w:b w:val="false"/>
            <w:i w:val="false"/>
            <w:color w:val="000000"/>
            <w:sz w:val="24"/>
            <w:szCs w:val="24"/>
            <w:u w:val="none"/>
          </w:rPr>
          <w:t xml:space="preserve">Zhou H-Y, Cheng Y-X, Xu L, </w:t>
        </w:r>
      </w:hyperlink>
      <w:hyperlink r:id="rId101">
        <w:r>
          <w:rPr>
            <w:rStyle w:val="ListLabel3"/>
            <w:rFonts w:eastAsia="Times New Roman" w:cs="Times New Roman" w:ascii="Times New Roman" w:hAnsi="Times New Roman"/>
            <w:b w:val="false"/>
            <w:i/>
            <w:color w:val="000000"/>
            <w:sz w:val="24"/>
            <w:szCs w:val="24"/>
            <w:u w:val="none"/>
          </w:rPr>
          <w:t>et al.</w:t>
        </w:r>
      </w:hyperlink>
      <w:hyperlink r:id="rId102">
        <w:r>
          <w:rPr>
            <w:rStyle w:val="ListLabel2"/>
            <w:rFonts w:eastAsia="Times New Roman" w:cs="Times New Roman" w:ascii="Times New Roman" w:hAnsi="Times New Roman"/>
            <w:b w:val="false"/>
            <w:i w:val="false"/>
            <w:color w:val="000000"/>
            <w:sz w:val="24"/>
            <w:szCs w:val="24"/>
            <w:u w:val="none"/>
          </w:rPr>
          <w:t xml:space="preserve"> Genomic evidence for divergent co-infections of SARS-CoV-2 lineages. bioRxiv. 2021; : 2021.09.03.458951.</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16</w:t>
        <w:tab/>
      </w:r>
      <w:hyperlink r:id="rId103">
        <w:r>
          <w:rPr>
            <w:rStyle w:val="ListLabel2"/>
            <w:rFonts w:eastAsia="Times New Roman" w:cs="Times New Roman" w:ascii="Times New Roman" w:hAnsi="Times New Roman"/>
            <w:b w:val="false"/>
            <w:i w:val="false"/>
            <w:color w:val="000000"/>
            <w:sz w:val="24"/>
            <w:szCs w:val="24"/>
            <w:u w:val="none"/>
          </w:rPr>
          <w:t xml:space="preserve">Francisco R da S Jr, Benites LF, Lamarca AP, </w:t>
        </w:r>
      </w:hyperlink>
      <w:hyperlink r:id="rId104">
        <w:r>
          <w:rPr>
            <w:rStyle w:val="ListLabel3"/>
            <w:rFonts w:eastAsia="Times New Roman" w:cs="Times New Roman" w:ascii="Times New Roman" w:hAnsi="Times New Roman"/>
            <w:b w:val="false"/>
            <w:i/>
            <w:color w:val="000000"/>
            <w:sz w:val="24"/>
            <w:szCs w:val="24"/>
            <w:u w:val="none"/>
          </w:rPr>
          <w:t>et al.</w:t>
        </w:r>
      </w:hyperlink>
      <w:hyperlink r:id="rId105">
        <w:r>
          <w:rPr>
            <w:rStyle w:val="ListLabel2"/>
            <w:rFonts w:eastAsia="Times New Roman" w:cs="Times New Roman" w:ascii="Times New Roman" w:hAnsi="Times New Roman"/>
            <w:b w:val="false"/>
            <w:i w:val="false"/>
            <w:color w:val="000000"/>
            <w:sz w:val="24"/>
            <w:szCs w:val="24"/>
            <w:u w:val="none"/>
          </w:rPr>
          <w:t xml:space="preserve"> Pervasive transmission of E484K and emergence of VUI-NP13L with evidence of SARS-CoV-2 co-infection events by two different lineages in Rio Grande do Sul, Brazil. </w:t>
        </w:r>
      </w:hyperlink>
      <w:hyperlink r:id="rId106">
        <w:r>
          <w:rPr>
            <w:rStyle w:val="ListLabel3"/>
            <w:rFonts w:eastAsia="Times New Roman" w:cs="Times New Roman" w:ascii="Times New Roman" w:hAnsi="Times New Roman"/>
            <w:b w:val="false"/>
            <w:i/>
            <w:color w:val="000000"/>
            <w:sz w:val="24"/>
            <w:szCs w:val="24"/>
            <w:u w:val="none"/>
          </w:rPr>
          <w:t>Virus Res</w:t>
        </w:r>
      </w:hyperlink>
      <w:hyperlink r:id="rId107">
        <w:r>
          <w:rPr>
            <w:rStyle w:val="ListLabel2"/>
            <w:rFonts w:eastAsia="Times New Roman" w:cs="Times New Roman" w:ascii="Times New Roman" w:hAnsi="Times New Roman"/>
            <w:b w:val="false"/>
            <w:i w:val="false"/>
            <w:color w:val="000000"/>
            <w:sz w:val="24"/>
            <w:szCs w:val="24"/>
            <w:u w:val="none"/>
          </w:rPr>
          <w:t xml:space="preserve"> 2021; </w:t>
        </w:r>
      </w:hyperlink>
      <w:hyperlink r:id="rId108">
        <w:r>
          <w:rPr>
            <w:rStyle w:val="ListLabel4"/>
            <w:rFonts w:eastAsia="Times New Roman" w:cs="Times New Roman" w:ascii="Times New Roman" w:hAnsi="Times New Roman"/>
            <w:b/>
            <w:i w:val="false"/>
            <w:color w:val="000000"/>
            <w:sz w:val="24"/>
            <w:szCs w:val="24"/>
            <w:u w:val="none"/>
          </w:rPr>
          <w:t>296</w:t>
        </w:r>
      </w:hyperlink>
      <w:hyperlink r:id="rId109">
        <w:r>
          <w:rPr>
            <w:rStyle w:val="ListLabel2"/>
            <w:rFonts w:eastAsia="Times New Roman" w:cs="Times New Roman" w:ascii="Times New Roman" w:hAnsi="Times New Roman"/>
            <w:b w:val="false"/>
            <w:i w:val="false"/>
            <w:color w:val="000000"/>
            <w:sz w:val="24"/>
            <w:szCs w:val="24"/>
            <w:u w:val="none"/>
          </w:rPr>
          <w:t>: 198345.</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17</w:t>
        <w:tab/>
      </w:r>
      <w:hyperlink r:id="rId110">
        <w:r>
          <w:rPr>
            <w:rStyle w:val="ListLabel2"/>
            <w:rFonts w:eastAsia="Times New Roman" w:cs="Times New Roman" w:ascii="Times New Roman" w:hAnsi="Times New Roman"/>
            <w:b w:val="false"/>
            <w:i w:val="false"/>
            <w:color w:val="000000"/>
            <w:sz w:val="24"/>
            <w:szCs w:val="24"/>
            <w:u w:val="none"/>
          </w:rPr>
          <w:t xml:space="preserve">Keck JG, Matsushima GK, Makino S, </w:t>
        </w:r>
      </w:hyperlink>
      <w:hyperlink r:id="rId111">
        <w:r>
          <w:rPr>
            <w:rStyle w:val="ListLabel3"/>
            <w:rFonts w:eastAsia="Times New Roman" w:cs="Times New Roman" w:ascii="Times New Roman" w:hAnsi="Times New Roman"/>
            <w:b w:val="false"/>
            <w:i/>
            <w:color w:val="000000"/>
            <w:sz w:val="24"/>
            <w:szCs w:val="24"/>
            <w:u w:val="none"/>
          </w:rPr>
          <w:t>et al.</w:t>
        </w:r>
      </w:hyperlink>
      <w:hyperlink r:id="rId112">
        <w:r>
          <w:rPr>
            <w:rStyle w:val="ListLabel2"/>
            <w:rFonts w:eastAsia="Times New Roman" w:cs="Times New Roman" w:ascii="Times New Roman" w:hAnsi="Times New Roman"/>
            <w:b w:val="false"/>
            <w:i w:val="false"/>
            <w:color w:val="000000"/>
            <w:sz w:val="24"/>
            <w:szCs w:val="24"/>
            <w:u w:val="none"/>
          </w:rPr>
          <w:t xml:space="preserve"> In vivo RNA-RNA recombination of coronavirus in mouse brain. Journal of Virology. 1988; </w:t>
        </w:r>
      </w:hyperlink>
      <w:hyperlink r:id="rId113">
        <w:r>
          <w:rPr>
            <w:rStyle w:val="ListLabel4"/>
            <w:rFonts w:eastAsia="Times New Roman" w:cs="Times New Roman" w:ascii="Times New Roman" w:hAnsi="Times New Roman"/>
            <w:b/>
            <w:i w:val="false"/>
            <w:color w:val="000000"/>
            <w:sz w:val="24"/>
            <w:szCs w:val="24"/>
            <w:u w:val="none"/>
          </w:rPr>
          <w:t>62</w:t>
        </w:r>
      </w:hyperlink>
      <w:hyperlink r:id="rId114">
        <w:r>
          <w:rPr>
            <w:rStyle w:val="ListLabel2"/>
            <w:rFonts w:eastAsia="Times New Roman" w:cs="Times New Roman" w:ascii="Times New Roman" w:hAnsi="Times New Roman"/>
            <w:b w:val="false"/>
            <w:i w:val="false"/>
            <w:color w:val="000000"/>
            <w:sz w:val="24"/>
            <w:szCs w:val="24"/>
            <w:u w:val="none"/>
          </w:rPr>
          <w:t>: 1810–3.</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18</w:t>
        <w:tab/>
      </w:r>
      <w:hyperlink r:id="rId115">
        <w:r>
          <w:rPr>
            <w:rStyle w:val="ListLabel2"/>
            <w:rFonts w:eastAsia="Times New Roman" w:cs="Times New Roman" w:ascii="Times New Roman" w:hAnsi="Times New Roman"/>
            <w:b w:val="false"/>
            <w:i w:val="false"/>
            <w:color w:val="000000"/>
            <w:sz w:val="24"/>
            <w:szCs w:val="24"/>
            <w:u w:val="none"/>
          </w:rPr>
          <w:t xml:space="preserve">Dudas G, Rambaut A. MERS-CoV recombination: implications about the reservoir and potential for adaptation. </w:t>
        </w:r>
      </w:hyperlink>
      <w:hyperlink r:id="rId116">
        <w:r>
          <w:rPr>
            <w:rStyle w:val="ListLabel3"/>
            <w:rFonts w:eastAsia="Times New Roman" w:cs="Times New Roman" w:ascii="Times New Roman" w:hAnsi="Times New Roman"/>
            <w:b w:val="false"/>
            <w:i/>
            <w:color w:val="000000"/>
            <w:sz w:val="24"/>
            <w:szCs w:val="24"/>
            <w:u w:val="none"/>
          </w:rPr>
          <w:t>Virus Evol</w:t>
        </w:r>
      </w:hyperlink>
      <w:hyperlink r:id="rId117">
        <w:r>
          <w:rPr>
            <w:rStyle w:val="ListLabel2"/>
            <w:rFonts w:eastAsia="Times New Roman" w:cs="Times New Roman" w:ascii="Times New Roman" w:hAnsi="Times New Roman"/>
            <w:b w:val="false"/>
            <w:i w:val="false"/>
            <w:color w:val="000000"/>
            <w:sz w:val="24"/>
            <w:szCs w:val="24"/>
            <w:u w:val="none"/>
          </w:rPr>
          <w:t xml:space="preserve"> 2016; </w:t>
        </w:r>
      </w:hyperlink>
      <w:hyperlink r:id="rId118">
        <w:r>
          <w:rPr>
            <w:rStyle w:val="ListLabel4"/>
            <w:rFonts w:eastAsia="Times New Roman" w:cs="Times New Roman" w:ascii="Times New Roman" w:hAnsi="Times New Roman"/>
            <w:b/>
            <w:i w:val="false"/>
            <w:color w:val="000000"/>
            <w:sz w:val="24"/>
            <w:szCs w:val="24"/>
            <w:u w:val="none"/>
          </w:rPr>
          <w:t>2</w:t>
        </w:r>
      </w:hyperlink>
      <w:hyperlink r:id="rId119">
        <w:r>
          <w:rPr>
            <w:rStyle w:val="ListLabel2"/>
            <w:rFonts w:eastAsia="Times New Roman" w:cs="Times New Roman" w:ascii="Times New Roman" w:hAnsi="Times New Roman"/>
            <w:b w:val="false"/>
            <w:i w:val="false"/>
            <w:color w:val="000000"/>
            <w:sz w:val="24"/>
            <w:szCs w:val="24"/>
            <w:u w:val="none"/>
          </w:rPr>
          <w:t>: vev023.</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19</w:t>
        <w:tab/>
      </w:r>
      <w:hyperlink r:id="rId120">
        <w:r>
          <w:rPr>
            <w:rStyle w:val="ListLabel2"/>
            <w:rFonts w:eastAsia="Times New Roman" w:cs="Times New Roman" w:ascii="Times New Roman" w:hAnsi="Times New Roman"/>
            <w:b w:val="false"/>
            <w:i w:val="false"/>
            <w:color w:val="000000"/>
            <w:sz w:val="24"/>
            <w:szCs w:val="24"/>
            <w:u w:val="none"/>
          </w:rPr>
          <w:t xml:space="preserve">Hon C-C, Lam T-Y, Shi Z-L, </w:t>
        </w:r>
      </w:hyperlink>
      <w:hyperlink r:id="rId121">
        <w:r>
          <w:rPr>
            <w:rStyle w:val="ListLabel3"/>
            <w:rFonts w:eastAsia="Times New Roman" w:cs="Times New Roman" w:ascii="Times New Roman" w:hAnsi="Times New Roman"/>
            <w:b w:val="false"/>
            <w:i/>
            <w:color w:val="000000"/>
            <w:sz w:val="24"/>
            <w:szCs w:val="24"/>
            <w:u w:val="none"/>
          </w:rPr>
          <w:t>et al.</w:t>
        </w:r>
      </w:hyperlink>
      <w:hyperlink r:id="rId122">
        <w:r>
          <w:rPr>
            <w:rStyle w:val="ListLabel2"/>
            <w:rFonts w:eastAsia="Times New Roman" w:cs="Times New Roman" w:ascii="Times New Roman" w:hAnsi="Times New Roman"/>
            <w:b w:val="false"/>
            <w:i w:val="false"/>
            <w:color w:val="000000"/>
            <w:sz w:val="24"/>
            <w:szCs w:val="24"/>
            <w:u w:val="none"/>
          </w:rPr>
          <w:t xml:space="preserve"> Evidence of the Recombinant Origin of a Bat Severe Acute Respiratory Syndrome (SARS)-Like Coronavirus and Its Implications on the Direct Ancestor of SARS Coronavirus. Journal of Virology. 2008; </w:t>
        </w:r>
      </w:hyperlink>
      <w:hyperlink r:id="rId123">
        <w:r>
          <w:rPr>
            <w:rStyle w:val="ListLabel4"/>
            <w:rFonts w:eastAsia="Times New Roman" w:cs="Times New Roman" w:ascii="Times New Roman" w:hAnsi="Times New Roman"/>
            <w:b/>
            <w:i w:val="false"/>
            <w:color w:val="000000"/>
            <w:sz w:val="24"/>
            <w:szCs w:val="24"/>
            <w:u w:val="none"/>
          </w:rPr>
          <w:t>82</w:t>
        </w:r>
      </w:hyperlink>
      <w:hyperlink r:id="rId124">
        <w:r>
          <w:rPr>
            <w:rStyle w:val="ListLabel2"/>
            <w:rFonts w:eastAsia="Times New Roman" w:cs="Times New Roman" w:ascii="Times New Roman" w:hAnsi="Times New Roman"/>
            <w:b w:val="false"/>
            <w:i w:val="false"/>
            <w:color w:val="000000"/>
            <w:sz w:val="24"/>
            <w:szCs w:val="24"/>
            <w:u w:val="none"/>
          </w:rPr>
          <w:t>: 1819–26.</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20</w:t>
        <w:tab/>
      </w:r>
      <w:hyperlink r:id="rId125">
        <w:r>
          <w:rPr>
            <w:rStyle w:val="ListLabel2"/>
            <w:rFonts w:eastAsia="Times New Roman" w:cs="Times New Roman" w:ascii="Times New Roman" w:hAnsi="Times New Roman"/>
            <w:b w:val="false"/>
            <w:i w:val="false"/>
            <w:color w:val="000000"/>
            <w:sz w:val="24"/>
            <w:szCs w:val="24"/>
            <w:u w:val="none"/>
          </w:rPr>
          <w:t xml:space="preserve">Francisco Junior R da S, Lamarca AP, de Almeida LGP, </w:t>
        </w:r>
      </w:hyperlink>
      <w:hyperlink r:id="rId126">
        <w:r>
          <w:rPr>
            <w:rStyle w:val="ListLabel3"/>
            <w:rFonts w:eastAsia="Times New Roman" w:cs="Times New Roman" w:ascii="Times New Roman" w:hAnsi="Times New Roman"/>
            <w:b w:val="false"/>
            <w:i/>
            <w:color w:val="000000"/>
            <w:sz w:val="24"/>
            <w:szCs w:val="24"/>
            <w:u w:val="none"/>
          </w:rPr>
          <w:t>et al.</w:t>
        </w:r>
      </w:hyperlink>
      <w:hyperlink r:id="rId127">
        <w:r>
          <w:rPr>
            <w:rStyle w:val="ListLabel2"/>
            <w:rFonts w:eastAsia="Times New Roman" w:cs="Times New Roman" w:ascii="Times New Roman" w:hAnsi="Times New Roman"/>
            <w:b w:val="false"/>
            <w:i w:val="false"/>
            <w:color w:val="000000"/>
            <w:sz w:val="24"/>
            <w:szCs w:val="24"/>
            <w:u w:val="none"/>
          </w:rPr>
          <w:t xml:space="preserve"> Turnover of SARS-CoV-2 Lineages Shaped the Pandemic and Enabled the Emergence of New Variants in the State of Rio de Janeiro, Brazil. </w:t>
        </w:r>
      </w:hyperlink>
      <w:hyperlink r:id="rId128">
        <w:r>
          <w:rPr>
            <w:rStyle w:val="ListLabel3"/>
            <w:rFonts w:eastAsia="Times New Roman" w:cs="Times New Roman" w:ascii="Times New Roman" w:hAnsi="Times New Roman"/>
            <w:b w:val="false"/>
            <w:i/>
            <w:color w:val="000000"/>
            <w:sz w:val="24"/>
            <w:szCs w:val="24"/>
            <w:u w:val="none"/>
          </w:rPr>
          <w:t>Viruses</w:t>
        </w:r>
      </w:hyperlink>
      <w:hyperlink r:id="rId129">
        <w:r>
          <w:rPr>
            <w:rStyle w:val="ListLabel2"/>
            <w:rFonts w:eastAsia="Times New Roman" w:cs="Times New Roman" w:ascii="Times New Roman" w:hAnsi="Times New Roman"/>
            <w:b w:val="false"/>
            <w:i w:val="false"/>
            <w:color w:val="000000"/>
            <w:sz w:val="24"/>
            <w:szCs w:val="24"/>
            <w:u w:val="none"/>
          </w:rPr>
          <w:t xml:space="preserve"> 2021; </w:t>
        </w:r>
      </w:hyperlink>
      <w:hyperlink r:id="rId130">
        <w:r>
          <w:rPr>
            <w:rStyle w:val="ListLabel4"/>
            <w:rFonts w:eastAsia="Times New Roman" w:cs="Times New Roman" w:ascii="Times New Roman" w:hAnsi="Times New Roman"/>
            <w:b/>
            <w:i w:val="false"/>
            <w:color w:val="000000"/>
            <w:sz w:val="24"/>
            <w:szCs w:val="24"/>
            <w:u w:val="none"/>
          </w:rPr>
          <w:t>13</w:t>
        </w:r>
      </w:hyperlink>
      <w:hyperlink r:id="rId131">
        <w:r>
          <w:rPr>
            <w:rStyle w:val="ListLabel2"/>
            <w:rFonts w:eastAsia="Times New Roman" w:cs="Times New Roman" w:ascii="Times New Roman" w:hAnsi="Times New Roman"/>
            <w:b w:val="false"/>
            <w:i w:val="false"/>
            <w:color w:val="000000"/>
            <w:sz w:val="24"/>
            <w:szCs w:val="24"/>
            <w:u w:val="none"/>
          </w:rPr>
          <w:t>: 2013.</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21</w:t>
        <w:tab/>
      </w:r>
      <w:hyperlink r:id="rId132">
        <w:r>
          <w:rPr>
            <w:rStyle w:val="ListLabel2"/>
            <w:rFonts w:eastAsia="Times New Roman" w:cs="Times New Roman" w:ascii="Times New Roman" w:hAnsi="Times New Roman"/>
            <w:b w:val="false"/>
            <w:i w:val="false"/>
            <w:color w:val="000000"/>
            <w:sz w:val="24"/>
            <w:szCs w:val="24"/>
            <w:u w:val="none"/>
          </w:rPr>
          <w:t xml:space="preserve">Cooper PD, Steiner-Pryor A, Scotti PD, Delong D. On the Nature of Poliovirus Genetic Recombinants. Journal of General Virology. 1974; </w:t>
        </w:r>
      </w:hyperlink>
      <w:hyperlink r:id="rId133">
        <w:r>
          <w:rPr>
            <w:rStyle w:val="ListLabel4"/>
            <w:rFonts w:eastAsia="Times New Roman" w:cs="Times New Roman" w:ascii="Times New Roman" w:hAnsi="Times New Roman"/>
            <w:b/>
            <w:i w:val="false"/>
            <w:color w:val="000000"/>
            <w:sz w:val="24"/>
            <w:szCs w:val="24"/>
            <w:u w:val="none"/>
          </w:rPr>
          <w:t>23</w:t>
        </w:r>
      </w:hyperlink>
      <w:hyperlink r:id="rId134">
        <w:r>
          <w:rPr>
            <w:rStyle w:val="ListLabel2"/>
            <w:rFonts w:eastAsia="Times New Roman" w:cs="Times New Roman" w:ascii="Times New Roman" w:hAnsi="Times New Roman"/>
            <w:b w:val="false"/>
            <w:i w:val="false"/>
            <w:color w:val="000000"/>
            <w:sz w:val="24"/>
            <w:szCs w:val="24"/>
            <w:u w:val="none"/>
          </w:rPr>
          <w:t>: 41–9.</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22</w:t>
        <w:tab/>
      </w:r>
      <w:hyperlink r:id="rId135">
        <w:r>
          <w:rPr>
            <w:rStyle w:val="ListLabel2"/>
            <w:rFonts w:eastAsia="Times New Roman" w:cs="Times New Roman" w:ascii="Times New Roman" w:hAnsi="Times New Roman"/>
            <w:b w:val="false"/>
            <w:i w:val="false"/>
            <w:color w:val="000000"/>
            <w:sz w:val="24"/>
            <w:szCs w:val="24"/>
            <w:u w:val="none"/>
          </w:rPr>
          <w:t xml:space="preserve">Worobey M, Holmes EC. Evolutionary aspects of recombination in RNA viruses. </w:t>
        </w:r>
      </w:hyperlink>
      <w:hyperlink r:id="rId136">
        <w:r>
          <w:rPr>
            <w:rStyle w:val="ListLabel3"/>
            <w:rFonts w:eastAsia="Times New Roman" w:cs="Times New Roman" w:ascii="Times New Roman" w:hAnsi="Times New Roman"/>
            <w:b w:val="false"/>
            <w:i/>
            <w:color w:val="000000"/>
            <w:sz w:val="24"/>
            <w:szCs w:val="24"/>
            <w:u w:val="none"/>
          </w:rPr>
          <w:t>J Gen Virol</w:t>
        </w:r>
      </w:hyperlink>
      <w:hyperlink r:id="rId137">
        <w:r>
          <w:rPr>
            <w:rStyle w:val="ListLabel2"/>
            <w:rFonts w:eastAsia="Times New Roman" w:cs="Times New Roman" w:ascii="Times New Roman" w:hAnsi="Times New Roman"/>
            <w:b w:val="false"/>
            <w:i w:val="false"/>
            <w:color w:val="000000"/>
            <w:sz w:val="24"/>
            <w:szCs w:val="24"/>
            <w:u w:val="none"/>
          </w:rPr>
          <w:t xml:space="preserve"> 1999; </w:t>
        </w:r>
      </w:hyperlink>
      <w:hyperlink r:id="rId138">
        <w:r>
          <w:rPr>
            <w:rStyle w:val="ListLabel4"/>
            <w:rFonts w:eastAsia="Times New Roman" w:cs="Times New Roman" w:ascii="Times New Roman" w:hAnsi="Times New Roman"/>
            <w:b/>
            <w:i w:val="false"/>
            <w:color w:val="000000"/>
            <w:sz w:val="24"/>
            <w:szCs w:val="24"/>
            <w:u w:val="none"/>
          </w:rPr>
          <w:t>80 ( Pt 10)</w:t>
        </w:r>
      </w:hyperlink>
      <w:hyperlink r:id="rId139">
        <w:r>
          <w:rPr>
            <w:rStyle w:val="ListLabel2"/>
            <w:rFonts w:eastAsia="Times New Roman" w:cs="Times New Roman" w:ascii="Times New Roman" w:hAnsi="Times New Roman"/>
            <w:b w:val="false"/>
            <w:i w:val="false"/>
            <w:color w:val="000000"/>
            <w:sz w:val="24"/>
            <w:szCs w:val="24"/>
            <w:u w:val="none"/>
          </w:rPr>
          <w:t>: 2535–43.</w:t>
        </w:r>
      </w:hyperlink>
    </w:p>
    <w:p>
      <w:pPr>
        <w:pStyle w:val="Normal"/>
        <w:keepNext w:val="false"/>
        <w:keepLines w:val="false"/>
        <w:pageBreakBefore w:val="false"/>
        <w:widowControl w:val="false"/>
        <w:shd w:val="clear" w:fill="auto"/>
        <w:spacing w:lineRule="auto" w:line="240" w:before="0" w:after="240"/>
        <w:ind w:left="480" w:right="0" w:hanging="480"/>
        <w:jc w:val="left"/>
        <w:rPr/>
      </w:pPr>
      <w:r>
        <w:rPr>
          <w:rFonts w:eastAsia="Times New Roman" w:cs="Times New Roman" w:ascii="Times New Roman" w:hAnsi="Times New Roman"/>
          <w:b w:val="false"/>
          <w:i w:val="false"/>
          <w:color w:val="000000"/>
          <w:sz w:val="24"/>
          <w:szCs w:val="24"/>
        </w:rPr>
        <w:t>23</w:t>
        <w:tab/>
      </w:r>
      <w:hyperlink r:id="rId140">
        <w:r>
          <w:rPr>
            <w:rStyle w:val="ListLabel2"/>
            <w:rFonts w:eastAsia="Times New Roman" w:cs="Times New Roman" w:ascii="Times New Roman" w:hAnsi="Times New Roman"/>
            <w:b w:val="false"/>
            <w:i w:val="false"/>
            <w:color w:val="000000"/>
            <w:sz w:val="24"/>
            <w:szCs w:val="24"/>
            <w:u w:val="none"/>
          </w:rPr>
          <w:t xml:space="preserve">Voloch CM, da Silva Francisco R Jr, de Almeida LGP, </w:t>
        </w:r>
      </w:hyperlink>
      <w:hyperlink r:id="rId141">
        <w:r>
          <w:rPr>
            <w:rStyle w:val="ListLabel3"/>
            <w:rFonts w:eastAsia="Times New Roman" w:cs="Times New Roman" w:ascii="Times New Roman" w:hAnsi="Times New Roman"/>
            <w:b w:val="false"/>
            <w:i/>
            <w:color w:val="000000"/>
            <w:sz w:val="24"/>
            <w:szCs w:val="24"/>
            <w:u w:val="none"/>
          </w:rPr>
          <w:t>et al.</w:t>
        </w:r>
      </w:hyperlink>
      <w:hyperlink r:id="rId142">
        <w:r>
          <w:rPr>
            <w:rStyle w:val="ListLabel2"/>
            <w:rFonts w:eastAsia="Times New Roman" w:cs="Times New Roman" w:ascii="Times New Roman" w:hAnsi="Times New Roman"/>
            <w:b w:val="false"/>
            <w:i w:val="false"/>
            <w:color w:val="000000"/>
            <w:sz w:val="24"/>
            <w:szCs w:val="24"/>
            <w:u w:val="none"/>
          </w:rPr>
          <w:t xml:space="preserve"> Intra-host evolution during SARS-CoV-2 prolonged infection. </w:t>
        </w:r>
      </w:hyperlink>
      <w:hyperlink r:id="rId143">
        <w:r>
          <w:rPr>
            <w:rStyle w:val="ListLabel3"/>
            <w:rFonts w:eastAsia="Times New Roman" w:cs="Times New Roman" w:ascii="Times New Roman" w:hAnsi="Times New Roman"/>
            <w:b w:val="false"/>
            <w:i/>
            <w:color w:val="000000"/>
            <w:sz w:val="24"/>
            <w:szCs w:val="24"/>
            <w:u w:val="none"/>
          </w:rPr>
          <w:t>Virus Evol</w:t>
        </w:r>
      </w:hyperlink>
      <w:hyperlink r:id="rId144">
        <w:r>
          <w:rPr>
            <w:rStyle w:val="ListLabel2"/>
            <w:rFonts w:eastAsia="Times New Roman" w:cs="Times New Roman" w:ascii="Times New Roman" w:hAnsi="Times New Roman"/>
            <w:b w:val="false"/>
            <w:i w:val="false"/>
            <w:color w:val="000000"/>
            <w:sz w:val="24"/>
            <w:szCs w:val="24"/>
            <w:u w:val="none"/>
          </w:rPr>
          <w:t xml:space="preserve"> 2021; </w:t>
        </w:r>
      </w:hyperlink>
      <w:hyperlink r:id="rId145">
        <w:r>
          <w:rPr>
            <w:rStyle w:val="ListLabel4"/>
            <w:rFonts w:eastAsia="Times New Roman" w:cs="Times New Roman" w:ascii="Times New Roman" w:hAnsi="Times New Roman"/>
            <w:b/>
            <w:i w:val="false"/>
            <w:color w:val="000000"/>
            <w:sz w:val="24"/>
            <w:szCs w:val="24"/>
            <w:u w:val="none"/>
          </w:rPr>
          <w:t>7</w:t>
        </w:r>
      </w:hyperlink>
      <w:hyperlink r:id="rId146">
        <w:r>
          <w:rPr>
            <w:rStyle w:val="ListLabel2"/>
            <w:rFonts w:eastAsia="Times New Roman" w:cs="Times New Roman" w:ascii="Times New Roman" w:hAnsi="Times New Roman"/>
            <w:b w:val="false"/>
            <w:i w:val="false"/>
            <w:color w:val="000000"/>
            <w:sz w:val="24"/>
            <w:szCs w:val="24"/>
            <w:u w:val="none"/>
          </w:rPr>
          <w:t>: veab078.</w:t>
        </w:r>
      </w:hyperlink>
    </w:p>
    <w:p>
      <w:pPr>
        <w:pStyle w:val="Normal"/>
        <w:keepNext w:val="false"/>
        <w:keepLines w:val="false"/>
        <w:pageBreakBefore w:val="false"/>
        <w:widowControl w:val="false"/>
        <w:shd w:val="clear" w:fill="auto"/>
        <w:spacing w:lineRule="auto" w:line="276" w:before="0" w:after="0"/>
        <w:ind w:left="0" w:right="0" w:hanging="0"/>
        <w:jc w:val="left"/>
        <w:rPr/>
      </w:pPr>
      <w:r>
        <w:rPr/>
      </w:r>
    </w:p>
    <w:sectPr>
      <w:headerReference w:type="default" r:id="rId147"/>
      <w:footerReference w:type="default" r:id="rId148"/>
      <w:type w:val="nextPage"/>
      <w:pgSz w:w="12240" w:h="15840"/>
      <w:pgMar w:left="1440" w:right="1440" w:header="720" w:top="1440" w:footer="1440" w:bottom="1976" w:gutter="0"/>
      <w:lnNumType w:countBy="1" w:restart="continuous" w:distance="283"/>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Times New Roman">
    <w:charset w:val="01"/>
    <w:family w:val="roman"/>
    <w:pitch w:val="variable"/>
  </w:font>
  <w:font w:name="Liberation Sans">
    <w:altName w:val="Arial"/>
    <w:charset w:val="01"/>
    <w:family w:val="roman"/>
    <w:pitch w:val="variable"/>
  </w:font>
  <w:font w:name="Gungsuh">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rPr/>
      <w:instrText> PAGE </w:instrText>
    </w:r>
    <w:r>
      <w:rPr/>
      <w:fldChar w:fldCharType="separate"/>
    </w:r>
    <w:r>
      <w:rPr/>
      <w:t>12</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settings.xml><?xml version="1.0" encoding="utf-8"?>
<w:settings xmlns:w="http://schemas.openxmlformats.org/wordprocessingml/2006/main">
  <w:zoom w:percent="11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val="false"/>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Normal"/>
    <w:qFormat/>
    <w:pPr>
      <w:keepNext w:val="true"/>
      <w:keepLines/>
      <w:pageBreakBefore w:val="false"/>
      <w:widowControl w:val="false"/>
      <w:spacing w:lineRule="auto" w:line="240" w:before="400" w:after="120"/>
    </w:pPr>
    <w:rPr>
      <w:rFonts w:ascii="Arial" w:hAnsi="Arial" w:eastAsia="Arial" w:cs="Arial"/>
      <w:color w:val="auto"/>
      <w:kern w:val="0"/>
      <w:sz w:val="40"/>
      <w:szCs w:val="40"/>
      <w:lang w:val="en" w:eastAsia="zh-CN" w:bidi="hi-IN"/>
    </w:rPr>
  </w:style>
  <w:style w:type="paragraph" w:styleId="Heading2">
    <w:name w:val="Heading 2"/>
    <w:next w:val="Normal"/>
    <w:qFormat/>
    <w:pPr>
      <w:keepNext w:val="true"/>
      <w:keepLines/>
      <w:pageBreakBefore w:val="false"/>
      <w:widowControl w:val="false"/>
      <w:spacing w:lineRule="auto" w:line="240" w:before="360" w:after="120"/>
    </w:pPr>
    <w:rPr>
      <w:rFonts w:ascii="Arial" w:hAnsi="Arial" w:eastAsia="Arial" w:cs="Arial"/>
      <w:b w:val="false"/>
      <w:color w:val="auto"/>
      <w:kern w:val="0"/>
      <w:sz w:val="32"/>
      <w:szCs w:val="32"/>
      <w:lang w:val="en" w:eastAsia="zh-CN" w:bidi="hi-IN"/>
    </w:rPr>
  </w:style>
  <w:style w:type="paragraph" w:styleId="Heading3">
    <w:name w:val="Heading 3"/>
    <w:next w:val="Normal"/>
    <w:qFormat/>
    <w:pPr>
      <w:keepNext w:val="true"/>
      <w:keepLines/>
      <w:pageBreakBefore w:val="false"/>
      <w:widowControl w:val="false"/>
      <w:spacing w:lineRule="auto" w:line="240" w:before="320" w:after="80"/>
    </w:pPr>
    <w:rPr>
      <w:rFonts w:ascii="Arial" w:hAnsi="Arial" w:eastAsia="Arial" w:cs="Arial"/>
      <w:b w:val="false"/>
      <w:color w:val="434343"/>
      <w:kern w:val="0"/>
      <w:sz w:val="28"/>
      <w:szCs w:val="28"/>
      <w:lang w:val="en" w:eastAsia="zh-CN" w:bidi="hi-IN"/>
    </w:rPr>
  </w:style>
  <w:style w:type="paragraph" w:styleId="Heading4">
    <w:name w:val="Heading 4"/>
    <w:next w:val="Normal"/>
    <w:qFormat/>
    <w:pPr>
      <w:keepNext w:val="true"/>
      <w:keepLines/>
      <w:pageBreakBefore w:val="false"/>
      <w:widowControl w:val="false"/>
      <w:spacing w:lineRule="auto" w:line="240" w:before="280" w:after="80"/>
    </w:pPr>
    <w:rPr>
      <w:rFonts w:ascii="Arial" w:hAnsi="Arial" w:eastAsia="Arial" w:cs="Arial"/>
      <w:color w:val="666666"/>
      <w:kern w:val="0"/>
      <w:sz w:val="24"/>
      <w:szCs w:val="24"/>
      <w:lang w:val="en" w:eastAsia="zh-CN" w:bidi="hi-IN"/>
    </w:rPr>
  </w:style>
  <w:style w:type="paragraph" w:styleId="Heading5">
    <w:name w:val="Heading 5"/>
    <w:next w:val="Normal"/>
    <w:qFormat/>
    <w:pPr>
      <w:keepNext w:val="true"/>
      <w:keepLines/>
      <w:pageBreakBefore w:val="false"/>
      <w:widowControl w:val="false"/>
      <w:spacing w:lineRule="auto" w:line="240" w:before="240" w:after="80"/>
    </w:pPr>
    <w:rPr>
      <w:rFonts w:ascii="Arial" w:hAnsi="Arial" w:eastAsia="Arial" w:cs="Arial"/>
      <w:color w:val="666666"/>
      <w:kern w:val="0"/>
      <w:sz w:val="22"/>
      <w:szCs w:val="22"/>
      <w:lang w:val="en" w:eastAsia="zh-CN" w:bidi="hi-IN"/>
    </w:rPr>
  </w:style>
  <w:style w:type="paragraph" w:styleId="Heading6">
    <w:name w:val="Heading 6"/>
    <w:next w:val="Normal"/>
    <w:qFormat/>
    <w:pPr>
      <w:keepNext w:val="true"/>
      <w:keepLines/>
      <w:pageBreakBefore w:val="false"/>
      <w:widowControl w:val="false"/>
      <w:spacing w:lineRule="auto" w:line="240" w:before="240" w:after="80"/>
    </w:pPr>
    <w:rPr>
      <w:rFonts w:ascii="Arial" w:hAnsi="Arial" w:eastAsia="Arial" w:cs="Arial"/>
      <w:i/>
      <w:color w:val="666666"/>
      <w:kern w:val="0"/>
      <w:sz w:val="22"/>
      <w:szCs w:val="22"/>
      <w:lang w:val="en" w:eastAsia="zh-CN" w:bidi="hi-IN"/>
    </w:rPr>
  </w:style>
  <w:style w:type="character" w:styleId="ListLabel1">
    <w:name w:val="ListLabel 1"/>
    <w:qFormat/>
    <w:rPr>
      <w:rFonts w:ascii="Times New Roman" w:hAnsi="Times New Roman" w:eastAsia="Times New Roman" w:cs="Times New Roman"/>
      <w:b w:val="false"/>
      <w:color w:val="000000"/>
      <w:sz w:val="24"/>
      <w:szCs w:val="24"/>
      <w:u w:val="none"/>
      <w:vertAlign w:val="superscript"/>
    </w:rPr>
  </w:style>
  <w:style w:type="character" w:styleId="InternetLink">
    <w:name w:val="Internet Link"/>
    <w:rPr>
      <w:color w:val="000080"/>
      <w:u w:val="single"/>
      <w:lang w:val="zxx" w:eastAsia="zxx" w:bidi="zxx"/>
    </w:rPr>
  </w:style>
  <w:style w:type="character" w:styleId="ListLabel2">
    <w:name w:val="ListLabel 2"/>
    <w:qFormat/>
    <w:rPr>
      <w:rFonts w:ascii="Times New Roman" w:hAnsi="Times New Roman" w:eastAsia="Times New Roman" w:cs="Times New Roman"/>
      <w:b w:val="false"/>
      <w:i w:val="false"/>
      <w:color w:val="000000"/>
      <w:sz w:val="24"/>
      <w:szCs w:val="24"/>
      <w:u w:val="none"/>
    </w:rPr>
  </w:style>
  <w:style w:type="character" w:styleId="ListLabel3">
    <w:name w:val="ListLabel 3"/>
    <w:qFormat/>
    <w:rPr>
      <w:rFonts w:ascii="Times New Roman" w:hAnsi="Times New Roman" w:eastAsia="Times New Roman" w:cs="Times New Roman"/>
      <w:b w:val="false"/>
      <w:i/>
      <w:color w:val="000000"/>
      <w:sz w:val="24"/>
      <w:szCs w:val="24"/>
      <w:u w:val="none"/>
    </w:rPr>
  </w:style>
  <w:style w:type="character" w:styleId="ListLabel4">
    <w:name w:val="ListLabel 4"/>
    <w:qFormat/>
    <w:rPr>
      <w:rFonts w:ascii="Times New Roman" w:hAnsi="Times New Roman" w:eastAsia="Times New Roman" w:cs="Times New Roman"/>
      <w:b/>
      <w:i w:val="false"/>
      <w:color w:val="000000"/>
      <w:sz w:val="24"/>
      <w:szCs w:val="24"/>
      <w:u w:val="none"/>
    </w:rPr>
  </w:style>
  <w:style w:type="character" w:styleId="LineNumbering">
    <w:name w:val="Line Numbering"/>
    <w:rPr/>
  </w:style>
  <w:style w:type="character" w:styleId="ListLabel5">
    <w:name w:val="ListLabel 5"/>
    <w:qFormat/>
    <w:rPr>
      <w:rFonts w:ascii="Times New Roman" w:hAnsi="Times New Roman" w:eastAsia="Times New Roman" w:cs="Times New Roman"/>
      <w:b w:val="false"/>
      <w:color w:val="000000"/>
      <w:sz w:val="24"/>
      <w:szCs w:val="24"/>
      <w:u w:val="none"/>
      <w:vertAlign w:val="superscript"/>
    </w:rPr>
  </w:style>
  <w:style w:type="character" w:styleId="ListLabel6">
    <w:name w:val="ListLabel 6"/>
    <w:qFormat/>
    <w:rPr>
      <w:rFonts w:ascii="Times New Roman" w:hAnsi="Times New Roman" w:eastAsia="Times New Roman" w:cs="Times New Roman"/>
      <w:b w:val="false"/>
      <w:i w:val="false"/>
      <w:color w:val="000000"/>
      <w:sz w:val="24"/>
      <w:szCs w:val="24"/>
      <w:u w:val="none"/>
    </w:rPr>
  </w:style>
  <w:style w:type="character" w:styleId="ListLabel7">
    <w:name w:val="ListLabel 7"/>
    <w:qFormat/>
    <w:rPr>
      <w:rFonts w:ascii="Times New Roman" w:hAnsi="Times New Roman" w:eastAsia="Times New Roman" w:cs="Times New Roman"/>
      <w:b w:val="false"/>
      <w:i/>
      <w:color w:val="000000"/>
      <w:sz w:val="24"/>
      <w:szCs w:val="24"/>
      <w:u w:val="none"/>
    </w:rPr>
  </w:style>
  <w:style w:type="character" w:styleId="ListLabel8">
    <w:name w:val="ListLabel 8"/>
    <w:qFormat/>
    <w:rPr>
      <w:rFonts w:ascii="Times New Roman" w:hAnsi="Times New Roman" w:eastAsia="Times New Roman" w:cs="Times New Roman"/>
      <w:b/>
      <w:i w:val="false"/>
      <w:color w:val="000000"/>
      <w:sz w:val="24"/>
      <w:szCs w:val="24"/>
      <w:u w:val="non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Arial" w:hAnsi="Arial" w:eastAsia="Arial" w:cs="Arial"/>
      <w:color w:val="auto"/>
      <w:kern w:val="0"/>
      <w:sz w:val="22"/>
      <w:szCs w:val="22"/>
      <w:lang w:val="en" w:eastAsia="zh-CN" w:bidi="hi-IN"/>
    </w:rPr>
  </w:style>
  <w:style w:type="paragraph" w:styleId="Title">
    <w:name w:val="Title"/>
    <w:basedOn w:val="LOnormal"/>
    <w:next w:val="Normal"/>
    <w:qFormat/>
    <w:pPr>
      <w:keepNext w:val="true"/>
      <w:keepLines/>
      <w:pageBreakBefore w:val="false"/>
      <w:spacing w:lineRule="auto" w:line="240" w:before="0" w:after="60"/>
    </w:pPr>
    <w:rPr>
      <w:sz w:val="52"/>
      <w:szCs w:val="52"/>
    </w:rPr>
  </w:style>
  <w:style w:type="paragraph" w:styleId="Subtitle">
    <w:name w:val="Subtitle"/>
    <w:basedOn w:val="LOnormal"/>
    <w:next w:val="Normal"/>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Header">
    <w:name w:val="Header"/>
    <w:basedOn w:val="Normal"/>
    <w:pPr>
      <w:suppressLineNumbers/>
    </w:pPr>
    <w:rPr/>
  </w:style>
  <w:style w:type="paragraph" w:styleId="Footer">
    <w:name w:val="Footer"/>
    <w:basedOn w:val="Normal"/>
    <w:pPr>
      <w:suppressLineNumbers/>
      <w:tabs>
        <w:tab w:val="center" w:pos="4680" w:leader="none"/>
        <w:tab w:val="right" w:pos="9360" w:leader="none"/>
      </w:tabs>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paperpile.com/c/gxhmXH/PERB" TargetMode="External"/><Relationship Id="rId3" Type="http://schemas.openxmlformats.org/officeDocument/2006/relationships/hyperlink" Target="https://paperpile.com/c/gxhmXH/SITA" TargetMode="External"/><Relationship Id="rId4" Type="http://schemas.openxmlformats.org/officeDocument/2006/relationships/hyperlink" Target="https://paperpile.com/c/gxhmXH/pkkR" TargetMode="External"/><Relationship Id="rId5" Type="http://schemas.openxmlformats.org/officeDocument/2006/relationships/hyperlink" Target="https://paperpile.com/c/gxhmXH/Bfg9" TargetMode="External"/><Relationship Id="rId6" Type="http://schemas.openxmlformats.org/officeDocument/2006/relationships/hyperlink" Target="https://paperpile.com/c/gxhmXH/aAip" TargetMode="External"/><Relationship Id="rId7" Type="http://schemas.openxmlformats.org/officeDocument/2006/relationships/hyperlink" Target="https://paperpile.com/c/gxhmXH/VTDK" TargetMode="External"/><Relationship Id="rId8" Type="http://schemas.openxmlformats.org/officeDocument/2006/relationships/hyperlink" Target="https://paperpile.com/c/gxhmXH/fODw" TargetMode="External"/><Relationship Id="rId9" Type="http://schemas.openxmlformats.org/officeDocument/2006/relationships/hyperlink" Target="https://paperpile.com/c/gxhmXH/VEMY" TargetMode="External"/><Relationship Id="rId10" Type="http://schemas.openxmlformats.org/officeDocument/2006/relationships/hyperlink" Target="https://paperpile.com/c/gxhmXH/Q3ld" TargetMode="External"/><Relationship Id="rId11" Type="http://schemas.openxmlformats.org/officeDocument/2006/relationships/hyperlink" Target="https://paperpile.com/c/gxhmXH/EELu+LUtC+qXsq+ALAO+exIp+th93+xjxe" TargetMode="External"/><Relationship Id="rId12" Type="http://schemas.openxmlformats.org/officeDocument/2006/relationships/hyperlink" Target="https://paperpile.com/c/gxhmXH/fV9Sg+bbxvg+u3rxE" TargetMode="External"/><Relationship Id="rId13" Type="http://schemas.openxmlformats.org/officeDocument/2006/relationships/hyperlink" Target="https://paperpile.com/c/gxhmXH/n2Yc0" TargetMode="External"/><Relationship Id="rId14" Type="http://schemas.openxmlformats.org/officeDocument/2006/relationships/hyperlink" Target="https://paperpile.com/c/gxhmXH/xJFJZ+go4QW" TargetMode="External"/><Relationship Id="rId15" Type="http://schemas.openxmlformats.org/officeDocument/2006/relationships/hyperlink" Target="https://paperpile.com/c/gxhmXH/bErft+ALAO" TargetMode="External"/><Relationship Id="rId16" Type="http://schemas.openxmlformats.org/officeDocument/2006/relationships/image" Target="media/image1.png"/><Relationship Id="rId17" Type="http://schemas.openxmlformats.org/officeDocument/2006/relationships/image" Target="media/image2.png"/><Relationship Id="rId18" Type="http://schemas.openxmlformats.org/officeDocument/2006/relationships/image" Target="media/image3.png"/><Relationship Id="rId19" Type="http://schemas.openxmlformats.org/officeDocument/2006/relationships/image" Target="media/image4.png"/><Relationship Id="rId20" Type="http://schemas.openxmlformats.org/officeDocument/2006/relationships/image" Target="media/image5.png"/><Relationship Id="rId21" Type="http://schemas.openxmlformats.org/officeDocument/2006/relationships/image" Target="media/image6.png"/><Relationship Id="rId22" Type="http://schemas.openxmlformats.org/officeDocument/2006/relationships/hyperlink" Target="http://paperpile.com/b/gxhmXH/PERB" TargetMode="External"/><Relationship Id="rId23" Type="http://schemas.openxmlformats.org/officeDocument/2006/relationships/hyperlink" Target="http://paperpile.com/b/gxhmXH/PERB" TargetMode="External"/><Relationship Id="rId24" Type="http://schemas.openxmlformats.org/officeDocument/2006/relationships/hyperlink" Target="http://paperpile.com/b/gxhmXH/PERB" TargetMode="External"/><Relationship Id="rId25" Type="http://schemas.openxmlformats.org/officeDocument/2006/relationships/hyperlink" Target="http://paperpile.com/b/gxhmXH/PERB" TargetMode="External"/><Relationship Id="rId26" Type="http://schemas.openxmlformats.org/officeDocument/2006/relationships/hyperlink" Target="http://paperpile.com/b/gxhmXH/PERB" TargetMode="External"/><Relationship Id="rId27" Type="http://schemas.openxmlformats.org/officeDocument/2006/relationships/hyperlink" Target="http://paperpile.com/b/gxhmXH/SITA" TargetMode="External"/><Relationship Id="rId28" Type="http://schemas.openxmlformats.org/officeDocument/2006/relationships/hyperlink" Target="http://paperpile.com/b/gxhmXH/SITA" TargetMode="External"/><Relationship Id="rId29" Type="http://schemas.openxmlformats.org/officeDocument/2006/relationships/hyperlink" Target="http://paperpile.com/b/gxhmXH/SITA" TargetMode="External"/><Relationship Id="rId30" Type="http://schemas.openxmlformats.org/officeDocument/2006/relationships/hyperlink" Target="http://paperpile.com/b/gxhmXH/SITA" TargetMode="External"/><Relationship Id="rId31" Type="http://schemas.openxmlformats.org/officeDocument/2006/relationships/hyperlink" Target="http://paperpile.com/b/gxhmXH/SITA" TargetMode="External"/><Relationship Id="rId32" Type="http://schemas.openxmlformats.org/officeDocument/2006/relationships/hyperlink" Target="http://paperpile.com/b/gxhmXH/pkkR" TargetMode="External"/><Relationship Id="rId33" Type="http://schemas.openxmlformats.org/officeDocument/2006/relationships/hyperlink" Target="http://paperpile.com/b/gxhmXH/pkkR" TargetMode="External"/><Relationship Id="rId34" Type="http://schemas.openxmlformats.org/officeDocument/2006/relationships/hyperlink" Target="http://paperpile.com/b/gxhmXH/pkkR" TargetMode="External"/><Relationship Id="rId35" Type="http://schemas.openxmlformats.org/officeDocument/2006/relationships/hyperlink" Target="http://paperpile.com/b/gxhmXH/pkkR" TargetMode="External"/><Relationship Id="rId36" Type="http://schemas.openxmlformats.org/officeDocument/2006/relationships/hyperlink" Target="http://paperpile.com/b/gxhmXH/pkkR" TargetMode="External"/><Relationship Id="rId37" Type="http://schemas.openxmlformats.org/officeDocument/2006/relationships/hyperlink" Target="http://paperpile.com/b/gxhmXH/Bfg9" TargetMode="External"/><Relationship Id="rId38" Type="http://schemas.openxmlformats.org/officeDocument/2006/relationships/hyperlink" Target="http://paperpile.com/b/gxhmXH/Bfg9" TargetMode="External"/><Relationship Id="rId39" Type="http://schemas.openxmlformats.org/officeDocument/2006/relationships/hyperlink" Target="http://paperpile.com/b/gxhmXH/Bfg9" TargetMode="External"/><Relationship Id="rId40" Type="http://schemas.openxmlformats.org/officeDocument/2006/relationships/hyperlink" Target="http://paperpile.com/b/gxhmXH/Bfg9" TargetMode="External"/><Relationship Id="rId41" Type="http://schemas.openxmlformats.org/officeDocument/2006/relationships/hyperlink" Target="http://paperpile.com/b/gxhmXH/Bfg9" TargetMode="External"/><Relationship Id="rId42" Type="http://schemas.openxmlformats.org/officeDocument/2006/relationships/hyperlink" Target="http://paperpile.com/b/gxhmXH/aAip" TargetMode="External"/><Relationship Id="rId43" Type="http://schemas.openxmlformats.org/officeDocument/2006/relationships/hyperlink" Target="http://paperpile.com/b/gxhmXH/aAip" TargetMode="External"/><Relationship Id="rId44" Type="http://schemas.openxmlformats.org/officeDocument/2006/relationships/hyperlink" Target="http://paperpile.com/b/gxhmXH/aAip" TargetMode="External"/><Relationship Id="rId45" Type="http://schemas.openxmlformats.org/officeDocument/2006/relationships/hyperlink" Target="http://paperpile.com/b/gxhmXH/aAip" TargetMode="External"/><Relationship Id="rId46" Type="http://schemas.openxmlformats.org/officeDocument/2006/relationships/hyperlink" Target="http://paperpile.com/b/gxhmXH/aAip" TargetMode="External"/><Relationship Id="rId47" Type="http://schemas.openxmlformats.org/officeDocument/2006/relationships/hyperlink" Target="http://paperpile.com/b/gxhmXH/VTDK" TargetMode="External"/><Relationship Id="rId48" Type="http://schemas.openxmlformats.org/officeDocument/2006/relationships/hyperlink" Target="http://paperpile.com/b/gxhmXH/VTDK" TargetMode="External"/><Relationship Id="rId49" Type="http://schemas.openxmlformats.org/officeDocument/2006/relationships/hyperlink" Target="http://paperpile.com/b/gxhmXH/VTDK" TargetMode="External"/><Relationship Id="rId50" Type="http://schemas.openxmlformats.org/officeDocument/2006/relationships/hyperlink" Target="http://paperpile.com/b/gxhmXH/VTDK" TargetMode="External"/><Relationship Id="rId51" Type="http://schemas.openxmlformats.org/officeDocument/2006/relationships/hyperlink" Target="http://paperpile.com/b/gxhmXH/VTDK" TargetMode="External"/><Relationship Id="rId52" Type="http://schemas.openxmlformats.org/officeDocument/2006/relationships/hyperlink" Target="http://paperpile.com/b/gxhmXH/fODw" TargetMode="External"/><Relationship Id="rId53" Type="http://schemas.openxmlformats.org/officeDocument/2006/relationships/hyperlink" Target="http://paperpile.com/b/gxhmXH/fODw" TargetMode="External"/><Relationship Id="rId54" Type="http://schemas.openxmlformats.org/officeDocument/2006/relationships/hyperlink" Target="http://paperpile.com/b/gxhmXH/fODw" TargetMode="External"/><Relationship Id="rId55" Type="http://schemas.openxmlformats.org/officeDocument/2006/relationships/hyperlink" Target="http://paperpile.com/b/gxhmXH/fODw" TargetMode="External"/><Relationship Id="rId56" Type="http://schemas.openxmlformats.org/officeDocument/2006/relationships/hyperlink" Target="http://paperpile.com/b/gxhmXH/fODw" TargetMode="External"/><Relationship Id="rId57" Type="http://schemas.openxmlformats.org/officeDocument/2006/relationships/hyperlink" Target="http://paperpile.com/b/gxhmXH/VEMY" TargetMode="External"/><Relationship Id="rId58" Type="http://schemas.openxmlformats.org/officeDocument/2006/relationships/hyperlink" Target="http://paperpile.com/b/gxhmXH/VEMY" TargetMode="External"/><Relationship Id="rId59" Type="http://schemas.openxmlformats.org/officeDocument/2006/relationships/hyperlink" Target="http://paperpile.com/b/gxhmXH/VEMY" TargetMode="External"/><Relationship Id="rId60" Type="http://schemas.openxmlformats.org/officeDocument/2006/relationships/hyperlink" Target="http://paperpile.com/b/gxhmXH/VEMY" TargetMode="External"/><Relationship Id="rId61" Type="http://schemas.openxmlformats.org/officeDocument/2006/relationships/hyperlink" Target="http://paperpile.com/b/gxhmXH/VEMY" TargetMode="External"/><Relationship Id="rId62" Type="http://schemas.openxmlformats.org/officeDocument/2006/relationships/hyperlink" Target="http://paperpile.com/b/gxhmXH/Q3ld" TargetMode="External"/><Relationship Id="rId63" Type="http://schemas.openxmlformats.org/officeDocument/2006/relationships/hyperlink" Target="http://dx.doi.org/10.6084/m9.figshare.1425030.v1" TargetMode="External"/><Relationship Id="rId64" Type="http://schemas.openxmlformats.org/officeDocument/2006/relationships/hyperlink" Target="http://paperpile.com/b/gxhmXH/Q3ld" TargetMode="External"/><Relationship Id="rId65" Type="http://schemas.openxmlformats.org/officeDocument/2006/relationships/hyperlink" Target="http://paperpile.com/b/gxhmXH/EELu" TargetMode="External"/><Relationship Id="rId66" Type="http://schemas.openxmlformats.org/officeDocument/2006/relationships/hyperlink" Target="http://paperpile.com/b/gxhmXH/EELu" TargetMode="External"/><Relationship Id="rId67" Type="http://schemas.openxmlformats.org/officeDocument/2006/relationships/hyperlink" Target="http://paperpile.com/b/gxhmXH/EELu" TargetMode="External"/><Relationship Id="rId68" Type="http://schemas.openxmlformats.org/officeDocument/2006/relationships/hyperlink" Target="http://paperpile.com/b/gxhmXH/EELu" TargetMode="External"/><Relationship Id="rId69" Type="http://schemas.openxmlformats.org/officeDocument/2006/relationships/hyperlink" Target="http://paperpile.com/b/gxhmXH/EELu" TargetMode="External"/><Relationship Id="rId70" Type="http://schemas.openxmlformats.org/officeDocument/2006/relationships/hyperlink" Target="http://paperpile.com/b/gxhmXH/EELu" TargetMode="External"/><Relationship Id="rId71" Type="http://schemas.openxmlformats.org/officeDocument/2006/relationships/hyperlink" Target="http://paperpile.com/b/gxhmXH/EELu" TargetMode="External"/><Relationship Id="rId72" Type="http://schemas.openxmlformats.org/officeDocument/2006/relationships/hyperlink" Target="http://paperpile.com/b/gxhmXH/LUtC" TargetMode="External"/><Relationship Id="rId73" Type="http://schemas.openxmlformats.org/officeDocument/2006/relationships/hyperlink" Target="http://paperpile.com/b/gxhmXH/LUtC" TargetMode="External"/><Relationship Id="rId74" Type="http://schemas.openxmlformats.org/officeDocument/2006/relationships/hyperlink" Target="http://paperpile.com/b/gxhmXH/LUtC" TargetMode="External"/><Relationship Id="rId75" Type="http://schemas.openxmlformats.org/officeDocument/2006/relationships/hyperlink" Target="http://dx.doi.org/10.20944/preprints202009.0375.v1" TargetMode="External"/><Relationship Id="rId76" Type="http://schemas.openxmlformats.org/officeDocument/2006/relationships/hyperlink" Target="http://paperpile.com/b/gxhmXH/LUtC" TargetMode="External"/><Relationship Id="rId77" Type="http://schemas.openxmlformats.org/officeDocument/2006/relationships/hyperlink" Target="http://paperpile.com/b/gxhmXH/qXsq" TargetMode="External"/><Relationship Id="rId78" Type="http://schemas.openxmlformats.org/officeDocument/2006/relationships/hyperlink" Target="http://paperpile.com/b/gxhmXH/qXsq" TargetMode="External"/><Relationship Id="rId79" Type="http://schemas.openxmlformats.org/officeDocument/2006/relationships/hyperlink" Target="http://paperpile.com/b/gxhmXH/qXsq" TargetMode="External"/><Relationship Id="rId80" Type="http://schemas.openxmlformats.org/officeDocument/2006/relationships/hyperlink" Target="http://paperpile.com/b/gxhmXH/qXsq" TargetMode="External"/><Relationship Id="rId81" Type="http://schemas.openxmlformats.org/officeDocument/2006/relationships/hyperlink" Target="http://paperpile.com/b/gxhmXH/qXsq" TargetMode="External"/><Relationship Id="rId82" Type="http://schemas.openxmlformats.org/officeDocument/2006/relationships/hyperlink" Target="http://paperpile.com/b/gxhmXH/qXsq" TargetMode="External"/><Relationship Id="rId83" Type="http://schemas.openxmlformats.org/officeDocument/2006/relationships/hyperlink" Target="http://paperpile.com/b/gxhmXH/qXsq" TargetMode="External"/><Relationship Id="rId84" Type="http://schemas.openxmlformats.org/officeDocument/2006/relationships/hyperlink" Target="http://dx.doi.org/10.7554/eLife.66857" TargetMode="External"/><Relationship Id="rId85" Type="http://schemas.openxmlformats.org/officeDocument/2006/relationships/hyperlink" Target="http://paperpile.com/b/gxhmXH/qXsq" TargetMode="External"/><Relationship Id="rId86" Type="http://schemas.openxmlformats.org/officeDocument/2006/relationships/hyperlink" Target="http://paperpile.com/b/gxhmXH/ALAO" TargetMode="External"/><Relationship Id="rId87" Type="http://schemas.openxmlformats.org/officeDocument/2006/relationships/hyperlink" Target="http://paperpile.com/b/gxhmXH/ALAO" TargetMode="External"/><Relationship Id="rId88" Type="http://schemas.openxmlformats.org/officeDocument/2006/relationships/hyperlink" Target="http://paperpile.com/b/gxhmXH/ALAO" TargetMode="External"/><Relationship Id="rId89" Type="http://schemas.openxmlformats.org/officeDocument/2006/relationships/hyperlink" Target="http://paperpile.com/b/gxhmXH/ALAO" TargetMode="External"/><Relationship Id="rId90" Type="http://schemas.openxmlformats.org/officeDocument/2006/relationships/hyperlink" Target="http://paperpile.com/b/gxhmXH/ALAO" TargetMode="External"/><Relationship Id="rId91" Type="http://schemas.openxmlformats.org/officeDocument/2006/relationships/hyperlink" Target="http://paperpile.com/b/gxhmXH/ALAO" TargetMode="External"/><Relationship Id="rId92" Type="http://schemas.openxmlformats.org/officeDocument/2006/relationships/hyperlink" Target="http://paperpile.com/b/gxhmXH/ALAO" TargetMode="External"/><Relationship Id="rId93" Type="http://schemas.openxmlformats.org/officeDocument/2006/relationships/hyperlink" Target="http://dx.doi.org/10.1126/science.abg0821" TargetMode="External"/><Relationship Id="rId94" Type="http://schemas.openxmlformats.org/officeDocument/2006/relationships/hyperlink" Target="http://paperpile.com/b/gxhmXH/ALAO" TargetMode="External"/><Relationship Id="rId95" Type="http://schemas.openxmlformats.org/officeDocument/2006/relationships/hyperlink" Target="http://paperpile.com/b/gxhmXH/exIp" TargetMode="External"/><Relationship Id="rId96" Type="http://schemas.openxmlformats.org/officeDocument/2006/relationships/hyperlink" Target="http://paperpile.com/b/gxhmXH/exIp" TargetMode="External"/><Relationship Id="rId97" Type="http://schemas.openxmlformats.org/officeDocument/2006/relationships/hyperlink" Target="http://paperpile.com/b/gxhmXH/exIp" TargetMode="External"/><Relationship Id="rId98" Type="http://schemas.openxmlformats.org/officeDocument/2006/relationships/hyperlink" Target="http://paperpile.com/b/gxhmXH/exIp" TargetMode="External"/><Relationship Id="rId99" Type="http://schemas.openxmlformats.org/officeDocument/2006/relationships/hyperlink" Target="http://paperpile.com/b/gxhmXH/exIp" TargetMode="External"/><Relationship Id="rId100" Type="http://schemas.openxmlformats.org/officeDocument/2006/relationships/hyperlink" Target="http://paperpile.com/b/gxhmXH/th93" TargetMode="External"/><Relationship Id="rId101" Type="http://schemas.openxmlformats.org/officeDocument/2006/relationships/hyperlink" Target="http://paperpile.com/b/gxhmXH/th93" TargetMode="External"/><Relationship Id="rId102" Type="http://schemas.openxmlformats.org/officeDocument/2006/relationships/hyperlink" Target="http://paperpile.com/b/gxhmXH/th93" TargetMode="External"/><Relationship Id="rId103" Type="http://schemas.openxmlformats.org/officeDocument/2006/relationships/hyperlink" Target="http://paperpile.com/b/gxhmXH/xjxe" TargetMode="External"/><Relationship Id="rId104" Type="http://schemas.openxmlformats.org/officeDocument/2006/relationships/hyperlink" Target="http://paperpile.com/b/gxhmXH/xjxe" TargetMode="External"/><Relationship Id="rId105" Type="http://schemas.openxmlformats.org/officeDocument/2006/relationships/hyperlink" Target="http://paperpile.com/b/gxhmXH/xjxe" TargetMode="External"/><Relationship Id="rId106" Type="http://schemas.openxmlformats.org/officeDocument/2006/relationships/hyperlink" Target="http://paperpile.com/b/gxhmXH/xjxe" TargetMode="External"/><Relationship Id="rId107" Type="http://schemas.openxmlformats.org/officeDocument/2006/relationships/hyperlink" Target="http://paperpile.com/b/gxhmXH/xjxe" TargetMode="External"/><Relationship Id="rId108" Type="http://schemas.openxmlformats.org/officeDocument/2006/relationships/hyperlink" Target="http://paperpile.com/b/gxhmXH/xjxe" TargetMode="External"/><Relationship Id="rId109" Type="http://schemas.openxmlformats.org/officeDocument/2006/relationships/hyperlink" Target="http://paperpile.com/b/gxhmXH/xjxe" TargetMode="External"/><Relationship Id="rId110" Type="http://schemas.openxmlformats.org/officeDocument/2006/relationships/hyperlink" Target="http://paperpile.com/b/gxhmXH/fV9Sg" TargetMode="External"/><Relationship Id="rId111" Type="http://schemas.openxmlformats.org/officeDocument/2006/relationships/hyperlink" Target="http://paperpile.com/b/gxhmXH/fV9Sg" TargetMode="External"/><Relationship Id="rId112" Type="http://schemas.openxmlformats.org/officeDocument/2006/relationships/hyperlink" Target="http://paperpile.com/b/gxhmXH/fV9Sg" TargetMode="External"/><Relationship Id="rId113" Type="http://schemas.openxmlformats.org/officeDocument/2006/relationships/hyperlink" Target="http://paperpile.com/b/gxhmXH/fV9Sg" TargetMode="External"/><Relationship Id="rId114" Type="http://schemas.openxmlformats.org/officeDocument/2006/relationships/hyperlink" Target="http://paperpile.com/b/gxhmXH/fV9Sg" TargetMode="External"/><Relationship Id="rId115" Type="http://schemas.openxmlformats.org/officeDocument/2006/relationships/hyperlink" Target="http://paperpile.com/b/gxhmXH/bbxvg" TargetMode="External"/><Relationship Id="rId116" Type="http://schemas.openxmlformats.org/officeDocument/2006/relationships/hyperlink" Target="http://paperpile.com/b/gxhmXH/bbxvg" TargetMode="External"/><Relationship Id="rId117" Type="http://schemas.openxmlformats.org/officeDocument/2006/relationships/hyperlink" Target="http://paperpile.com/b/gxhmXH/bbxvg" TargetMode="External"/><Relationship Id="rId118" Type="http://schemas.openxmlformats.org/officeDocument/2006/relationships/hyperlink" Target="http://paperpile.com/b/gxhmXH/bbxvg" TargetMode="External"/><Relationship Id="rId119" Type="http://schemas.openxmlformats.org/officeDocument/2006/relationships/hyperlink" Target="http://paperpile.com/b/gxhmXH/bbxvg" TargetMode="External"/><Relationship Id="rId120" Type="http://schemas.openxmlformats.org/officeDocument/2006/relationships/hyperlink" Target="http://paperpile.com/b/gxhmXH/u3rxE" TargetMode="External"/><Relationship Id="rId121" Type="http://schemas.openxmlformats.org/officeDocument/2006/relationships/hyperlink" Target="http://paperpile.com/b/gxhmXH/u3rxE" TargetMode="External"/><Relationship Id="rId122" Type="http://schemas.openxmlformats.org/officeDocument/2006/relationships/hyperlink" Target="http://paperpile.com/b/gxhmXH/u3rxE" TargetMode="External"/><Relationship Id="rId123" Type="http://schemas.openxmlformats.org/officeDocument/2006/relationships/hyperlink" Target="http://paperpile.com/b/gxhmXH/u3rxE" TargetMode="External"/><Relationship Id="rId124" Type="http://schemas.openxmlformats.org/officeDocument/2006/relationships/hyperlink" Target="http://paperpile.com/b/gxhmXH/u3rxE" TargetMode="External"/><Relationship Id="rId125" Type="http://schemas.openxmlformats.org/officeDocument/2006/relationships/hyperlink" Target="http://paperpile.com/b/gxhmXH/n2Yc0" TargetMode="External"/><Relationship Id="rId126" Type="http://schemas.openxmlformats.org/officeDocument/2006/relationships/hyperlink" Target="http://paperpile.com/b/gxhmXH/n2Yc0" TargetMode="External"/><Relationship Id="rId127" Type="http://schemas.openxmlformats.org/officeDocument/2006/relationships/hyperlink" Target="http://paperpile.com/b/gxhmXH/n2Yc0" TargetMode="External"/><Relationship Id="rId128" Type="http://schemas.openxmlformats.org/officeDocument/2006/relationships/hyperlink" Target="http://paperpile.com/b/gxhmXH/n2Yc0" TargetMode="External"/><Relationship Id="rId129" Type="http://schemas.openxmlformats.org/officeDocument/2006/relationships/hyperlink" Target="http://paperpile.com/b/gxhmXH/n2Yc0" TargetMode="External"/><Relationship Id="rId130" Type="http://schemas.openxmlformats.org/officeDocument/2006/relationships/hyperlink" Target="http://paperpile.com/b/gxhmXH/n2Yc0" TargetMode="External"/><Relationship Id="rId131" Type="http://schemas.openxmlformats.org/officeDocument/2006/relationships/hyperlink" Target="http://paperpile.com/b/gxhmXH/n2Yc0" TargetMode="External"/><Relationship Id="rId132" Type="http://schemas.openxmlformats.org/officeDocument/2006/relationships/hyperlink" Target="http://paperpile.com/b/gxhmXH/xJFJZ" TargetMode="External"/><Relationship Id="rId133" Type="http://schemas.openxmlformats.org/officeDocument/2006/relationships/hyperlink" Target="http://paperpile.com/b/gxhmXH/xJFJZ" TargetMode="External"/><Relationship Id="rId134" Type="http://schemas.openxmlformats.org/officeDocument/2006/relationships/hyperlink" Target="http://paperpile.com/b/gxhmXH/xJFJZ" TargetMode="External"/><Relationship Id="rId135" Type="http://schemas.openxmlformats.org/officeDocument/2006/relationships/hyperlink" Target="http://paperpile.com/b/gxhmXH/go4QW" TargetMode="External"/><Relationship Id="rId136" Type="http://schemas.openxmlformats.org/officeDocument/2006/relationships/hyperlink" Target="http://paperpile.com/b/gxhmXH/go4QW" TargetMode="External"/><Relationship Id="rId137" Type="http://schemas.openxmlformats.org/officeDocument/2006/relationships/hyperlink" Target="http://paperpile.com/b/gxhmXH/go4QW" TargetMode="External"/><Relationship Id="rId138" Type="http://schemas.openxmlformats.org/officeDocument/2006/relationships/hyperlink" Target="http://paperpile.com/b/gxhmXH/go4QW" TargetMode="External"/><Relationship Id="rId139" Type="http://schemas.openxmlformats.org/officeDocument/2006/relationships/hyperlink" Target="http://paperpile.com/b/gxhmXH/go4QW" TargetMode="External"/><Relationship Id="rId140" Type="http://schemas.openxmlformats.org/officeDocument/2006/relationships/hyperlink" Target="http://paperpile.com/b/gxhmXH/bErft" TargetMode="External"/><Relationship Id="rId141" Type="http://schemas.openxmlformats.org/officeDocument/2006/relationships/hyperlink" Target="http://paperpile.com/b/gxhmXH/bErft" TargetMode="External"/><Relationship Id="rId142" Type="http://schemas.openxmlformats.org/officeDocument/2006/relationships/hyperlink" Target="http://paperpile.com/b/gxhmXH/bErft" TargetMode="External"/><Relationship Id="rId143" Type="http://schemas.openxmlformats.org/officeDocument/2006/relationships/hyperlink" Target="http://paperpile.com/b/gxhmXH/bErft" TargetMode="External"/><Relationship Id="rId144" Type="http://schemas.openxmlformats.org/officeDocument/2006/relationships/hyperlink" Target="http://paperpile.com/b/gxhmXH/bErft" TargetMode="External"/><Relationship Id="rId145" Type="http://schemas.openxmlformats.org/officeDocument/2006/relationships/hyperlink" Target="http://paperpile.com/b/gxhmXH/bErft" TargetMode="External"/><Relationship Id="rId146" Type="http://schemas.openxmlformats.org/officeDocument/2006/relationships/hyperlink" Target="http://paperpile.com/b/gxhmXH/bErft" TargetMode="External"/><Relationship Id="rId147" Type="http://schemas.openxmlformats.org/officeDocument/2006/relationships/header" Target="header1.xml"/><Relationship Id="rId148" Type="http://schemas.openxmlformats.org/officeDocument/2006/relationships/footer" Target="footer1.xml"/><Relationship Id="rId149" Type="http://schemas.openxmlformats.org/officeDocument/2006/relationships/fontTable" Target="fontTable.xml"/><Relationship Id="rId150" Type="http://schemas.openxmlformats.org/officeDocument/2006/relationships/settings" Target="settings.xml"/><Relationship Id="rId15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LibreOffice/6.0.7.3$Linux_X86_64 LibreOffice_project/00m0$Build-3</Application>
  <Pages>12</Pages>
  <Words>1939</Words>
  <Characters>11086</Characters>
  <CharactersWithSpaces>12948</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2021-11-30T18:09:00Z</dcterms:modified>
  <cp:revision>2</cp:revision>
  <dc:subject/>
  <dc:title/>
</cp:coreProperties>
</file>