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C12" w:rsidRPr="00581447" w:rsidRDefault="00F0275A" w:rsidP="00F0275A">
      <w:pPr>
        <w:jc w:val="center"/>
        <w:rPr>
          <w:rFonts w:ascii="Times New Roman" w:hAnsi="Times New Roman" w:cs="Times New Roman"/>
          <w:sz w:val="44"/>
          <w:szCs w:val="44"/>
        </w:rPr>
      </w:pPr>
      <w:r w:rsidRPr="00581447">
        <w:rPr>
          <w:rFonts w:ascii="Times New Roman" w:hAnsi="Times New Roman" w:cs="Times New Roman"/>
          <w:sz w:val="44"/>
          <w:szCs w:val="44"/>
        </w:rPr>
        <w:t>Supplementary Materials</w:t>
      </w:r>
    </w:p>
    <w:p w:rsidR="00F0275A" w:rsidRPr="00581447" w:rsidRDefault="00F0275A">
      <w:pPr>
        <w:rPr>
          <w:rFonts w:ascii="Times New Roman" w:hAnsi="Times New Roman" w:cs="Times New Roman"/>
        </w:rPr>
      </w:pPr>
    </w:p>
    <w:p w:rsidR="00F0275A" w:rsidRPr="00581447" w:rsidRDefault="00F0275A">
      <w:pPr>
        <w:rPr>
          <w:rFonts w:ascii="Times New Roman" w:hAnsi="Times New Roman" w:cs="Times New Roman"/>
        </w:rPr>
      </w:pPr>
    </w:p>
    <w:p w:rsidR="00F0275A" w:rsidRPr="00581447" w:rsidRDefault="00F0275A">
      <w:pPr>
        <w:rPr>
          <w:rFonts w:ascii="Times New Roman" w:hAnsi="Times New Roman" w:cs="Times New Roman"/>
        </w:rPr>
      </w:pPr>
      <w:r w:rsidRPr="00581447">
        <w:rPr>
          <w:rFonts w:ascii="Times New Roman" w:hAnsi="Times New Roman" w:cs="Times New Roman"/>
          <w:noProof/>
        </w:rPr>
        <w:drawing>
          <wp:inline distT="0" distB="0" distL="0" distR="0">
            <wp:extent cx="5274310" cy="3526743"/>
            <wp:effectExtent l="0" t="0" r="2540" b="0"/>
            <wp:docPr id="1" name="图片 1" descr="D:\网络下载文件等\FigureS2_Schoenfeld_residuals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网络下载文件等\FigureS2_Schoenfeld_residuals_600dpi.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526743"/>
                    </a:xfrm>
                    <a:prstGeom prst="rect">
                      <a:avLst/>
                    </a:prstGeom>
                    <a:noFill/>
                    <a:ln>
                      <a:noFill/>
                    </a:ln>
                  </pic:spPr>
                </pic:pic>
              </a:graphicData>
            </a:graphic>
          </wp:inline>
        </w:drawing>
      </w:r>
    </w:p>
    <w:p w:rsidR="00F0275A" w:rsidRPr="00581447" w:rsidRDefault="00F0275A" w:rsidP="00F0275A">
      <w:pPr>
        <w:rPr>
          <w:rFonts w:ascii="Times New Roman" w:hAnsi="Times New Roman" w:cs="Times New Roman"/>
          <w:b/>
          <w:sz w:val="13"/>
          <w:szCs w:val="13"/>
        </w:rPr>
      </w:pPr>
      <w:r w:rsidRPr="00581447">
        <w:rPr>
          <w:rFonts w:ascii="Times New Roman" w:hAnsi="Times New Roman" w:cs="Times New Roman"/>
          <w:b/>
        </w:rPr>
        <w:t xml:space="preserve">Supplementary Figure 1. Schoenfeld residuals. </w:t>
      </w:r>
      <w:r w:rsidR="00382F1D" w:rsidRPr="00581447">
        <w:rPr>
          <w:rFonts w:ascii="Times New Roman" w:hAnsi="Times New Roman" w:cs="Times New Roman"/>
          <w:sz w:val="13"/>
          <w:szCs w:val="13"/>
        </w:rPr>
        <w:t>Scaled Schoenfeld residuals. Residuals from the stratified model without time-varying terms for the 365-day outcome. Panels: (A) log2(EASIX), (B) SOFA-4, (C) age, sex and stroke combined, and (D) peripheral artery disease. Grey dots, individual residuals; coloured lines, locally weighted scatterplot smoothing; dashed horizontal line, zero. The P value in each panel is from the proportional hazards test for that covariate or set of covariates. EASIX, Endothelial Activation and Stress Index; SOFA, Sequential Organ Failure Assessment.</w:t>
      </w:r>
    </w:p>
    <w:p w:rsidR="00F0275A" w:rsidRPr="00581447" w:rsidRDefault="00F0275A">
      <w:pPr>
        <w:rPr>
          <w:rFonts w:ascii="Times New Roman" w:hAnsi="Times New Roman" w:cs="Times New Roman"/>
        </w:rPr>
      </w:pPr>
    </w:p>
    <w:p w:rsidR="00F0275A" w:rsidRPr="00581447" w:rsidRDefault="00F0275A">
      <w:pPr>
        <w:rPr>
          <w:rFonts w:ascii="Times New Roman" w:hAnsi="Times New Roman" w:cs="Times New Roman"/>
        </w:rPr>
      </w:pPr>
    </w:p>
    <w:p w:rsidR="00F0275A" w:rsidRPr="00581447" w:rsidRDefault="00F0275A">
      <w:pPr>
        <w:rPr>
          <w:rFonts w:ascii="Times New Roman" w:hAnsi="Times New Roman" w:cs="Times New Roman"/>
        </w:rPr>
      </w:pPr>
      <w:r w:rsidRPr="00581447">
        <w:rPr>
          <w:rFonts w:ascii="Times New Roman" w:hAnsi="Times New Roman" w:cs="Times New Roman"/>
          <w:noProof/>
        </w:rPr>
        <w:drawing>
          <wp:inline distT="0" distB="0" distL="0" distR="0">
            <wp:extent cx="5274310" cy="1832753"/>
            <wp:effectExtent l="0" t="0" r="2540" b="0"/>
            <wp:docPr id="2" name="图片 2" descr="D:\网络下载文件等\FigureS1_EASIX_distribution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网络下载文件等\FigureS1_EASIX_distribution_600dpi.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832753"/>
                    </a:xfrm>
                    <a:prstGeom prst="rect">
                      <a:avLst/>
                    </a:prstGeom>
                    <a:noFill/>
                    <a:ln>
                      <a:noFill/>
                    </a:ln>
                  </pic:spPr>
                </pic:pic>
              </a:graphicData>
            </a:graphic>
          </wp:inline>
        </w:drawing>
      </w:r>
    </w:p>
    <w:p w:rsidR="00382F1D" w:rsidRPr="00581447" w:rsidRDefault="00F0275A" w:rsidP="00382F1D">
      <w:pPr>
        <w:rPr>
          <w:rFonts w:ascii="Times New Roman" w:hAnsi="Times New Roman" w:cs="Times New Roman"/>
          <w:sz w:val="13"/>
          <w:szCs w:val="13"/>
        </w:rPr>
      </w:pPr>
      <w:r w:rsidRPr="00581447">
        <w:rPr>
          <w:rFonts w:ascii="Times New Roman" w:hAnsi="Times New Roman" w:cs="Times New Roman"/>
          <w:b/>
        </w:rPr>
        <w:t>Supplementary Figure 2. Distribution of EASIX.</w:t>
      </w:r>
      <w:r w:rsidRPr="00581447">
        <w:rPr>
          <w:rFonts w:ascii="Times New Roman" w:hAnsi="Times New Roman" w:cs="Times New Roman"/>
        </w:rPr>
        <w:t xml:space="preserve"> </w:t>
      </w:r>
      <w:r w:rsidR="00382F1D" w:rsidRPr="00581447">
        <w:rPr>
          <w:rFonts w:ascii="Times New Roman" w:hAnsi="Times New Roman" w:cs="Times New Roman"/>
          <w:sz w:val="13"/>
          <w:szCs w:val="13"/>
        </w:rPr>
        <w:t>Distribution of EASIX in the study population (n = 9,766). (A) Original scale; the horizontal axis is truncated at 25 and the number of patients above this value is given in the panel. (B) log2 scale; the dashed lines mark the quartile cut-points that define Q1–Q4, and the red lower axis gives the corresponding EASIX values (1.02, 2.06 and 4.98, i.e. log2 = 0.03, 1.04 and 2.32). Median, interquartile range and the number of values above log2 = 8.5 that are not displayed are given in the panel. EASIX, Endothelial Activation and Stress Index; IQR, interquartile range.</w:t>
      </w:r>
    </w:p>
    <w:p w:rsidR="00F0275A" w:rsidRPr="00581447" w:rsidRDefault="00F0275A" w:rsidP="00F0275A">
      <w:pPr>
        <w:rPr>
          <w:rFonts w:ascii="Times New Roman" w:hAnsi="Times New Roman" w:cs="Times New Roman"/>
          <w:sz w:val="13"/>
          <w:szCs w:val="13"/>
        </w:rPr>
      </w:pPr>
    </w:p>
    <w:p w:rsidR="00250A80" w:rsidRPr="00581447" w:rsidRDefault="00250A80">
      <w:pPr>
        <w:rPr>
          <w:rFonts w:ascii="Times New Roman" w:hAnsi="Times New Roman" w:cs="Times New Roman"/>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1185"/>
        <w:gridCol w:w="1185"/>
        <w:gridCol w:w="1185"/>
        <w:gridCol w:w="1185"/>
        <w:gridCol w:w="1185"/>
        <w:gridCol w:w="1186"/>
      </w:tblGrid>
      <w:tr w:rsidR="00F0275A" w:rsidRPr="00581447" w:rsidTr="00F0275A">
        <w:tc>
          <w:tcPr>
            <w:tcW w:w="8296" w:type="dxa"/>
            <w:gridSpan w:val="7"/>
          </w:tcPr>
          <w:p w:rsidR="00F0275A" w:rsidRPr="00581447" w:rsidRDefault="00F0275A">
            <w:pPr>
              <w:rPr>
                <w:rFonts w:ascii="Times New Roman" w:hAnsi="Times New Roman" w:cs="Times New Roman"/>
                <w:b/>
              </w:rPr>
            </w:pPr>
            <w:r w:rsidRPr="00581447">
              <w:rPr>
                <w:rFonts w:ascii="Times New Roman" w:hAnsi="Times New Roman" w:cs="Times New Roman"/>
                <w:b/>
              </w:rPr>
              <w:t>Supplementary Table 1. Unadjusted Kaplan–Meier estimates and log-rank tests</w:t>
            </w:r>
          </w:p>
        </w:tc>
      </w:tr>
      <w:tr w:rsidR="00F0275A" w:rsidRPr="00581447" w:rsidTr="00F0275A">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Quartile</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n</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EASIX range</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Median EASIX</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30-day survival</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90-day survival</w:t>
            </w:r>
          </w:p>
        </w:tc>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365-day survival</w:t>
            </w:r>
          </w:p>
        </w:tc>
      </w:tr>
      <w:tr w:rsidR="00F0275A" w:rsidRPr="00581447" w:rsidTr="00F0275A">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Q1</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2,442</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0.05–1.02</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0.67</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86.1%</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80.8%</w:t>
            </w:r>
          </w:p>
        </w:tc>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72.4%</w:t>
            </w:r>
          </w:p>
        </w:tc>
      </w:tr>
      <w:tr w:rsidR="00F0275A" w:rsidRPr="00581447" w:rsidTr="00F0275A">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1.02–2.05</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82.8%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76.6%</w:t>
            </w:r>
          </w:p>
        </w:tc>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68.7%</w:t>
            </w:r>
          </w:p>
        </w:tc>
      </w:tr>
      <w:tr w:rsidR="00F0275A" w:rsidRPr="00581447" w:rsidTr="00F0275A">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2.06–4.98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76.1%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68.8%</w:t>
            </w:r>
          </w:p>
        </w:tc>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58.8%</w:t>
            </w:r>
          </w:p>
        </w:tc>
      </w:tr>
      <w:tr w:rsidR="00F0275A" w:rsidRPr="00581447" w:rsidTr="00F0275A">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Q4</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2,442</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4.98–5,324.60</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10.64</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61.7%</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53.5%</w:t>
            </w:r>
          </w:p>
        </w:tc>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44.3%</w:t>
            </w:r>
          </w:p>
        </w:tc>
      </w:tr>
      <w:tr w:rsidR="00F0275A" w:rsidRPr="00581447" w:rsidTr="00F0275A">
        <w:tc>
          <w:tcPr>
            <w:tcW w:w="1185" w:type="dxa"/>
            <w:tcBorders>
              <w:top w:val="single" w:sz="12" w:space="0" w:color="auto"/>
              <w:bottom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bottom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bottom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6" w:type="dxa"/>
            <w:tcBorders>
              <w:top w:val="single" w:sz="12" w:space="0" w:color="auto"/>
              <w:bottom w:val="single" w:sz="12" w:space="0" w:color="auto"/>
            </w:tcBorders>
          </w:tcPr>
          <w:p w:rsidR="00F0275A" w:rsidRPr="00581447" w:rsidRDefault="00F0275A" w:rsidP="00F0275A">
            <w:pPr>
              <w:rPr>
                <w:rFonts w:ascii="Times New Roman" w:hAnsi="Times New Roman" w:cs="Times New Roman"/>
              </w:rPr>
            </w:pPr>
          </w:p>
        </w:tc>
      </w:tr>
      <w:tr w:rsidR="00F0275A" w:rsidRPr="00581447" w:rsidTr="00F0275A">
        <w:tc>
          <w:tcPr>
            <w:tcW w:w="3555" w:type="dxa"/>
            <w:gridSpan w:val="3"/>
            <w:tcBorders>
              <w:bottom w:val="single" w:sz="12" w:space="0" w:color="auto"/>
            </w:tcBorders>
            <w:vAlign w:val="center"/>
          </w:tcPr>
          <w:p w:rsidR="00F0275A" w:rsidRPr="00581447" w:rsidRDefault="00F0275A" w:rsidP="00F0275A">
            <w:pPr>
              <w:jc w:val="left"/>
              <w:rPr>
                <w:rFonts w:ascii="Times New Roman" w:hAnsi="Times New Roman" w:cs="Times New Roman"/>
                <w:b/>
              </w:rPr>
            </w:pPr>
            <w:r w:rsidRPr="00581447">
              <w:rPr>
                <w:rFonts w:ascii="Times New Roman" w:hAnsi="Times New Roman" w:cs="Times New Roman"/>
                <w:b/>
              </w:rPr>
              <w:t>Time point</w:t>
            </w:r>
          </w:p>
        </w:tc>
        <w:tc>
          <w:tcPr>
            <w:tcW w:w="3555" w:type="dxa"/>
            <w:gridSpan w:val="3"/>
            <w:tcBorders>
              <w:top w:val="single" w:sz="12" w:space="0" w:color="auto"/>
              <w:bottom w:val="single" w:sz="12" w:space="0" w:color="auto"/>
            </w:tcBorders>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b/>
              </w:rPr>
              <w:t>log-rank χ²</w:t>
            </w:r>
          </w:p>
        </w:tc>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p>
        </w:tc>
      </w:tr>
      <w:tr w:rsidR="00F0275A" w:rsidRPr="00581447" w:rsidTr="00F0275A">
        <w:tc>
          <w:tcPr>
            <w:tcW w:w="3555" w:type="dxa"/>
            <w:gridSpan w:val="3"/>
            <w:tcBorders>
              <w:top w:val="single" w:sz="12" w:space="0" w:color="auto"/>
            </w:tcBorders>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30 days</w:t>
            </w:r>
          </w:p>
        </w:tc>
        <w:tc>
          <w:tcPr>
            <w:tcW w:w="3555" w:type="dxa"/>
            <w:gridSpan w:val="3"/>
            <w:tcBorders>
              <w:top w:val="single" w:sz="12" w:space="0" w:color="auto"/>
            </w:tcBorders>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524.78</w:t>
            </w:r>
          </w:p>
        </w:tc>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3555" w:type="dxa"/>
            <w:gridSpan w:val="3"/>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90 days</w:t>
            </w:r>
          </w:p>
        </w:tc>
        <w:tc>
          <w:tcPr>
            <w:tcW w:w="3555" w:type="dxa"/>
            <w:gridSpan w:val="3"/>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573.18</w:t>
            </w:r>
          </w:p>
        </w:tc>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3555" w:type="dxa"/>
            <w:gridSpan w:val="3"/>
            <w:tcBorders>
              <w:bottom w:val="single" w:sz="12" w:space="0" w:color="auto"/>
            </w:tcBorders>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365 days</w:t>
            </w:r>
          </w:p>
        </w:tc>
        <w:tc>
          <w:tcPr>
            <w:tcW w:w="3555" w:type="dxa"/>
            <w:gridSpan w:val="3"/>
            <w:tcBorders>
              <w:bottom w:val="single" w:sz="12" w:space="0" w:color="auto"/>
            </w:tcBorders>
            <w:vAlign w:val="center"/>
          </w:tcPr>
          <w:p w:rsidR="00F0275A" w:rsidRPr="00581447" w:rsidRDefault="00F0275A" w:rsidP="00F0275A">
            <w:pPr>
              <w:jc w:val="left"/>
              <w:rPr>
                <w:rFonts w:ascii="Times New Roman" w:hAnsi="Times New Roman" w:cs="Times New Roman"/>
              </w:rPr>
            </w:pPr>
            <w:r w:rsidRPr="00581447">
              <w:rPr>
                <w:rFonts w:ascii="Times New Roman" w:hAnsi="Times New Roman" w:cs="Times New Roman"/>
              </w:rPr>
              <w:t>589.51</w:t>
            </w:r>
          </w:p>
        </w:tc>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8296" w:type="dxa"/>
            <w:gridSpan w:val="7"/>
          </w:tcPr>
          <w:p w:rsidR="00F0275A" w:rsidRPr="00581447" w:rsidRDefault="00F0275A" w:rsidP="00F0275A">
            <w:pPr>
              <w:rPr>
                <w:rFonts w:ascii="Times New Roman" w:hAnsi="Times New Roman" w:cs="Times New Roman"/>
                <w:sz w:val="13"/>
                <w:szCs w:val="13"/>
              </w:rPr>
            </w:pPr>
            <w:r w:rsidRPr="00581447">
              <w:rPr>
                <w:rFonts w:ascii="Times New Roman" w:hAnsi="Times New Roman" w:cs="Times New Roman"/>
                <w:sz w:val="13"/>
                <w:szCs w:val="13"/>
              </w:rPr>
              <w:t>Kaplan–Meier estimates are unadjusted. The EASIX range column gives the observed minimum and maximum within each quartile; the cut-offs themselves are 1.02, 2.06 and 4.98, so adjacent ranges meet at the cut-off and may overlap or differ by 0.01 through rounding.</w:t>
            </w:r>
          </w:p>
        </w:tc>
      </w:tr>
      <w:tr w:rsidR="00F0275A" w:rsidRPr="00581447" w:rsidTr="00F0275A">
        <w:tc>
          <w:tcPr>
            <w:tcW w:w="1185" w:type="dxa"/>
          </w:tcPr>
          <w:p w:rsidR="00F0275A" w:rsidRPr="00581447" w:rsidRDefault="00F0275A" w:rsidP="00F0275A">
            <w:pPr>
              <w:rPr>
                <w:rFonts w:ascii="Times New Roman" w:hAnsi="Times New Roman" w:cs="Times New Roman"/>
              </w:rPr>
            </w:pPr>
          </w:p>
        </w:tc>
        <w:tc>
          <w:tcPr>
            <w:tcW w:w="1185" w:type="dxa"/>
          </w:tcPr>
          <w:p w:rsidR="00F0275A" w:rsidRPr="00581447" w:rsidRDefault="00F0275A" w:rsidP="00F0275A">
            <w:pPr>
              <w:rPr>
                <w:rFonts w:ascii="Times New Roman" w:hAnsi="Times New Roman" w:cs="Times New Roman"/>
              </w:rPr>
            </w:pPr>
          </w:p>
        </w:tc>
        <w:tc>
          <w:tcPr>
            <w:tcW w:w="1185" w:type="dxa"/>
          </w:tcPr>
          <w:p w:rsidR="00F0275A" w:rsidRPr="00581447" w:rsidRDefault="00F0275A" w:rsidP="00F0275A">
            <w:pPr>
              <w:rPr>
                <w:rFonts w:ascii="Times New Roman" w:hAnsi="Times New Roman" w:cs="Times New Roman"/>
              </w:rPr>
            </w:pPr>
          </w:p>
        </w:tc>
        <w:tc>
          <w:tcPr>
            <w:tcW w:w="1185" w:type="dxa"/>
          </w:tcPr>
          <w:p w:rsidR="00F0275A" w:rsidRPr="00581447" w:rsidRDefault="00F0275A" w:rsidP="00F0275A">
            <w:pPr>
              <w:rPr>
                <w:rFonts w:ascii="Times New Roman" w:hAnsi="Times New Roman" w:cs="Times New Roman"/>
              </w:rPr>
            </w:pPr>
          </w:p>
        </w:tc>
        <w:tc>
          <w:tcPr>
            <w:tcW w:w="1185" w:type="dxa"/>
          </w:tcPr>
          <w:p w:rsidR="00F0275A" w:rsidRPr="00581447" w:rsidRDefault="00F0275A" w:rsidP="00F0275A">
            <w:pPr>
              <w:rPr>
                <w:rFonts w:ascii="Times New Roman" w:hAnsi="Times New Roman" w:cs="Times New Roman"/>
              </w:rPr>
            </w:pPr>
          </w:p>
        </w:tc>
        <w:tc>
          <w:tcPr>
            <w:tcW w:w="1185" w:type="dxa"/>
          </w:tcPr>
          <w:p w:rsidR="00F0275A" w:rsidRPr="00581447" w:rsidRDefault="00F0275A" w:rsidP="00F0275A">
            <w:pPr>
              <w:rPr>
                <w:rFonts w:ascii="Times New Roman" w:hAnsi="Times New Roman" w:cs="Times New Roman"/>
              </w:rPr>
            </w:pPr>
          </w:p>
        </w:tc>
        <w:tc>
          <w:tcPr>
            <w:tcW w:w="1186" w:type="dxa"/>
          </w:tcPr>
          <w:p w:rsidR="00F0275A" w:rsidRPr="00581447" w:rsidRDefault="00F0275A" w:rsidP="00F0275A">
            <w:pPr>
              <w:rPr>
                <w:rFonts w:ascii="Times New Roman" w:hAnsi="Times New Roman" w:cs="Times New Roman"/>
              </w:rPr>
            </w:pPr>
          </w:p>
        </w:tc>
      </w:tr>
      <w:tr w:rsidR="00F0275A" w:rsidRPr="00581447" w:rsidTr="00F0275A">
        <w:tc>
          <w:tcPr>
            <w:tcW w:w="8296" w:type="dxa"/>
            <w:gridSpan w:val="7"/>
          </w:tcPr>
          <w:p w:rsidR="00F0275A" w:rsidRPr="00581447" w:rsidRDefault="00F0275A" w:rsidP="00F0275A">
            <w:pPr>
              <w:rPr>
                <w:rFonts w:ascii="Times New Roman" w:hAnsi="Times New Roman" w:cs="Times New Roman"/>
                <w:b/>
              </w:rPr>
            </w:pPr>
            <w:r w:rsidRPr="00581447">
              <w:rPr>
                <w:rFonts w:ascii="Times New Roman" w:hAnsi="Times New Roman" w:cs="Times New Roman"/>
                <w:b/>
              </w:rPr>
              <w:t>Model-adjusted survival probabilities</w:t>
            </w:r>
          </w:p>
        </w:tc>
      </w:tr>
      <w:tr w:rsidR="00F0275A" w:rsidRPr="00581447" w:rsidTr="00F0275A">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Quartile</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Assigned EASIX</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S(1 day)</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S(7 days)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S(30 days)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S(90 days)</w:t>
            </w:r>
          </w:p>
        </w:tc>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S(365 days)</w:t>
            </w:r>
          </w:p>
        </w:tc>
      </w:tr>
      <w:tr w:rsidR="00F0275A" w:rsidRPr="00581447" w:rsidTr="00F0275A">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Q1</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0.673</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0.989</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0.921</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0.825</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0.764</w:t>
            </w:r>
          </w:p>
        </w:tc>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0.676</w:t>
            </w:r>
          </w:p>
        </w:tc>
      </w:tr>
      <w:tr w:rsidR="00F0275A" w:rsidRPr="00581447" w:rsidTr="00F0275A">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1.429</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0.988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0.907</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0.799</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0.736</w:t>
            </w:r>
          </w:p>
        </w:tc>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0.647</w:t>
            </w:r>
          </w:p>
        </w:tc>
      </w:tr>
      <w:tr w:rsidR="00F0275A" w:rsidRPr="00581447" w:rsidTr="00F0275A">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3.029</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0.987</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0.891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0.771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0.704</w:t>
            </w:r>
          </w:p>
        </w:tc>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0.615</w:t>
            </w:r>
          </w:p>
        </w:tc>
      </w:tr>
      <w:tr w:rsidR="00F0275A" w:rsidRPr="00581447" w:rsidTr="00F0275A">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Q4</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10.635</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0.985</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0.856</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0.716</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0.645</w:t>
            </w:r>
          </w:p>
        </w:tc>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0.558</w:t>
            </w:r>
          </w:p>
        </w:tc>
      </w:tr>
      <w:tr w:rsidR="00F0275A" w:rsidRPr="00581447" w:rsidTr="00F0275A">
        <w:tc>
          <w:tcPr>
            <w:tcW w:w="8296" w:type="dxa"/>
            <w:gridSpan w:val="7"/>
          </w:tcPr>
          <w:p w:rsidR="009E1B43"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Obtained by direct standardisation from the M4 model for the 365-day outcome, with covariates at their observed values and EASIX fixed at the median of each quartile; point estimates only.</w:t>
            </w:r>
          </w:p>
          <w:p w:rsidR="00F0275A"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Abbreviations. EASIX, Endothelial Activation and Stress Index; Q, quartile.</w:t>
            </w:r>
          </w:p>
        </w:tc>
      </w:tr>
    </w:tbl>
    <w:p w:rsidR="00F0275A" w:rsidRDefault="00F0275A">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hint="eastAsia"/>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8"/>
        <w:gridCol w:w="1363"/>
        <w:gridCol w:w="823"/>
        <w:gridCol w:w="823"/>
        <w:gridCol w:w="823"/>
        <w:gridCol w:w="823"/>
        <w:gridCol w:w="823"/>
        <w:gridCol w:w="927"/>
        <w:gridCol w:w="823"/>
      </w:tblGrid>
      <w:tr w:rsidR="00F0275A" w:rsidRPr="00581447" w:rsidTr="00F0275A">
        <w:tc>
          <w:tcPr>
            <w:tcW w:w="8296" w:type="dxa"/>
            <w:gridSpan w:val="9"/>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Supplementary Table 2. Association of EASIX with all-cause mortality</w:t>
            </w:r>
          </w:p>
        </w:tc>
      </w:tr>
      <w:tr w:rsidR="00F0275A" w:rsidRPr="00581447" w:rsidTr="00F0275A">
        <w:tc>
          <w:tcPr>
            <w:tcW w:w="8296" w:type="dxa"/>
            <w:gridSpan w:val="9"/>
          </w:tcPr>
          <w:p w:rsidR="00F0275A" w:rsidRPr="00581447" w:rsidRDefault="00F0275A" w:rsidP="00F0275A">
            <w:pPr>
              <w:rPr>
                <w:rFonts w:ascii="Times New Roman" w:hAnsi="Times New Roman" w:cs="Times New Roman"/>
                <w:b/>
              </w:rPr>
            </w:pPr>
            <w:r w:rsidRPr="00581447">
              <w:rPr>
                <w:rFonts w:ascii="Times New Roman" w:hAnsi="Times New Roman" w:cs="Times New Roman"/>
                <w:b/>
              </w:rPr>
              <w:t>A. Per doubling of EASIX (primary exposure metric)</w:t>
            </w:r>
          </w:p>
        </w:tc>
      </w:tr>
      <w:tr w:rsidR="00F0275A" w:rsidRPr="00581447" w:rsidTr="00F0275A">
        <w:tc>
          <w:tcPr>
            <w:tcW w:w="1081"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1341"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Model</w:t>
            </w:r>
          </w:p>
        </w:tc>
        <w:tc>
          <w:tcPr>
            <w:tcW w:w="9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81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81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81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81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c>
          <w:tcPr>
            <w:tcW w:w="86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γ (time-varying)</w:t>
            </w:r>
          </w:p>
        </w:tc>
        <w:tc>
          <w:tcPr>
            <w:tcW w:w="81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r w:rsidRPr="00581447">
              <w:rPr>
                <w:rFonts w:ascii="Times New Roman" w:hAnsi="Times New Roman" w:cs="Times New Roman"/>
                <w:b/>
              </w:rPr>
              <w:t xml:space="preserve"> for γ</w:t>
            </w:r>
          </w:p>
        </w:tc>
      </w:tr>
      <w:tr w:rsidR="00F0275A" w:rsidRPr="00581447" w:rsidTr="00F0275A">
        <w:tc>
          <w:tcPr>
            <w:tcW w:w="102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127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127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1.334 (1.285–1.385)</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1.240 (1.217–1.263)</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1.174 (1.133–1.215)</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−0.0377</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 xml:space="preserve">M2 + </w:t>
            </w:r>
            <w:r w:rsidRPr="00581447">
              <w:rPr>
                <w:rFonts w:ascii="Times New Roman" w:hAnsi="Times New Roman" w:cs="Times New Roman"/>
              </w:rPr>
              <w:lastRenderedPageBreak/>
              <w:t>Demographics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1.374 </w:t>
            </w:r>
            <w:r w:rsidRPr="00581447">
              <w:rPr>
                <w:rFonts w:ascii="Times New Roman" w:hAnsi="Times New Roman" w:cs="Times New Roman"/>
              </w:rPr>
              <w:lastRenderedPageBreak/>
              <w:t>(1.322–1.428)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1.273 </w:t>
            </w:r>
            <w:r w:rsidRPr="00581447">
              <w:rPr>
                <w:rFonts w:ascii="Times New Roman" w:hAnsi="Times New Roman" w:cs="Times New Roman"/>
              </w:rPr>
              <w:lastRenderedPageBreak/>
              <w:t>(1.249–1.298)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1.203 </w:t>
            </w:r>
            <w:r w:rsidRPr="00581447">
              <w:rPr>
                <w:rFonts w:ascii="Times New Roman" w:hAnsi="Times New Roman" w:cs="Times New Roman"/>
              </w:rPr>
              <w:lastRenderedPageBreak/>
              <w:t>(1.161–1.247)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−0.0391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1.417 (1.351–1.485)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1.257 (1.227–1.288)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1.150 (1.099–1.203)</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−0.0614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1.243 (1.182–1.306)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1.177 (1.148–1.208)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1.131 (1.079–1.185)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−0.0277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0.026</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827"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1.330 (1.286–1.375)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1.241 (1.220–1.262)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1.178 (1.151–1.205)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1.133 (1.094–1.173)</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−0.0357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1.371 (1.324–1.419)</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1.277 (1.255–1.300)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1.211 (1.183–1.241)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1.164 (1.123–1.206)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−0.0364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1.410 (1.351–1.471)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1.261 (1.234–1.290)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1.161 (1.126–1.196)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1.090 (1.042–1.140)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−0.0572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1.237 (1.183–1.294)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1.179 (1.152–1.206)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1.136 (1.102–1.172)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1.106 (1.056–1.158)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−0.0250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0.005</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827"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1.330 (1.291–1.369)</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1.240 (1.219–1.261)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1.177 (1.158–1.196)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1.131 (1.107–1.156)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1.076 (1.041–1.111)</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−0.0359</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1.371 (1.331–1.413)</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1.278 (1.256–1.300)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1.212 (1.192–1.232)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1.164 (1.138–1.191)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1.107 (1.070–1.145)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−0.0364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127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1.403 (1.351–1.457)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1.259 (1.232–1.287)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1.161 (1.136–1.186)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1.092 (1.060–1.125)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1.010 (0.967–1.055)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−0.0557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tcBorders>
              <w:bottom w:val="single" w:sz="12" w:space="0" w:color="auto"/>
            </w:tcBorders>
            <w:vAlign w:val="center"/>
          </w:tcPr>
          <w:p w:rsidR="00F0275A" w:rsidRPr="00581447" w:rsidRDefault="00F0275A" w:rsidP="00F0275A">
            <w:pPr>
              <w:rPr>
                <w:rFonts w:ascii="Times New Roman" w:hAnsi="Times New Roman" w:cs="Times New Roman"/>
              </w:rPr>
            </w:pPr>
          </w:p>
        </w:tc>
        <w:tc>
          <w:tcPr>
            <w:tcW w:w="127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127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1.247 (1.199–</w:t>
            </w:r>
            <w:r w:rsidRPr="00581447">
              <w:rPr>
                <w:rFonts w:ascii="Times New Roman" w:hAnsi="Times New Roman" w:cs="Times New Roman"/>
              </w:rPr>
              <w:lastRenderedPageBreak/>
              <w:t>1.297)</w:t>
            </w:r>
          </w:p>
        </w:tc>
        <w:tc>
          <w:tcPr>
            <w:tcW w:w="77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1.174 (1.148–</w:t>
            </w:r>
            <w:r w:rsidRPr="00581447">
              <w:rPr>
                <w:rFonts w:ascii="Times New Roman" w:hAnsi="Times New Roman" w:cs="Times New Roman"/>
              </w:rPr>
              <w:lastRenderedPageBreak/>
              <w:t>1.201)</w:t>
            </w:r>
          </w:p>
        </w:tc>
        <w:tc>
          <w:tcPr>
            <w:tcW w:w="77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1.122 (1.097–</w:t>
            </w:r>
            <w:r w:rsidRPr="00581447">
              <w:rPr>
                <w:rFonts w:ascii="Times New Roman" w:hAnsi="Times New Roman" w:cs="Times New Roman"/>
              </w:rPr>
              <w:lastRenderedPageBreak/>
              <w:t>1.147)</w:t>
            </w:r>
          </w:p>
        </w:tc>
        <w:tc>
          <w:tcPr>
            <w:tcW w:w="77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1.084 (1.052–</w:t>
            </w:r>
            <w:r w:rsidRPr="00581447">
              <w:rPr>
                <w:rFonts w:ascii="Times New Roman" w:hAnsi="Times New Roman" w:cs="Times New Roman"/>
              </w:rPr>
              <w:lastRenderedPageBreak/>
              <w:t>1.118)</w:t>
            </w:r>
          </w:p>
        </w:tc>
        <w:tc>
          <w:tcPr>
            <w:tcW w:w="77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1.038 (0.993–</w:t>
            </w:r>
            <w:r w:rsidRPr="00581447">
              <w:rPr>
                <w:rFonts w:ascii="Times New Roman" w:hAnsi="Times New Roman" w:cs="Times New Roman"/>
              </w:rPr>
              <w:lastRenderedPageBreak/>
              <w:t>1.086)</w:t>
            </w:r>
          </w:p>
        </w:tc>
        <w:tc>
          <w:tcPr>
            <w:tcW w:w="827"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−0.0311</w:t>
            </w:r>
          </w:p>
        </w:tc>
        <w:tc>
          <w:tcPr>
            <w:tcW w:w="77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029" w:type="dxa"/>
            <w:tcBorders>
              <w:top w:val="single" w:sz="12" w:space="0" w:color="auto"/>
            </w:tcBorders>
          </w:tcPr>
          <w:p w:rsidR="00F0275A" w:rsidRPr="00581447" w:rsidRDefault="00F0275A" w:rsidP="00F0275A">
            <w:pPr>
              <w:rPr>
                <w:rFonts w:ascii="Times New Roman" w:hAnsi="Times New Roman" w:cs="Times New Roman"/>
              </w:rPr>
            </w:pPr>
          </w:p>
        </w:tc>
        <w:tc>
          <w:tcPr>
            <w:tcW w:w="1275" w:type="dxa"/>
            <w:tcBorders>
              <w:top w:val="single" w:sz="12" w:space="0" w:color="auto"/>
            </w:tcBorders>
          </w:tcPr>
          <w:p w:rsidR="00F0275A" w:rsidRPr="00581447" w:rsidRDefault="00F0275A" w:rsidP="00F0275A">
            <w:pPr>
              <w:rPr>
                <w:rFonts w:ascii="Times New Roman" w:hAnsi="Times New Roman" w:cs="Times New Roman"/>
              </w:rPr>
            </w:pPr>
          </w:p>
        </w:tc>
        <w:tc>
          <w:tcPr>
            <w:tcW w:w="1275" w:type="dxa"/>
            <w:tcBorders>
              <w:top w:val="single" w:sz="12" w:space="0" w:color="auto"/>
            </w:tcBorders>
          </w:tcPr>
          <w:p w:rsidR="00F0275A" w:rsidRPr="00581447" w:rsidRDefault="00F0275A" w:rsidP="00F0275A">
            <w:pPr>
              <w:rPr>
                <w:rFonts w:ascii="Times New Roman" w:hAnsi="Times New Roman" w:cs="Times New Roman"/>
              </w:rPr>
            </w:pPr>
          </w:p>
        </w:tc>
        <w:tc>
          <w:tcPr>
            <w:tcW w:w="778" w:type="dxa"/>
            <w:tcBorders>
              <w:top w:val="single" w:sz="12" w:space="0" w:color="auto"/>
            </w:tcBorders>
          </w:tcPr>
          <w:p w:rsidR="00F0275A" w:rsidRPr="00581447" w:rsidRDefault="00F0275A" w:rsidP="00F0275A">
            <w:pPr>
              <w:rPr>
                <w:rFonts w:ascii="Times New Roman" w:hAnsi="Times New Roman" w:cs="Times New Roman"/>
              </w:rPr>
            </w:pPr>
          </w:p>
        </w:tc>
        <w:tc>
          <w:tcPr>
            <w:tcW w:w="778" w:type="dxa"/>
            <w:tcBorders>
              <w:top w:val="single" w:sz="12" w:space="0" w:color="auto"/>
            </w:tcBorders>
          </w:tcPr>
          <w:p w:rsidR="00F0275A" w:rsidRPr="00581447" w:rsidRDefault="00F0275A" w:rsidP="00F0275A">
            <w:pPr>
              <w:rPr>
                <w:rFonts w:ascii="Times New Roman" w:hAnsi="Times New Roman" w:cs="Times New Roman"/>
              </w:rPr>
            </w:pPr>
          </w:p>
        </w:tc>
        <w:tc>
          <w:tcPr>
            <w:tcW w:w="778" w:type="dxa"/>
            <w:tcBorders>
              <w:top w:val="single" w:sz="12" w:space="0" w:color="auto"/>
            </w:tcBorders>
          </w:tcPr>
          <w:p w:rsidR="00F0275A" w:rsidRPr="00581447" w:rsidRDefault="00F0275A" w:rsidP="00F0275A">
            <w:pPr>
              <w:rPr>
                <w:rFonts w:ascii="Times New Roman" w:hAnsi="Times New Roman" w:cs="Times New Roman"/>
              </w:rPr>
            </w:pPr>
          </w:p>
        </w:tc>
        <w:tc>
          <w:tcPr>
            <w:tcW w:w="778" w:type="dxa"/>
            <w:tcBorders>
              <w:top w:val="single" w:sz="12" w:space="0" w:color="auto"/>
            </w:tcBorders>
          </w:tcPr>
          <w:p w:rsidR="00F0275A" w:rsidRPr="00581447" w:rsidRDefault="00F0275A" w:rsidP="00F0275A">
            <w:pPr>
              <w:rPr>
                <w:rFonts w:ascii="Times New Roman" w:hAnsi="Times New Roman" w:cs="Times New Roman"/>
              </w:rPr>
            </w:pPr>
          </w:p>
        </w:tc>
        <w:tc>
          <w:tcPr>
            <w:tcW w:w="827" w:type="dxa"/>
            <w:tcBorders>
              <w:top w:val="single" w:sz="12" w:space="0" w:color="auto"/>
            </w:tcBorders>
          </w:tcPr>
          <w:p w:rsidR="00F0275A" w:rsidRPr="00581447" w:rsidRDefault="00F0275A" w:rsidP="00F0275A">
            <w:pPr>
              <w:rPr>
                <w:rFonts w:ascii="Times New Roman" w:hAnsi="Times New Roman" w:cs="Times New Roman"/>
              </w:rPr>
            </w:pPr>
          </w:p>
        </w:tc>
        <w:tc>
          <w:tcPr>
            <w:tcW w:w="778" w:type="dxa"/>
            <w:tcBorders>
              <w:top w:val="single" w:sz="12" w:space="0" w:color="auto"/>
            </w:tcBorders>
          </w:tcPr>
          <w:p w:rsidR="00F0275A" w:rsidRPr="00581447" w:rsidRDefault="00F0275A" w:rsidP="00F0275A">
            <w:pPr>
              <w:rPr>
                <w:rFonts w:ascii="Times New Roman" w:hAnsi="Times New Roman" w:cs="Times New Roman"/>
              </w:rPr>
            </w:pPr>
          </w:p>
        </w:tc>
      </w:tr>
      <w:tr w:rsidR="00F0275A" w:rsidRPr="00581447" w:rsidTr="00F0275A">
        <w:tc>
          <w:tcPr>
            <w:tcW w:w="8296" w:type="dxa"/>
            <w:gridSpan w:val="9"/>
          </w:tcPr>
          <w:p w:rsidR="00F0275A" w:rsidRPr="00581447" w:rsidRDefault="00F0275A" w:rsidP="00F0275A">
            <w:pPr>
              <w:rPr>
                <w:rFonts w:ascii="Times New Roman" w:hAnsi="Times New Roman" w:cs="Times New Roman"/>
                <w:b/>
              </w:rPr>
            </w:pPr>
            <w:r w:rsidRPr="00581447">
              <w:rPr>
                <w:rFonts w:ascii="Times New Roman" w:hAnsi="Times New Roman" w:cs="Times New Roman"/>
                <w:b/>
              </w:rPr>
              <w:t>B. Per 1 standard deviation of log2(EASIX) (1 SD = 1.861, i.e. a 3.6-fold difference in EASIX)</w:t>
            </w:r>
          </w:p>
        </w:tc>
      </w:tr>
      <w:tr w:rsidR="00F0275A" w:rsidRPr="00581447" w:rsidTr="00F0275A">
        <w:tc>
          <w:tcPr>
            <w:tcW w:w="2304" w:type="dxa"/>
            <w:gridSpan w:val="2"/>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2053" w:type="dxa"/>
            <w:gridSpan w:val="2"/>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Model</w:t>
            </w:r>
          </w:p>
        </w:tc>
        <w:tc>
          <w:tcPr>
            <w:tcW w:w="778"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827" w:type="dxa"/>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r>
      <w:tr w:rsidR="00F0275A" w:rsidRPr="00581447" w:rsidTr="00F0275A">
        <w:tc>
          <w:tcPr>
            <w:tcW w:w="2304" w:type="dxa"/>
            <w:gridSpan w:val="2"/>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2053" w:type="dxa"/>
            <w:gridSpan w:val="2"/>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1.711 (1.595–1.833)</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1.492 (1.441–1.544)</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1.347 (1.262–1.437)</w:t>
            </w:r>
          </w:p>
        </w:tc>
        <w:tc>
          <w:tcPr>
            <w:tcW w:w="82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1.806 (1.681–1.941)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1.568 (1.513–1.625)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1.410 (1.320–1.508)</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1.912 (1.751–2.087)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1.531 (1.463–1.602)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1.296 (1.192–1.411)</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1.498 (1.365–1.644)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1.355 (1.293–1.421)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1.257 (1.152–1.372)</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827"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1.700 (1.597–1.809)</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1.494 (1.448–1.542)</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1.356 (1.299–1.415)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1.261 (1.182–1.346)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1.799 (1.686–1.918)</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1.577 (1.526–1.630)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1.429 (1.367–1.495)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1.326 (1.241–1.417)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1.895 (1.751–2.051)</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1.541 (1.479–1.606)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1.319 (1.247–1.395)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1.174 (1.080–1.276)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1.487 (1.367–1.616)</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1.358 (1.301–1.417)</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1.269 (1.198–1.344)</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1.205 (1.107–1.314)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029"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1275"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c>
          <w:tcPr>
            <w:tcW w:w="827" w:type="dxa"/>
            <w:vAlign w:val="center"/>
          </w:tcPr>
          <w:p w:rsidR="00F0275A" w:rsidRPr="00581447" w:rsidRDefault="00F0275A" w:rsidP="00F0275A">
            <w:pPr>
              <w:rPr>
                <w:rFonts w:ascii="Times New Roman" w:hAnsi="Times New Roman" w:cs="Times New Roman"/>
              </w:rPr>
            </w:pPr>
          </w:p>
        </w:tc>
        <w:tc>
          <w:tcPr>
            <w:tcW w:w="778" w:type="dxa"/>
            <w:vAlign w:val="center"/>
          </w:tcPr>
          <w:p w:rsidR="00F0275A" w:rsidRPr="00581447" w:rsidRDefault="00F0275A" w:rsidP="00F0275A">
            <w:pPr>
              <w:rPr>
                <w:rFonts w:ascii="Times New Roman" w:hAnsi="Times New Roman" w:cs="Times New Roman"/>
              </w:rPr>
            </w:pP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1.699 (1.609</w:t>
            </w:r>
            <w:r w:rsidRPr="00581447">
              <w:rPr>
                <w:rFonts w:ascii="Times New Roman" w:hAnsi="Times New Roman" w:cs="Times New Roman"/>
              </w:rPr>
              <w:lastRenderedPageBreak/>
              <w:t>–1.794)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1.492 (1.446</w:t>
            </w:r>
            <w:r w:rsidRPr="00581447">
              <w:rPr>
                <w:rFonts w:ascii="Times New Roman" w:hAnsi="Times New Roman" w:cs="Times New Roman"/>
              </w:rPr>
              <w:lastRenderedPageBreak/>
              <w:t>–1.540)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1.354 (1.314</w:t>
            </w:r>
            <w:r w:rsidRPr="00581447">
              <w:rPr>
                <w:rFonts w:ascii="Times New Roman" w:hAnsi="Times New Roman" w:cs="Times New Roman"/>
              </w:rPr>
              <w:lastRenderedPageBreak/>
              <w:t>–1.395)</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1.258 (1.208–</w:t>
            </w:r>
            <w:r w:rsidRPr="00581447">
              <w:rPr>
                <w:rFonts w:ascii="Times New Roman" w:hAnsi="Times New Roman" w:cs="Times New Roman"/>
              </w:rPr>
              <w:lastRenderedPageBreak/>
              <w:t>1.310)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1.145 (1.078</w:t>
            </w:r>
            <w:r w:rsidRPr="00581447">
              <w:rPr>
                <w:rFonts w:ascii="Times New Roman" w:hAnsi="Times New Roman" w:cs="Times New Roman"/>
              </w:rPr>
              <w:lastRenderedPageBreak/>
              <w:t>–1.216)</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53"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1.800 (1.703–1.903)</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1.578 (1.528–1.630)</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1.430 (1.387–1.474)</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1.328 (1.272–1.384)</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1.208 (1.134–1.287)</w:t>
            </w:r>
          </w:p>
        </w:tc>
      </w:tr>
      <w:tr w:rsidR="00F0275A" w:rsidRPr="00581447" w:rsidTr="00F0275A">
        <w:tc>
          <w:tcPr>
            <w:tcW w:w="2304" w:type="dxa"/>
            <w:gridSpan w:val="2"/>
            <w:vAlign w:val="center"/>
          </w:tcPr>
          <w:p w:rsidR="00F0275A" w:rsidRPr="00581447" w:rsidRDefault="00F0275A" w:rsidP="00F0275A">
            <w:pPr>
              <w:rPr>
                <w:rFonts w:ascii="Times New Roman" w:hAnsi="Times New Roman" w:cs="Times New Roman"/>
              </w:rPr>
            </w:pPr>
          </w:p>
        </w:tc>
        <w:tc>
          <w:tcPr>
            <w:tcW w:w="2037"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1.878 (1.751–2.015)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1.535 (1.474–1.599)</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1.320 (1.268–1.374)</w:t>
            </w:r>
          </w:p>
        </w:tc>
        <w:tc>
          <w:tcPr>
            <w:tcW w:w="82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1.178 (1.115–1.245)</w:t>
            </w:r>
          </w:p>
        </w:tc>
        <w:tc>
          <w:tcPr>
            <w:tcW w:w="77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1.019 (0.939–1.105)</w:t>
            </w:r>
          </w:p>
        </w:tc>
      </w:tr>
      <w:tr w:rsidR="00F0275A" w:rsidRPr="00581447" w:rsidTr="00F0275A">
        <w:tc>
          <w:tcPr>
            <w:tcW w:w="2310" w:type="dxa"/>
            <w:gridSpan w:val="2"/>
            <w:tcBorders>
              <w:bottom w:val="single" w:sz="12" w:space="0" w:color="auto"/>
            </w:tcBorders>
            <w:vAlign w:val="center"/>
          </w:tcPr>
          <w:p w:rsidR="00F0275A" w:rsidRPr="00581447" w:rsidRDefault="00F0275A" w:rsidP="00F0275A">
            <w:pPr>
              <w:rPr>
                <w:rFonts w:ascii="Times New Roman" w:hAnsi="Times New Roman" w:cs="Times New Roman"/>
              </w:rPr>
            </w:pPr>
          </w:p>
        </w:tc>
        <w:tc>
          <w:tcPr>
            <w:tcW w:w="1761" w:type="dxa"/>
            <w:gridSpan w:val="2"/>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78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1.508 (1.402–1.623)</w:t>
            </w:r>
          </w:p>
        </w:tc>
        <w:tc>
          <w:tcPr>
            <w:tcW w:w="78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1.348 (1.293–1.406)</w:t>
            </w:r>
          </w:p>
        </w:tc>
        <w:tc>
          <w:tcPr>
            <w:tcW w:w="78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1.239 (1.188–1.291)</w:t>
            </w:r>
          </w:p>
        </w:tc>
        <w:tc>
          <w:tcPr>
            <w:tcW w:w="829"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1.163 (1.099–1.231)</w:t>
            </w:r>
          </w:p>
        </w:tc>
        <w:tc>
          <w:tcPr>
            <w:tcW w:w="78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1.072 (0.987–1.166)</w:t>
            </w:r>
          </w:p>
        </w:tc>
      </w:tr>
      <w:tr w:rsidR="00F0275A" w:rsidRPr="00581447" w:rsidTr="00F0275A">
        <w:tc>
          <w:tcPr>
            <w:tcW w:w="8296" w:type="dxa"/>
            <w:gridSpan w:val="9"/>
          </w:tcPr>
          <w:p w:rsidR="009E1B43"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HRs were estimated with Cox proportional hazards models using the Efron approximation for tied event times. All models were fitted in the same 9,766 patients (2,278, 2,938 and 3,802 events for the 30-, 90- and 3</w:t>
            </w:r>
            <w:r w:rsidRPr="00581447">
              <w:rPr>
                <w:rFonts w:ascii="Times New Roman" w:hAnsi="Times New Roman" w:cs="Times New Roman"/>
                <w:sz w:val="13"/>
                <w:szCs w:val="13"/>
              </w:rPr>
              <w:t xml:space="preserve">65-day outcomes, respectively). </w:t>
            </w:r>
            <w:r w:rsidRPr="00581447">
              <w:rPr>
                <w:rFonts w:ascii="Times New Roman" w:hAnsi="Times New Roman" w:cs="Times New Roman"/>
                <w:sz w:val="13"/>
                <w:szCs w:val="13"/>
              </w:rPr>
              <w:t>The proportional hazards assumption was tested with scaled Schoenfeld residuals. Categorical covariates that violated the assumption were entered as stratification factors; log2(EASIX) and SOFA-4 were modelled with a time-varying coefficient (γ × ln t), so that HR(t) =</w:t>
            </w:r>
            <w:r w:rsidRPr="00581447">
              <w:rPr>
                <w:rFonts w:ascii="Times New Roman" w:hAnsi="Times New Roman" w:cs="Times New Roman"/>
                <w:sz w:val="13"/>
                <w:szCs w:val="13"/>
              </w:rPr>
              <w:t xml:space="preserve"> exp(β + γ ln t). </w:t>
            </w:r>
            <w:r w:rsidRPr="00581447">
              <w:rPr>
                <w:rFonts w:ascii="Times New Roman" w:hAnsi="Times New Roman" w:cs="Times New Roman"/>
                <w:sz w:val="13"/>
                <w:szCs w:val="13"/>
              </w:rPr>
              <w:t xml:space="preserve">M1, unadjusted; M2, adjusted for age, sex and admission era; M3, additionally adjusted for stroke and peripheral artery disease, with heart failure, coronary artery disease or myocardial infarction, atrial fibrillation, chronic liver disease, malignancy, type 2 diabetes and CKM stage 4b entered as stratification factors; M4, additionally adjusted for SOFA-4. M2 comprised 5 strata (admission era); </w:t>
            </w:r>
            <w:r w:rsidRPr="00581447">
              <w:rPr>
                <w:rFonts w:ascii="Times New Roman" w:hAnsi="Times New Roman" w:cs="Times New Roman"/>
                <w:sz w:val="13"/>
                <w:szCs w:val="13"/>
              </w:rPr>
              <w:t xml:space="preserve">M3 and M4 comprised 533 strata. </w:t>
            </w:r>
            <w:r w:rsidRPr="00581447">
              <w:rPr>
                <w:rFonts w:ascii="Times New Roman" w:hAnsi="Times New Roman" w:cs="Times New Roman"/>
                <w:sz w:val="13"/>
                <w:szCs w:val="13"/>
              </w:rPr>
              <w:t>Panel B is a linear rescaling of the models in panel A: the point estimate is exp(β × SD) and the confidence limits are those in panel A raised to the power SD.</w:t>
            </w:r>
          </w:p>
          <w:p w:rsidR="00F0275A"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Abbreviations. CI, confidence interval; CKM, cardiovascular–kidney–metabolic; EASIX, Endothelial Activation and Stress Index; HR, hazard ratio; SD, standard deviation; SOFA, Sequential Organ Failure Assessment.</w:t>
            </w:r>
          </w:p>
        </w:tc>
      </w:tr>
    </w:tbl>
    <w:p w:rsidR="00F0275A" w:rsidRPr="00581447" w:rsidRDefault="00F0275A">
      <w:pPr>
        <w:rPr>
          <w:rFonts w:ascii="Times New Roman" w:hAnsi="Times New Roman" w:cs="Times New Roman"/>
        </w:rPr>
      </w:pPr>
    </w:p>
    <w:p w:rsidR="00F0275A" w:rsidRDefault="00F0275A">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410"/>
        <w:gridCol w:w="992"/>
        <w:gridCol w:w="993"/>
        <w:gridCol w:w="1071"/>
      </w:tblGrid>
      <w:tr w:rsidR="00F0275A" w:rsidRPr="00581447" w:rsidTr="00F0275A">
        <w:tc>
          <w:tcPr>
            <w:tcW w:w="8296" w:type="dxa"/>
            <w:gridSpan w:val="5"/>
          </w:tcPr>
          <w:p w:rsidR="00F0275A" w:rsidRPr="00581447" w:rsidRDefault="00F0275A">
            <w:pPr>
              <w:rPr>
                <w:rFonts w:ascii="Times New Roman" w:hAnsi="Times New Roman" w:cs="Times New Roman"/>
                <w:b/>
              </w:rPr>
            </w:pPr>
            <w:bookmarkStart w:id="0" w:name="OLE_LINK7"/>
            <w:bookmarkStart w:id="1" w:name="OLE_LINK8"/>
            <w:r w:rsidRPr="00581447">
              <w:rPr>
                <w:rFonts w:ascii="Times New Roman" w:hAnsi="Times New Roman" w:cs="Times New Roman"/>
                <w:b/>
              </w:rPr>
              <w:t>Supplementary Table 3</w:t>
            </w:r>
            <w:bookmarkEnd w:id="0"/>
            <w:bookmarkEnd w:id="1"/>
            <w:r w:rsidRPr="00581447">
              <w:rPr>
                <w:rFonts w:ascii="Times New Roman" w:hAnsi="Times New Roman" w:cs="Times New Roman"/>
                <w:b/>
              </w:rPr>
              <w:t>. Specification of the time function: likelihood ratio test for an additional (ln t)² term</w:t>
            </w:r>
          </w:p>
        </w:tc>
      </w:tr>
      <w:tr w:rsidR="00F0275A" w:rsidRPr="00581447" w:rsidTr="00F0275A">
        <w:tc>
          <w:tcPr>
            <w:tcW w:w="283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241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Model</w:t>
            </w:r>
          </w:p>
        </w:tc>
        <w:tc>
          <w:tcPr>
            <w:tcW w:w="992"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LR χ²</w:t>
            </w:r>
          </w:p>
        </w:tc>
        <w:tc>
          <w:tcPr>
            <w:tcW w:w="993"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df</w:t>
            </w:r>
          </w:p>
        </w:tc>
        <w:tc>
          <w:tcPr>
            <w:tcW w:w="1071"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p>
        </w:tc>
      </w:tr>
      <w:tr w:rsidR="00F0275A" w:rsidRPr="00581447" w:rsidTr="00F0275A">
        <w:tc>
          <w:tcPr>
            <w:tcW w:w="2830"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2410"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992"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0.142</w:t>
            </w:r>
          </w:p>
        </w:tc>
        <w:tc>
          <w:tcPr>
            <w:tcW w:w="993"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0.706</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0.232</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0.630</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1.975</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0.160</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3.861</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0.145</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0.008</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0.928</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0.007</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0.931</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0.441</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0.506</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2.780</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0.249</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M1 Unadjusted</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0.079</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0.778</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M2 + Demographics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0.106</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0.745</w:t>
            </w:r>
          </w:p>
        </w:tc>
      </w:tr>
      <w:tr w:rsidR="00F0275A" w:rsidRPr="00581447" w:rsidTr="00F0275A">
        <w:tc>
          <w:tcPr>
            <w:tcW w:w="283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241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M3 + Comorbidities</w:t>
            </w:r>
          </w:p>
        </w:tc>
        <w:tc>
          <w:tcPr>
            <w:tcW w:w="992"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0.013</w:t>
            </w:r>
          </w:p>
        </w:tc>
        <w:tc>
          <w:tcPr>
            <w:tcW w:w="993"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w:t>
            </w:r>
          </w:p>
        </w:tc>
        <w:tc>
          <w:tcPr>
            <w:tcW w:w="107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0.910</w:t>
            </w:r>
          </w:p>
        </w:tc>
      </w:tr>
      <w:tr w:rsidR="00F0275A" w:rsidRPr="00581447" w:rsidTr="009E1B43">
        <w:tc>
          <w:tcPr>
            <w:tcW w:w="283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241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M4 + SOFA-4 (primary)</w:t>
            </w:r>
          </w:p>
        </w:tc>
        <w:tc>
          <w:tcPr>
            <w:tcW w:w="992"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2.003</w:t>
            </w:r>
          </w:p>
        </w:tc>
        <w:tc>
          <w:tcPr>
            <w:tcW w:w="993"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w:t>
            </w:r>
          </w:p>
        </w:tc>
        <w:tc>
          <w:tcPr>
            <w:tcW w:w="1071"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0.367</w:t>
            </w:r>
          </w:p>
        </w:tc>
      </w:tr>
      <w:tr w:rsidR="009E1B43" w:rsidRPr="00581447" w:rsidTr="00D820E6">
        <w:tc>
          <w:tcPr>
            <w:tcW w:w="8296" w:type="dxa"/>
            <w:gridSpan w:val="5"/>
            <w:vAlign w:val="center"/>
          </w:tcPr>
          <w:p w:rsidR="009E1B43" w:rsidRPr="00581447" w:rsidRDefault="009E1B43" w:rsidP="009E1B43">
            <w:pPr>
              <w:rPr>
                <w:rFonts w:ascii="Times New Roman" w:hAnsi="Times New Roman" w:cs="Times New Roman"/>
              </w:rPr>
            </w:pPr>
            <w:r w:rsidRPr="00581447">
              <w:rPr>
                <w:rFonts w:ascii="Times New Roman" w:hAnsi="Times New Roman" w:cs="Times New Roman"/>
                <w:sz w:val="13"/>
                <w:szCs w:val="13"/>
              </w:rPr>
              <w:lastRenderedPageBreak/>
              <w:t>Abbreviations. df, degrees of freedom; EASIX, Endothelial Activation and Stress Index; LR, likelihood ratio.</w:t>
            </w:r>
          </w:p>
        </w:tc>
      </w:tr>
    </w:tbl>
    <w:p w:rsidR="00F0275A" w:rsidRPr="00581447" w:rsidRDefault="00F0275A">
      <w:pPr>
        <w:rPr>
          <w:rFonts w:ascii="Times New Roman" w:hAnsi="Times New Roman" w:cs="Times New Roman"/>
        </w:rPr>
      </w:pPr>
    </w:p>
    <w:p w:rsidR="00F0275A" w:rsidRDefault="00F0275A">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
        <w:gridCol w:w="1292"/>
        <w:gridCol w:w="845"/>
        <w:gridCol w:w="845"/>
        <w:gridCol w:w="845"/>
        <w:gridCol w:w="845"/>
        <w:gridCol w:w="845"/>
        <w:gridCol w:w="891"/>
        <w:gridCol w:w="789"/>
      </w:tblGrid>
      <w:tr w:rsidR="00F0275A" w:rsidRPr="00581447" w:rsidTr="00F0275A">
        <w:tc>
          <w:tcPr>
            <w:tcW w:w="8296" w:type="dxa"/>
            <w:gridSpan w:val="9"/>
          </w:tcPr>
          <w:p w:rsidR="00F0275A" w:rsidRPr="00581447" w:rsidRDefault="00F0275A" w:rsidP="00F0275A">
            <w:pPr>
              <w:rPr>
                <w:rFonts w:ascii="Times New Roman" w:hAnsi="Times New Roman" w:cs="Times New Roman"/>
                <w:b/>
                <w:bCs/>
              </w:rPr>
            </w:pPr>
            <w:r w:rsidRPr="00581447">
              <w:rPr>
                <w:rFonts w:ascii="Times New Roman" w:hAnsi="Times New Roman" w:cs="Times New Roman"/>
                <w:b/>
                <w:bCs/>
              </w:rPr>
              <w:t>Supplementary Table 4. EASIX quartile and all-cause mortality</w:t>
            </w:r>
          </w:p>
        </w:tc>
      </w:tr>
      <w:tr w:rsidR="00F0275A" w:rsidRPr="00581447" w:rsidTr="00F0275A">
        <w:tc>
          <w:tcPr>
            <w:tcW w:w="113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123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Comparison</w:t>
            </w:r>
          </w:p>
        </w:tc>
        <w:tc>
          <w:tcPr>
            <w:tcW w:w="8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8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8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8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84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c>
          <w:tcPr>
            <w:tcW w:w="89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γ</w:t>
            </w:r>
          </w:p>
        </w:tc>
        <w:tc>
          <w:tcPr>
            <w:tcW w:w="787"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r w:rsidRPr="00581447">
              <w:rPr>
                <w:rFonts w:ascii="Times New Roman" w:hAnsi="Times New Roman" w:cs="Times New Roman"/>
                <w:b/>
              </w:rPr>
              <w:t xml:space="preserve"> for γ</w:t>
            </w:r>
          </w:p>
        </w:tc>
      </w:tr>
      <w:tr w:rsidR="00F0275A" w:rsidRPr="00581447" w:rsidTr="00F0275A">
        <w:tc>
          <w:tcPr>
            <w:tcW w:w="113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123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Q2 vs Q1</w:t>
            </w:r>
          </w:p>
        </w:tc>
        <w:tc>
          <w:tcPr>
            <w:tcW w:w="84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1.659 (1.168–2.357)</w:t>
            </w:r>
          </w:p>
        </w:tc>
        <w:tc>
          <w:tcPr>
            <w:tcW w:w="84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1.180 (1.016–1.371)</w:t>
            </w:r>
          </w:p>
        </w:tc>
        <w:tc>
          <w:tcPr>
            <w:tcW w:w="84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0.915 (0.699–1.197)</w:t>
            </w:r>
          </w:p>
        </w:tc>
        <w:tc>
          <w:tcPr>
            <w:tcW w:w="84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49"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90"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−0.1750</w:t>
            </w:r>
          </w:p>
        </w:tc>
        <w:tc>
          <w:tcPr>
            <w:tcW w:w="78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0.031</w:t>
            </w:r>
          </w:p>
        </w:tc>
      </w:tr>
      <w:tr w:rsidR="00F0275A" w:rsidRPr="00581447" w:rsidTr="00F0275A">
        <w:tc>
          <w:tcPr>
            <w:tcW w:w="1135" w:type="dxa"/>
            <w:vAlign w:val="center"/>
          </w:tcPr>
          <w:p w:rsidR="00F0275A" w:rsidRPr="00581447" w:rsidRDefault="00F0275A" w:rsidP="00F0275A">
            <w:pPr>
              <w:rPr>
                <w:rFonts w:ascii="Times New Roman" w:hAnsi="Times New Roman" w:cs="Times New Roman"/>
              </w:rPr>
            </w:pPr>
          </w:p>
        </w:tc>
        <w:tc>
          <w:tcPr>
            <w:tcW w:w="123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Q3 vs Q1</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1.991 (1.414–2.803)</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1.480 (1.279–1.712)</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1.185 (0.913–1.539)</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9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−0.1524</w:t>
            </w:r>
          </w:p>
        </w:tc>
        <w:tc>
          <w:tcPr>
            <w:tcW w:w="78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0.054</w:t>
            </w:r>
          </w:p>
        </w:tc>
      </w:tr>
      <w:tr w:rsidR="00F0275A" w:rsidRPr="00581447" w:rsidTr="00F0275A">
        <w:tc>
          <w:tcPr>
            <w:tcW w:w="1115" w:type="dxa"/>
            <w:vAlign w:val="center"/>
          </w:tcPr>
          <w:p w:rsidR="00F0275A" w:rsidRPr="00581447" w:rsidRDefault="00F0275A" w:rsidP="00F0275A">
            <w:pPr>
              <w:rPr>
                <w:rFonts w:ascii="Times New Roman" w:hAnsi="Times New Roman" w:cs="Times New Roman"/>
              </w:rPr>
            </w:pPr>
          </w:p>
        </w:tc>
        <w:tc>
          <w:tcPr>
            <w:tcW w:w="121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Q4 vs Q1</w:t>
            </w:r>
          </w:p>
        </w:tc>
        <w:tc>
          <w:tcPr>
            <w:tcW w:w="96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3.946 (2.815–5.530)</w:t>
            </w:r>
          </w:p>
        </w:tc>
        <w:tc>
          <w:tcPr>
            <w:tcW w:w="83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2.404 (2.077–2.783)</w:t>
            </w:r>
          </w:p>
        </w:tc>
        <w:tc>
          <w:tcPr>
            <w:tcW w:w="83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1.660 (1.273–2.164)</w:t>
            </w:r>
          </w:p>
        </w:tc>
        <w:tc>
          <w:tcPr>
            <w:tcW w:w="83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3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7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−0.2546</w:t>
            </w:r>
          </w:p>
        </w:tc>
        <w:tc>
          <w:tcPr>
            <w:tcW w:w="77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0.001</w:t>
            </w:r>
          </w:p>
        </w:tc>
      </w:tr>
      <w:tr w:rsidR="00F0275A" w:rsidRPr="00581447" w:rsidTr="00F0275A">
        <w:tc>
          <w:tcPr>
            <w:tcW w:w="1115" w:type="dxa"/>
            <w:vAlign w:val="center"/>
          </w:tcPr>
          <w:p w:rsidR="00F0275A" w:rsidRPr="00581447" w:rsidRDefault="00F0275A" w:rsidP="00F0275A">
            <w:pPr>
              <w:rPr>
                <w:rFonts w:ascii="Times New Roman" w:hAnsi="Times New Roman" w:cs="Times New Roman"/>
              </w:rPr>
            </w:pPr>
          </w:p>
        </w:tc>
        <w:tc>
          <w:tcPr>
            <w:tcW w:w="1219" w:type="dxa"/>
            <w:vAlign w:val="center"/>
          </w:tcPr>
          <w:p w:rsidR="00F0275A" w:rsidRPr="00581447" w:rsidRDefault="00F0275A" w:rsidP="00F0275A">
            <w:pPr>
              <w:rPr>
                <w:rFonts w:ascii="Times New Roman" w:hAnsi="Times New Roman" w:cs="Times New Roman"/>
              </w:rPr>
            </w:pPr>
          </w:p>
        </w:tc>
        <w:tc>
          <w:tcPr>
            <w:tcW w:w="961" w:type="dxa"/>
            <w:vAlign w:val="center"/>
          </w:tcPr>
          <w:p w:rsidR="00F0275A" w:rsidRPr="00581447" w:rsidRDefault="00F0275A" w:rsidP="00F0275A">
            <w:pPr>
              <w:rPr>
                <w:rFonts w:ascii="Times New Roman" w:hAnsi="Times New Roman" w:cs="Times New Roman"/>
              </w:rPr>
            </w:pPr>
          </w:p>
        </w:tc>
        <w:tc>
          <w:tcPr>
            <w:tcW w:w="837" w:type="dxa"/>
            <w:vAlign w:val="center"/>
          </w:tcPr>
          <w:p w:rsidR="00F0275A" w:rsidRPr="00581447" w:rsidRDefault="00F0275A" w:rsidP="00F0275A">
            <w:pPr>
              <w:rPr>
                <w:rFonts w:ascii="Times New Roman" w:hAnsi="Times New Roman" w:cs="Times New Roman"/>
              </w:rPr>
            </w:pPr>
          </w:p>
        </w:tc>
        <w:tc>
          <w:tcPr>
            <w:tcW w:w="837" w:type="dxa"/>
            <w:vAlign w:val="center"/>
          </w:tcPr>
          <w:p w:rsidR="00F0275A" w:rsidRPr="00581447" w:rsidRDefault="00F0275A" w:rsidP="00F0275A">
            <w:pPr>
              <w:rPr>
                <w:rFonts w:ascii="Times New Roman" w:hAnsi="Times New Roman" w:cs="Times New Roman"/>
              </w:rPr>
            </w:pPr>
          </w:p>
        </w:tc>
        <w:tc>
          <w:tcPr>
            <w:tcW w:w="837" w:type="dxa"/>
            <w:vAlign w:val="center"/>
          </w:tcPr>
          <w:p w:rsidR="00F0275A" w:rsidRPr="00581447" w:rsidRDefault="00F0275A" w:rsidP="00F0275A">
            <w:pPr>
              <w:rPr>
                <w:rFonts w:ascii="Times New Roman" w:hAnsi="Times New Roman" w:cs="Times New Roman"/>
              </w:rPr>
            </w:pPr>
          </w:p>
        </w:tc>
        <w:tc>
          <w:tcPr>
            <w:tcW w:w="837" w:type="dxa"/>
            <w:vAlign w:val="center"/>
          </w:tcPr>
          <w:p w:rsidR="00F0275A" w:rsidRPr="00581447" w:rsidRDefault="00F0275A" w:rsidP="00F0275A">
            <w:pPr>
              <w:rPr>
                <w:rFonts w:ascii="Times New Roman" w:hAnsi="Times New Roman" w:cs="Times New Roman"/>
              </w:rPr>
            </w:pPr>
          </w:p>
        </w:tc>
        <w:tc>
          <w:tcPr>
            <w:tcW w:w="877" w:type="dxa"/>
            <w:vAlign w:val="center"/>
          </w:tcPr>
          <w:p w:rsidR="00F0275A" w:rsidRPr="00581447" w:rsidRDefault="00F0275A" w:rsidP="00F0275A">
            <w:pPr>
              <w:rPr>
                <w:rFonts w:ascii="Times New Roman" w:hAnsi="Times New Roman" w:cs="Times New Roman"/>
              </w:rPr>
            </w:pPr>
          </w:p>
        </w:tc>
        <w:tc>
          <w:tcPr>
            <w:tcW w:w="776" w:type="dxa"/>
            <w:vAlign w:val="center"/>
          </w:tcPr>
          <w:p w:rsidR="00F0275A" w:rsidRPr="00581447" w:rsidRDefault="00F0275A" w:rsidP="00F0275A">
            <w:pPr>
              <w:rPr>
                <w:rFonts w:ascii="Times New Roman" w:hAnsi="Times New Roman" w:cs="Times New Roman"/>
              </w:rPr>
            </w:pP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120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Q2 vs Q1</w:t>
            </w:r>
          </w:p>
        </w:tc>
        <w:tc>
          <w:tcPr>
            <w:tcW w:w="95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1.425 (1.060–1.916)</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1.195 (1.038–1.376)</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1.047 (0.894–1.227)</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0.948 (0.742–1.212)</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8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−0.0906</w:t>
            </w:r>
          </w:p>
        </w:tc>
        <w:tc>
          <w:tcPr>
            <w:tcW w:w="77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0.094</w:t>
            </w: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p>
        </w:tc>
        <w:tc>
          <w:tcPr>
            <w:tcW w:w="120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Q3 vs Q1</w:t>
            </w:r>
          </w:p>
        </w:tc>
        <w:tc>
          <w:tcPr>
            <w:tcW w:w="95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1.764 (1.324–2.350)</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1.477 (1.287–1.695)</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1.293 (1.107–1.512)</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1.170 (0.919–1.489)</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8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−0.0912</w:t>
            </w:r>
          </w:p>
        </w:tc>
        <w:tc>
          <w:tcPr>
            <w:tcW w:w="77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0.083</w:t>
            </w: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p>
        </w:tc>
        <w:tc>
          <w:tcPr>
            <w:tcW w:w="120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Q4 vs Q1</w:t>
            </w:r>
          </w:p>
        </w:tc>
        <w:tc>
          <w:tcPr>
            <w:tcW w:w="95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3.493 (2.627–4.645)</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2.443 (2.129–2.803)</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1.870 (1.587–2.203)</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1.528 (1.187–1.967)</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8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−0.1838</w:t>
            </w:r>
          </w:p>
        </w:tc>
        <w:tc>
          <w:tcPr>
            <w:tcW w:w="77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p>
        </w:tc>
        <w:tc>
          <w:tcPr>
            <w:tcW w:w="1205" w:type="dxa"/>
            <w:vAlign w:val="center"/>
          </w:tcPr>
          <w:p w:rsidR="00F0275A" w:rsidRPr="00581447" w:rsidRDefault="00F0275A" w:rsidP="00F0275A">
            <w:pPr>
              <w:rPr>
                <w:rFonts w:ascii="Times New Roman" w:hAnsi="Times New Roman" w:cs="Times New Roman"/>
              </w:rPr>
            </w:pPr>
          </w:p>
        </w:tc>
        <w:tc>
          <w:tcPr>
            <w:tcW w:w="950" w:type="dxa"/>
            <w:vAlign w:val="center"/>
          </w:tcPr>
          <w:p w:rsidR="00F0275A" w:rsidRPr="00581447" w:rsidRDefault="00F0275A" w:rsidP="00F0275A">
            <w:pPr>
              <w:rPr>
                <w:rFonts w:ascii="Times New Roman" w:hAnsi="Times New Roman" w:cs="Times New Roman"/>
              </w:rPr>
            </w:pPr>
          </w:p>
        </w:tc>
        <w:tc>
          <w:tcPr>
            <w:tcW w:w="840" w:type="dxa"/>
            <w:vAlign w:val="center"/>
          </w:tcPr>
          <w:p w:rsidR="00F0275A" w:rsidRPr="00581447" w:rsidRDefault="00F0275A" w:rsidP="00F0275A">
            <w:pPr>
              <w:rPr>
                <w:rFonts w:ascii="Times New Roman" w:hAnsi="Times New Roman" w:cs="Times New Roman"/>
              </w:rPr>
            </w:pPr>
          </w:p>
        </w:tc>
        <w:tc>
          <w:tcPr>
            <w:tcW w:w="840" w:type="dxa"/>
            <w:vAlign w:val="center"/>
          </w:tcPr>
          <w:p w:rsidR="00F0275A" w:rsidRPr="00581447" w:rsidRDefault="00F0275A" w:rsidP="00F0275A">
            <w:pPr>
              <w:rPr>
                <w:rFonts w:ascii="Times New Roman" w:hAnsi="Times New Roman" w:cs="Times New Roman"/>
              </w:rPr>
            </w:pPr>
          </w:p>
        </w:tc>
        <w:tc>
          <w:tcPr>
            <w:tcW w:w="840" w:type="dxa"/>
            <w:vAlign w:val="center"/>
          </w:tcPr>
          <w:p w:rsidR="00F0275A" w:rsidRPr="00581447" w:rsidRDefault="00F0275A" w:rsidP="00F0275A">
            <w:pPr>
              <w:rPr>
                <w:rFonts w:ascii="Times New Roman" w:hAnsi="Times New Roman" w:cs="Times New Roman"/>
              </w:rPr>
            </w:pPr>
          </w:p>
        </w:tc>
        <w:tc>
          <w:tcPr>
            <w:tcW w:w="840" w:type="dxa"/>
            <w:vAlign w:val="center"/>
          </w:tcPr>
          <w:p w:rsidR="00F0275A" w:rsidRPr="00581447" w:rsidRDefault="00F0275A" w:rsidP="00F0275A">
            <w:pPr>
              <w:rPr>
                <w:rFonts w:ascii="Times New Roman" w:hAnsi="Times New Roman" w:cs="Times New Roman"/>
              </w:rPr>
            </w:pPr>
          </w:p>
        </w:tc>
        <w:tc>
          <w:tcPr>
            <w:tcW w:w="881" w:type="dxa"/>
            <w:vAlign w:val="center"/>
          </w:tcPr>
          <w:p w:rsidR="00F0275A" w:rsidRPr="00581447" w:rsidRDefault="00F0275A" w:rsidP="00F0275A">
            <w:pPr>
              <w:rPr>
                <w:rFonts w:ascii="Times New Roman" w:hAnsi="Times New Roman" w:cs="Times New Roman"/>
              </w:rPr>
            </w:pPr>
          </w:p>
        </w:tc>
        <w:tc>
          <w:tcPr>
            <w:tcW w:w="779" w:type="dxa"/>
            <w:vAlign w:val="center"/>
          </w:tcPr>
          <w:p w:rsidR="00F0275A" w:rsidRPr="00581447" w:rsidRDefault="00F0275A" w:rsidP="00F0275A">
            <w:pPr>
              <w:rPr>
                <w:rFonts w:ascii="Times New Roman" w:hAnsi="Times New Roman" w:cs="Times New Roman"/>
              </w:rPr>
            </w:pP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120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Q2 vs Q1</w:t>
            </w:r>
          </w:p>
        </w:tc>
        <w:tc>
          <w:tcPr>
            <w:tcW w:w="95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1.395 (1.093–1.782)</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1.182 (1.027–1.359)</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1.043 (0.936–1.164)</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0.950 (0.829–1.089)</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0.843 (0.685–1.037)</w:t>
            </w:r>
          </w:p>
        </w:tc>
        <w:tc>
          <w:tcPr>
            <w:tcW w:w="88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−0.0855</w:t>
            </w:r>
          </w:p>
        </w:tc>
        <w:tc>
          <w:tcPr>
            <w:tcW w:w="77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0.012</w:t>
            </w:r>
          </w:p>
        </w:tc>
      </w:tr>
      <w:tr w:rsidR="00F0275A" w:rsidRPr="00581447" w:rsidTr="00F0275A">
        <w:tc>
          <w:tcPr>
            <w:tcW w:w="1121" w:type="dxa"/>
            <w:vAlign w:val="center"/>
          </w:tcPr>
          <w:p w:rsidR="00F0275A" w:rsidRPr="00581447" w:rsidRDefault="00F0275A" w:rsidP="00F0275A">
            <w:pPr>
              <w:rPr>
                <w:rFonts w:ascii="Times New Roman" w:hAnsi="Times New Roman" w:cs="Times New Roman"/>
              </w:rPr>
            </w:pPr>
          </w:p>
        </w:tc>
        <w:tc>
          <w:tcPr>
            <w:tcW w:w="120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Q3 vs Q1</w:t>
            </w:r>
          </w:p>
        </w:tc>
        <w:tc>
          <w:tcPr>
            <w:tcW w:w="95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1.685 (1.328–</w:t>
            </w:r>
            <w:r w:rsidRPr="00581447">
              <w:rPr>
                <w:rFonts w:ascii="Times New Roman" w:hAnsi="Times New Roman" w:cs="Times New Roman"/>
              </w:rPr>
              <w:lastRenderedPageBreak/>
              <w:t>2.138)</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1.468 (1.280–</w:t>
            </w:r>
            <w:r w:rsidRPr="00581447">
              <w:rPr>
                <w:rFonts w:ascii="Times New Roman" w:hAnsi="Times New Roman" w:cs="Times New Roman"/>
              </w:rPr>
              <w:lastRenderedPageBreak/>
              <w:t>1.683)</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1.324 (1.189–</w:t>
            </w:r>
            <w:r w:rsidRPr="00581447">
              <w:rPr>
                <w:rFonts w:ascii="Times New Roman" w:hAnsi="Times New Roman" w:cs="Times New Roman"/>
              </w:rPr>
              <w:lastRenderedPageBreak/>
              <w:t>1.474)</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1.225 (1.069–</w:t>
            </w:r>
            <w:r w:rsidRPr="00581447">
              <w:rPr>
                <w:rFonts w:ascii="Times New Roman" w:hAnsi="Times New Roman" w:cs="Times New Roman"/>
              </w:rPr>
              <w:lastRenderedPageBreak/>
              <w:t>1.402)</w:t>
            </w:r>
          </w:p>
        </w:tc>
        <w:tc>
          <w:tcPr>
            <w:tcW w:w="84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1.109 (0.903–</w:t>
            </w:r>
            <w:r w:rsidRPr="00581447">
              <w:rPr>
                <w:rFonts w:ascii="Times New Roman" w:hAnsi="Times New Roman" w:cs="Times New Roman"/>
              </w:rPr>
              <w:lastRenderedPageBreak/>
              <w:t>1.361)</w:t>
            </w:r>
          </w:p>
        </w:tc>
        <w:tc>
          <w:tcPr>
            <w:tcW w:w="881"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−0.0709</w:t>
            </w:r>
          </w:p>
        </w:tc>
        <w:tc>
          <w:tcPr>
            <w:tcW w:w="77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0.034</w:t>
            </w:r>
          </w:p>
        </w:tc>
      </w:tr>
      <w:tr w:rsidR="00F0275A" w:rsidRPr="00581447" w:rsidTr="00F0275A">
        <w:tc>
          <w:tcPr>
            <w:tcW w:w="1121" w:type="dxa"/>
            <w:tcBorders>
              <w:bottom w:val="single" w:sz="12" w:space="0" w:color="auto"/>
            </w:tcBorders>
            <w:vAlign w:val="center"/>
          </w:tcPr>
          <w:p w:rsidR="00F0275A" w:rsidRPr="00581447" w:rsidRDefault="00F0275A" w:rsidP="00F0275A">
            <w:pPr>
              <w:rPr>
                <w:rFonts w:ascii="Times New Roman" w:hAnsi="Times New Roman" w:cs="Times New Roman"/>
              </w:rPr>
            </w:pPr>
          </w:p>
        </w:tc>
        <w:tc>
          <w:tcPr>
            <w:tcW w:w="120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Q4 vs Q1</w:t>
            </w:r>
          </w:p>
        </w:tc>
        <w:tc>
          <w:tcPr>
            <w:tcW w:w="95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3.452 (2.718–4.385)</w:t>
            </w:r>
          </w:p>
        </w:tc>
        <w:tc>
          <w:tcPr>
            <w:tcW w:w="84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2.403 (2.097–2.752)</w:t>
            </w:r>
          </w:p>
        </w:tc>
        <w:tc>
          <w:tcPr>
            <w:tcW w:w="84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1.832 (1.632–2.057)</w:t>
            </w:r>
          </w:p>
        </w:tc>
        <w:tc>
          <w:tcPr>
            <w:tcW w:w="84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1.493 (1.282–1.738)</w:t>
            </w:r>
          </w:p>
        </w:tc>
        <w:tc>
          <w:tcPr>
            <w:tcW w:w="84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1.150 (0.915–1.446)</w:t>
            </w:r>
          </w:p>
        </w:tc>
        <w:tc>
          <w:tcPr>
            <w:tcW w:w="881"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−0.1863</w:t>
            </w:r>
          </w:p>
        </w:tc>
        <w:tc>
          <w:tcPr>
            <w:tcW w:w="779"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8296" w:type="dxa"/>
            <w:gridSpan w:val="9"/>
          </w:tcPr>
          <w:p w:rsidR="00F0275A" w:rsidRPr="00581447" w:rsidRDefault="00F0275A" w:rsidP="00F0275A">
            <w:pPr>
              <w:rPr>
                <w:rFonts w:ascii="Times New Roman" w:hAnsi="Times New Roman" w:cs="Times New Roman"/>
                <w:b/>
                <w:bCs/>
                <w:sz w:val="13"/>
                <w:szCs w:val="13"/>
              </w:rPr>
            </w:pPr>
            <w:r w:rsidRPr="00581447">
              <w:rPr>
                <w:rFonts w:ascii="Times New Roman" w:hAnsi="Times New Roman" w:cs="Times New Roman"/>
                <w:bCs/>
                <w:sz w:val="13"/>
                <w:szCs w:val="13"/>
              </w:rPr>
              <w:t>Q1 is the reference category. Models are identical to M4 in</w:t>
            </w:r>
            <w:r w:rsidRPr="00581447">
              <w:rPr>
                <w:rFonts w:ascii="Times New Roman" w:hAnsi="Times New Roman" w:cs="Times New Roman"/>
                <w:b/>
                <w:bCs/>
                <w:sz w:val="13"/>
                <w:szCs w:val="13"/>
              </w:rPr>
              <w:t xml:space="preserve"> </w:t>
            </w:r>
            <w:bookmarkStart w:id="2" w:name="OLE_LINK9"/>
            <w:bookmarkStart w:id="3" w:name="OLE_LINK10"/>
            <w:r w:rsidRPr="00581447">
              <w:rPr>
                <w:rFonts w:ascii="Times New Roman" w:hAnsi="Times New Roman" w:cs="Times New Roman"/>
                <w:b/>
                <w:bCs/>
                <w:sz w:val="13"/>
                <w:szCs w:val="13"/>
              </w:rPr>
              <w:t>Supplementary Table 2</w:t>
            </w:r>
            <w:bookmarkEnd w:id="2"/>
            <w:bookmarkEnd w:id="3"/>
            <w:r w:rsidRPr="00581447">
              <w:rPr>
                <w:rFonts w:ascii="Times New Roman" w:hAnsi="Times New Roman" w:cs="Times New Roman"/>
                <w:b/>
                <w:bCs/>
                <w:sz w:val="13"/>
                <w:szCs w:val="13"/>
              </w:rPr>
              <w:t xml:space="preserve">, </w:t>
            </w:r>
            <w:r w:rsidRPr="00581447">
              <w:rPr>
                <w:rFonts w:ascii="Times New Roman" w:hAnsi="Times New Roman" w:cs="Times New Roman"/>
                <w:bCs/>
                <w:sz w:val="13"/>
                <w:szCs w:val="13"/>
              </w:rPr>
              <w:t>with the quartile indicators and SOFA-4 allowed a time-varying coefficient. γ is the time-varying coefficient of the contrast shown in that row (Q2, Q3 or Q4 versus Q1). Quartile cut-offs are given in</w:t>
            </w:r>
            <w:r w:rsidRPr="00581447">
              <w:rPr>
                <w:rFonts w:ascii="Times New Roman" w:hAnsi="Times New Roman" w:cs="Times New Roman"/>
                <w:b/>
                <w:bCs/>
                <w:sz w:val="13"/>
                <w:szCs w:val="13"/>
              </w:rPr>
              <w:t xml:space="preserve"> Supplementary Table 1.</w:t>
            </w:r>
          </w:p>
        </w:tc>
      </w:tr>
      <w:tr w:rsidR="00F0275A" w:rsidRPr="00581447" w:rsidTr="00F0275A">
        <w:tc>
          <w:tcPr>
            <w:tcW w:w="1121" w:type="dxa"/>
            <w:tcBorders>
              <w:bottom w:val="single" w:sz="12" w:space="0" w:color="auto"/>
            </w:tcBorders>
          </w:tcPr>
          <w:p w:rsidR="00F0275A" w:rsidRPr="00581447" w:rsidRDefault="00F0275A" w:rsidP="00F0275A">
            <w:pPr>
              <w:rPr>
                <w:rFonts w:ascii="Times New Roman" w:hAnsi="Times New Roman" w:cs="Times New Roman"/>
                <w:b/>
                <w:bCs/>
              </w:rPr>
            </w:pPr>
          </w:p>
        </w:tc>
        <w:tc>
          <w:tcPr>
            <w:tcW w:w="1205" w:type="dxa"/>
            <w:tcBorders>
              <w:bottom w:val="single" w:sz="12" w:space="0" w:color="auto"/>
            </w:tcBorders>
          </w:tcPr>
          <w:p w:rsidR="00F0275A" w:rsidRPr="00581447" w:rsidRDefault="00F0275A" w:rsidP="00F0275A">
            <w:pPr>
              <w:rPr>
                <w:rFonts w:ascii="Times New Roman" w:hAnsi="Times New Roman" w:cs="Times New Roman"/>
                <w:b/>
                <w:bCs/>
              </w:rPr>
            </w:pPr>
          </w:p>
        </w:tc>
        <w:tc>
          <w:tcPr>
            <w:tcW w:w="950" w:type="dxa"/>
            <w:tcBorders>
              <w:bottom w:val="single" w:sz="12" w:space="0" w:color="auto"/>
            </w:tcBorders>
          </w:tcPr>
          <w:p w:rsidR="00F0275A" w:rsidRPr="00581447" w:rsidRDefault="00F0275A" w:rsidP="00F0275A">
            <w:pPr>
              <w:rPr>
                <w:rFonts w:ascii="Times New Roman" w:hAnsi="Times New Roman" w:cs="Times New Roman"/>
                <w:b/>
                <w:bCs/>
              </w:rPr>
            </w:pPr>
          </w:p>
        </w:tc>
        <w:tc>
          <w:tcPr>
            <w:tcW w:w="840" w:type="dxa"/>
          </w:tcPr>
          <w:p w:rsidR="00F0275A" w:rsidRPr="00581447" w:rsidRDefault="00F0275A" w:rsidP="00F0275A">
            <w:pPr>
              <w:rPr>
                <w:rFonts w:ascii="Times New Roman" w:hAnsi="Times New Roman" w:cs="Times New Roman"/>
                <w:b/>
                <w:bCs/>
              </w:rPr>
            </w:pPr>
          </w:p>
        </w:tc>
        <w:tc>
          <w:tcPr>
            <w:tcW w:w="840" w:type="dxa"/>
            <w:tcBorders>
              <w:bottom w:val="single" w:sz="12" w:space="0" w:color="auto"/>
            </w:tcBorders>
          </w:tcPr>
          <w:p w:rsidR="00F0275A" w:rsidRPr="00581447" w:rsidRDefault="00F0275A" w:rsidP="00F0275A">
            <w:pPr>
              <w:rPr>
                <w:rFonts w:ascii="Times New Roman" w:hAnsi="Times New Roman" w:cs="Times New Roman"/>
                <w:b/>
                <w:bCs/>
              </w:rPr>
            </w:pPr>
          </w:p>
        </w:tc>
        <w:tc>
          <w:tcPr>
            <w:tcW w:w="840" w:type="dxa"/>
            <w:tcBorders>
              <w:bottom w:val="single" w:sz="12" w:space="0" w:color="auto"/>
            </w:tcBorders>
          </w:tcPr>
          <w:p w:rsidR="00F0275A" w:rsidRPr="00581447" w:rsidRDefault="00F0275A" w:rsidP="00F0275A">
            <w:pPr>
              <w:rPr>
                <w:rFonts w:ascii="Times New Roman" w:hAnsi="Times New Roman" w:cs="Times New Roman"/>
                <w:b/>
                <w:bCs/>
              </w:rPr>
            </w:pPr>
          </w:p>
        </w:tc>
        <w:tc>
          <w:tcPr>
            <w:tcW w:w="840" w:type="dxa"/>
            <w:tcBorders>
              <w:bottom w:val="single" w:sz="12" w:space="0" w:color="auto"/>
            </w:tcBorders>
          </w:tcPr>
          <w:p w:rsidR="00F0275A" w:rsidRPr="00581447" w:rsidRDefault="00F0275A" w:rsidP="00F0275A">
            <w:pPr>
              <w:rPr>
                <w:rFonts w:ascii="Times New Roman" w:hAnsi="Times New Roman" w:cs="Times New Roman"/>
                <w:b/>
                <w:bCs/>
              </w:rPr>
            </w:pPr>
          </w:p>
        </w:tc>
        <w:tc>
          <w:tcPr>
            <w:tcW w:w="881" w:type="dxa"/>
            <w:tcBorders>
              <w:bottom w:val="single" w:sz="12" w:space="0" w:color="auto"/>
            </w:tcBorders>
          </w:tcPr>
          <w:p w:rsidR="00F0275A" w:rsidRPr="00581447" w:rsidRDefault="00F0275A" w:rsidP="00F0275A">
            <w:pPr>
              <w:rPr>
                <w:rFonts w:ascii="Times New Roman" w:hAnsi="Times New Roman" w:cs="Times New Roman"/>
                <w:b/>
                <w:bCs/>
              </w:rPr>
            </w:pPr>
          </w:p>
        </w:tc>
        <w:tc>
          <w:tcPr>
            <w:tcW w:w="779" w:type="dxa"/>
          </w:tcPr>
          <w:p w:rsidR="00F0275A" w:rsidRPr="00581447" w:rsidRDefault="00F0275A" w:rsidP="00F0275A">
            <w:pPr>
              <w:rPr>
                <w:rFonts w:ascii="Times New Roman" w:hAnsi="Times New Roman" w:cs="Times New Roman"/>
                <w:b/>
                <w:bCs/>
              </w:rPr>
            </w:pPr>
          </w:p>
        </w:tc>
      </w:tr>
      <w:tr w:rsidR="00F0275A" w:rsidRPr="00581447" w:rsidTr="00F0275A">
        <w:tc>
          <w:tcPr>
            <w:tcW w:w="2334" w:type="dxa"/>
            <w:gridSpan w:val="2"/>
            <w:tcBorders>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1798" w:type="dxa"/>
            <w:gridSpan w:val="2"/>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per one-quartile increase, 1 day</w:t>
            </w:r>
          </w:p>
        </w:tc>
        <w:tc>
          <w:tcPr>
            <w:tcW w:w="84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84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840"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881"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c>
          <w:tcPr>
            <w:tcW w:w="779"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r w:rsidRPr="00581447">
              <w:rPr>
                <w:rFonts w:ascii="Times New Roman" w:hAnsi="Times New Roman" w:cs="Times New Roman"/>
                <w:b/>
              </w:rPr>
              <w:t xml:space="preserve"> for trend</w:t>
            </w:r>
          </w:p>
        </w:tc>
      </w:tr>
      <w:tr w:rsidR="00F0275A" w:rsidRPr="00581447" w:rsidTr="00F0275A">
        <w:tc>
          <w:tcPr>
            <w:tcW w:w="2334" w:type="dxa"/>
            <w:gridSpan w:val="2"/>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1698" w:type="dxa"/>
            <w:gridSpan w:val="2"/>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1.397 (1.296–1.506)</w:t>
            </w:r>
          </w:p>
        </w:tc>
        <w:tc>
          <w:tcPr>
            <w:tcW w:w="83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1.257 (1.215–1.300)</w:t>
            </w:r>
          </w:p>
        </w:tc>
        <w:tc>
          <w:tcPr>
            <w:tcW w:w="83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1.161 (1.090–1.237)</w:t>
            </w:r>
          </w:p>
        </w:tc>
        <w:tc>
          <w:tcPr>
            <w:tcW w:w="83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877"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7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2374"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1698" w:type="dxa"/>
            <w:gridSpan w:val="2"/>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1.377 (1.290–1.469)</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1.262 (1.223–1.303)</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1.183 (1.137–1.231)</w:t>
            </w:r>
          </w:p>
        </w:tc>
        <w:tc>
          <w:tcPr>
            <w:tcW w:w="849"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1.126 (1.059–1.197)</w:t>
            </w:r>
          </w:p>
        </w:tc>
        <w:tc>
          <w:tcPr>
            <w:tcW w:w="890"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787"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2374" w:type="dxa"/>
            <w:gridSpan w:val="2"/>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365-day (secondary outcome)</w:t>
            </w:r>
          </w:p>
        </w:tc>
        <w:tc>
          <w:tcPr>
            <w:tcW w:w="1698" w:type="dxa"/>
            <w:gridSpan w:val="2"/>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1.375 (1.300–1.453)</w:t>
            </w:r>
          </w:p>
        </w:tc>
        <w:tc>
          <w:tcPr>
            <w:tcW w:w="849"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1.259 (1.220–1.299)</w:t>
            </w:r>
          </w:p>
        </w:tc>
        <w:tc>
          <w:tcPr>
            <w:tcW w:w="849"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1.178 (1.146–1.212)</w:t>
            </w:r>
          </w:p>
        </w:tc>
        <w:tc>
          <w:tcPr>
            <w:tcW w:w="849"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1.121 (1.080–1.164)</w:t>
            </w:r>
          </w:p>
        </w:tc>
        <w:tc>
          <w:tcPr>
            <w:tcW w:w="890"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1.052 (0.994–1.113)</w:t>
            </w:r>
          </w:p>
        </w:tc>
        <w:tc>
          <w:tcPr>
            <w:tcW w:w="787"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8296" w:type="dxa"/>
            <w:gridSpan w:val="9"/>
          </w:tcPr>
          <w:p w:rsidR="009E1B43" w:rsidRPr="00581447" w:rsidRDefault="009E1B43" w:rsidP="009E1B43">
            <w:pPr>
              <w:rPr>
                <w:rFonts w:ascii="Times New Roman" w:hAnsi="Times New Roman" w:cs="Times New Roman"/>
                <w:bCs/>
                <w:sz w:val="13"/>
                <w:szCs w:val="13"/>
              </w:rPr>
            </w:pPr>
            <w:r w:rsidRPr="00581447">
              <w:rPr>
                <w:rFonts w:ascii="Times New Roman" w:hAnsi="Times New Roman" w:cs="Times New Roman"/>
                <w:bCs/>
                <w:sz w:val="13"/>
                <w:szCs w:val="13"/>
              </w:rPr>
              <w:t>Trend was tested by entering the median log2(EASIX) of each quartile as a continuous variable.</w:t>
            </w:r>
          </w:p>
          <w:p w:rsidR="00F0275A" w:rsidRPr="00581447" w:rsidRDefault="009E1B43" w:rsidP="009E1B43">
            <w:pPr>
              <w:rPr>
                <w:rFonts w:ascii="Times New Roman" w:hAnsi="Times New Roman" w:cs="Times New Roman"/>
                <w:bCs/>
                <w:sz w:val="13"/>
                <w:szCs w:val="13"/>
              </w:rPr>
            </w:pPr>
            <w:r w:rsidRPr="00581447">
              <w:rPr>
                <w:rFonts w:ascii="Times New Roman" w:hAnsi="Times New Roman" w:cs="Times New Roman"/>
                <w:bCs/>
                <w:sz w:val="13"/>
                <w:szCs w:val="13"/>
              </w:rPr>
              <w:t>Abbreviations. CI, confidence interval; EASIX, Endothelial Activation and Stress Index; HR, hazard ratio; Q, quartile; SOFA, Sequential Organ Failure Assessment.</w:t>
            </w:r>
          </w:p>
        </w:tc>
      </w:tr>
    </w:tbl>
    <w:p w:rsidR="00F0275A" w:rsidRPr="00581447" w:rsidRDefault="00F0275A" w:rsidP="00F0275A">
      <w:pPr>
        <w:rPr>
          <w:rFonts w:ascii="Times New Roman" w:hAnsi="Times New Roman" w:cs="Times New Roman"/>
          <w:b/>
          <w:bCs/>
        </w:rPr>
      </w:pPr>
    </w:p>
    <w:p w:rsidR="00F0275A" w:rsidRDefault="00F0275A">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1372"/>
        <w:gridCol w:w="1135"/>
        <w:gridCol w:w="1197"/>
        <w:gridCol w:w="1135"/>
        <w:gridCol w:w="1152"/>
        <w:gridCol w:w="1136"/>
      </w:tblGrid>
      <w:tr w:rsidR="00F0275A" w:rsidRPr="00581447" w:rsidTr="00F0275A">
        <w:tc>
          <w:tcPr>
            <w:tcW w:w="8296" w:type="dxa"/>
            <w:gridSpan w:val="7"/>
          </w:tcPr>
          <w:p w:rsidR="00F0275A" w:rsidRPr="00581447" w:rsidRDefault="00F0275A">
            <w:pPr>
              <w:rPr>
                <w:rFonts w:ascii="Times New Roman" w:hAnsi="Times New Roman" w:cs="Times New Roman"/>
                <w:b/>
              </w:rPr>
            </w:pPr>
            <w:bookmarkStart w:id="4" w:name="OLE_LINK11"/>
            <w:bookmarkStart w:id="5" w:name="OLE_LINK12"/>
            <w:r w:rsidRPr="00581447">
              <w:rPr>
                <w:rFonts w:ascii="Times New Roman" w:hAnsi="Times New Roman" w:cs="Times New Roman"/>
                <w:b/>
              </w:rPr>
              <w:t>Supplementary Table 5</w:t>
            </w:r>
            <w:bookmarkEnd w:id="4"/>
            <w:bookmarkEnd w:id="5"/>
            <w:r w:rsidRPr="00581447">
              <w:rPr>
                <w:rFonts w:ascii="Times New Roman" w:hAnsi="Times New Roman" w:cs="Times New Roman"/>
                <w:b/>
              </w:rPr>
              <w:t>. Restricted cubic spline for EASIX (4 knots on the log2 scale, reference = median)</w:t>
            </w:r>
          </w:p>
        </w:tc>
      </w:tr>
      <w:tr w:rsidR="00F0275A" w:rsidRPr="00581447" w:rsidTr="00F0275A">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Outcome</w:t>
            </w:r>
          </w:p>
        </w:tc>
        <w:tc>
          <w:tcPr>
            <w:tcW w:w="1188"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n</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Events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Overall association χ² (df = 3)</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Non-linearity χ² (df = 2)</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t>P</w:t>
            </w:r>
          </w:p>
        </w:tc>
      </w:tr>
      <w:tr w:rsidR="00F0275A" w:rsidRPr="00581447" w:rsidTr="00F0275A">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30-day (primary outcome)</w:t>
            </w:r>
          </w:p>
        </w:tc>
        <w:tc>
          <w:tcPr>
            <w:tcW w:w="118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9,766</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2,278</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78.60</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12.24</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0.002</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90-day (secondary outcome)</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9,766</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2,938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96.03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12.83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0.002</w:t>
            </w:r>
          </w:p>
        </w:tc>
      </w:tr>
      <w:tr w:rsidR="00F0275A" w:rsidRPr="00581447" w:rsidTr="00F0275A">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 xml:space="preserve">365-day </w:t>
            </w:r>
            <w:r w:rsidRPr="00581447">
              <w:rPr>
                <w:rFonts w:ascii="Times New Roman" w:hAnsi="Times New Roman" w:cs="Times New Roman"/>
              </w:rPr>
              <w:lastRenderedPageBreak/>
              <w:t>(secondary outcome)</w:t>
            </w:r>
          </w:p>
        </w:tc>
        <w:tc>
          <w:tcPr>
            <w:tcW w:w="118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9,766</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3,802</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131.15</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15.09</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r>
      <w:tr w:rsidR="00F0275A" w:rsidRPr="00581447" w:rsidTr="00F0275A">
        <w:tc>
          <w:tcPr>
            <w:tcW w:w="1186" w:type="dxa"/>
            <w:tcBorders>
              <w:top w:val="single" w:sz="12" w:space="0" w:color="auto"/>
            </w:tcBorders>
          </w:tcPr>
          <w:p w:rsidR="00F0275A" w:rsidRPr="00581447" w:rsidRDefault="00F0275A" w:rsidP="00F0275A">
            <w:pPr>
              <w:rPr>
                <w:rFonts w:ascii="Times New Roman" w:hAnsi="Times New Roman" w:cs="Times New Roman"/>
              </w:rPr>
            </w:pPr>
          </w:p>
        </w:tc>
        <w:tc>
          <w:tcPr>
            <w:tcW w:w="1188"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r>
      <w:tr w:rsidR="00F0275A" w:rsidRPr="00581447" w:rsidTr="00F0275A">
        <w:tc>
          <w:tcPr>
            <w:tcW w:w="1186" w:type="dxa"/>
            <w:tcBorders>
              <w:bottom w:val="single" w:sz="12" w:space="0" w:color="auto"/>
            </w:tcBorders>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30-day</w:t>
            </w:r>
          </w:p>
        </w:tc>
        <w:tc>
          <w:tcPr>
            <w:tcW w:w="1188"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r>
      <w:tr w:rsidR="00F0275A" w:rsidRPr="00581447" w:rsidTr="00F0275A">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EASIX</w:t>
            </w:r>
          </w:p>
        </w:tc>
        <w:tc>
          <w:tcPr>
            <w:tcW w:w="1188"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log2(EASIX)</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r>
      <w:tr w:rsidR="00F0275A" w:rsidRPr="00581447" w:rsidTr="00F0275A">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0.458</w:t>
            </w:r>
          </w:p>
        </w:tc>
        <w:tc>
          <w:tcPr>
            <w:tcW w:w="118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−1.125</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0.424 (0.279–0.644)</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0.749 (0.636–0.882)</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1.146 (0.874–1.502)</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0.607</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−0.721</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0.496 (0.371–0.662)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0.744 (0.664–0.833)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1.007 (0.833–1.218)</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0.664 (0.588–0.749)</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0.770 (0.730–0.812)</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0.860 (0.784–0.945)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2.055</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1.039</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4.976</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2.315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1.526 (1.272–1.830)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1.516 (1.396–1.647)</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1.510 (1.298–1.755)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14.058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3.813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1.992 (1.573–2.521)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1.887 (1.695–2.100)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1.812 (1.488–2.206)</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28.807</w:t>
            </w:r>
          </w:p>
        </w:tc>
        <w:tc>
          <w:tcPr>
            <w:tcW w:w="118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4.848</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2.224 (1.736–2.851)</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2.002 (1.769–2.265)</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1.850 (1.477–2.319)</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tcBorders>
              <w:top w:val="single" w:sz="12" w:space="0" w:color="auto"/>
            </w:tcBorders>
          </w:tcPr>
          <w:p w:rsidR="00F0275A" w:rsidRPr="00581447" w:rsidRDefault="00F0275A" w:rsidP="00F0275A">
            <w:pPr>
              <w:rPr>
                <w:rFonts w:ascii="Times New Roman" w:hAnsi="Times New Roman" w:cs="Times New Roman"/>
              </w:rPr>
            </w:pPr>
          </w:p>
        </w:tc>
        <w:tc>
          <w:tcPr>
            <w:tcW w:w="1188"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r>
      <w:tr w:rsidR="00F0275A" w:rsidRPr="00581447" w:rsidTr="00F0275A">
        <w:tc>
          <w:tcPr>
            <w:tcW w:w="1186" w:type="dxa"/>
            <w:tcBorders>
              <w:bottom w:val="single" w:sz="12" w:space="0" w:color="auto"/>
            </w:tcBorders>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90-day</w:t>
            </w:r>
          </w:p>
        </w:tc>
        <w:tc>
          <w:tcPr>
            <w:tcW w:w="1188"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r>
      <w:tr w:rsidR="00F0275A" w:rsidRPr="00581447" w:rsidTr="00F0275A">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EASIX</w:t>
            </w:r>
          </w:p>
        </w:tc>
        <w:tc>
          <w:tcPr>
            <w:tcW w:w="1188"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log2(EASIX)</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r>
      <w:tr w:rsidR="00F0275A" w:rsidRPr="00581447" w:rsidTr="00F0275A">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0.458</w:t>
            </w:r>
          </w:p>
        </w:tc>
        <w:tc>
          <w:tcPr>
            <w:tcW w:w="118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−1.125</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0.573 (0.413–0.797)</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0.740 (0.632–0.865)</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0.895 (0.762–1.050)</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1.033 (0.804–1.327)</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0.607</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−0.721</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0.606 (0.482–0.762)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0.739 (0.662–0.824)</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0.857 (0.765–0.959)</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0.958 (0.803–1.142)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0.697 (0.630–0.772)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0.771 (0.734–0.810)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0.831 (0.784–0.881)</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0.880 (0.804–0.962)</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2.055</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1.039</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4.976</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2.315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 xml:space="preserve">1.629 </w:t>
            </w:r>
            <w:r w:rsidRPr="00581447">
              <w:rPr>
                <w:rFonts w:ascii="Times New Roman" w:hAnsi="Times New Roman" w:cs="Times New Roman"/>
              </w:rPr>
              <w:lastRenderedPageBreak/>
              <w:t>(1.392–1.908)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1.503 </w:t>
            </w:r>
            <w:r w:rsidRPr="00581447">
              <w:rPr>
                <w:rFonts w:ascii="Times New Roman" w:hAnsi="Times New Roman" w:cs="Times New Roman"/>
              </w:rPr>
              <w:lastRenderedPageBreak/>
              <w:t>(1.392–1.623)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1.415 </w:t>
            </w:r>
            <w:r w:rsidRPr="00581447">
              <w:rPr>
                <w:rFonts w:ascii="Times New Roman" w:hAnsi="Times New Roman" w:cs="Times New Roman"/>
              </w:rPr>
              <w:lastRenderedPageBreak/>
              <w:t>(1.287–1.556)</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 xml:space="preserve">1.352 </w:t>
            </w:r>
            <w:r w:rsidRPr="00581447">
              <w:rPr>
                <w:rFonts w:ascii="Times New Roman" w:hAnsi="Times New Roman" w:cs="Times New Roman"/>
              </w:rPr>
              <w:lastRenderedPageBreak/>
              <w:t>(1.169–1.563)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14.058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3.813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2.167 (1.766–2.657)</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1.872 (1.695–2.068)</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1.678 (1.482–1.900)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1.545 (1.277–1.870)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28.807</w:t>
            </w:r>
          </w:p>
        </w:tc>
        <w:tc>
          <w:tcPr>
            <w:tcW w:w="118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4.848</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2.396 (1.923–2.985)</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1.996 (1.783–2.234)</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1.741 (1.497–2.024)</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1.570 (1.253–1.969)</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w:t>
            </w:r>
          </w:p>
        </w:tc>
      </w:tr>
      <w:tr w:rsidR="00F0275A" w:rsidRPr="00581447" w:rsidTr="00F0275A">
        <w:tc>
          <w:tcPr>
            <w:tcW w:w="1186" w:type="dxa"/>
            <w:tcBorders>
              <w:top w:val="single" w:sz="12" w:space="0" w:color="auto"/>
            </w:tcBorders>
          </w:tcPr>
          <w:p w:rsidR="00F0275A" w:rsidRPr="00581447" w:rsidRDefault="00F0275A" w:rsidP="00F0275A">
            <w:pPr>
              <w:rPr>
                <w:rFonts w:ascii="Times New Roman" w:hAnsi="Times New Roman" w:cs="Times New Roman"/>
              </w:rPr>
            </w:pPr>
          </w:p>
        </w:tc>
        <w:tc>
          <w:tcPr>
            <w:tcW w:w="1188"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4" w:type="dxa"/>
            <w:tcBorders>
              <w:top w:val="single" w:sz="12" w:space="0" w:color="auto"/>
            </w:tcBorders>
          </w:tcPr>
          <w:p w:rsidR="00F0275A" w:rsidRPr="00581447" w:rsidRDefault="00F0275A" w:rsidP="00F0275A">
            <w:pPr>
              <w:rPr>
                <w:rFonts w:ascii="Times New Roman" w:hAnsi="Times New Roman" w:cs="Times New Roman"/>
              </w:rPr>
            </w:pPr>
          </w:p>
        </w:tc>
        <w:tc>
          <w:tcPr>
            <w:tcW w:w="1185" w:type="dxa"/>
            <w:tcBorders>
              <w:top w:val="single" w:sz="12" w:space="0" w:color="auto"/>
            </w:tcBorders>
          </w:tcPr>
          <w:p w:rsidR="00F0275A" w:rsidRPr="00581447" w:rsidRDefault="00F0275A" w:rsidP="00F0275A">
            <w:pPr>
              <w:rPr>
                <w:rFonts w:ascii="Times New Roman" w:hAnsi="Times New Roman" w:cs="Times New Roman"/>
              </w:rPr>
            </w:pPr>
          </w:p>
        </w:tc>
      </w:tr>
      <w:tr w:rsidR="00F0275A" w:rsidRPr="00581447" w:rsidTr="00F0275A">
        <w:tc>
          <w:tcPr>
            <w:tcW w:w="1186" w:type="dxa"/>
            <w:tcBorders>
              <w:bottom w:val="single" w:sz="12" w:space="0" w:color="auto"/>
            </w:tcBorders>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365-day</w:t>
            </w:r>
          </w:p>
        </w:tc>
        <w:tc>
          <w:tcPr>
            <w:tcW w:w="1188"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4" w:type="dxa"/>
            <w:tcBorders>
              <w:bottom w:val="single" w:sz="12" w:space="0" w:color="auto"/>
            </w:tcBorders>
          </w:tcPr>
          <w:p w:rsidR="00F0275A" w:rsidRPr="00581447" w:rsidRDefault="00F0275A" w:rsidP="00F0275A">
            <w:pPr>
              <w:rPr>
                <w:rFonts w:ascii="Times New Roman" w:hAnsi="Times New Roman" w:cs="Times New Roman"/>
                <w:b/>
              </w:rPr>
            </w:pPr>
          </w:p>
        </w:tc>
        <w:tc>
          <w:tcPr>
            <w:tcW w:w="1185" w:type="dxa"/>
            <w:tcBorders>
              <w:bottom w:val="single" w:sz="12" w:space="0" w:color="auto"/>
            </w:tcBorders>
          </w:tcPr>
          <w:p w:rsidR="00F0275A" w:rsidRPr="00581447" w:rsidRDefault="00F0275A" w:rsidP="00F0275A">
            <w:pPr>
              <w:rPr>
                <w:rFonts w:ascii="Times New Roman" w:hAnsi="Times New Roman" w:cs="Times New Roman"/>
                <w:b/>
              </w:rPr>
            </w:pPr>
          </w:p>
        </w:tc>
      </w:tr>
      <w:tr w:rsidR="00F0275A" w:rsidRPr="00581447" w:rsidTr="00F0275A">
        <w:tc>
          <w:tcPr>
            <w:tcW w:w="1186"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EASIX</w:t>
            </w:r>
          </w:p>
        </w:tc>
        <w:tc>
          <w:tcPr>
            <w:tcW w:w="1188"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log2(EASIX)</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HR (95% CI), 1 day</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7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30 days</w:t>
            </w:r>
          </w:p>
        </w:tc>
        <w:tc>
          <w:tcPr>
            <w:tcW w:w="1184"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90 days</w:t>
            </w:r>
          </w:p>
        </w:tc>
        <w:tc>
          <w:tcPr>
            <w:tcW w:w="1185" w:type="dxa"/>
            <w:tcBorders>
              <w:top w:val="single" w:sz="12" w:space="0" w:color="auto"/>
              <w:bottom w:val="single" w:sz="12" w:space="0" w:color="auto"/>
            </w:tcBorders>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365 days</w:t>
            </w:r>
          </w:p>
        </w:tc>
      </w:tr>
      <w:tr w:rsidR="00F0275A" w:rsidRPr="00581447" w:rsidTr="00F0275A">
        <w:tc>
          <w:tcPr>
            <w:tcW w:w="1186"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0.458</w:t>
            </w:r>
          </w:p>
        </w:tc>
        <w:tc>
          <w:tcPr>
            <w:tcW w:w="1188"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−1.125</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0.591 (0.452–0.773)</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0.747 (0.641–0.872)</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0.891 (0.796–0.997)</w:t>
            </w:r>
          </w:p>
        </w:tc>
        <w:tc>
          <w:tcPr>
            <w:tcW w:w="1184"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1.017 (0.888–1.164)</w:t>
            </w:r>
          </w:p>
        </w:tc>
        <w:tc>
          <w:tcPr>
            <w:tcW w:w="1185" w:type="dxa"/>
            <w:tcBorders>
              <w:top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1.204 (0.978–1.482)</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0.607</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−0.721</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0.619 (0.514–0.746)</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0.744 (0.669–0.829)</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0.854 (0.789–0.925)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0.947 (0.860–1.043)</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1.081 (0.933–1.253)</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0.025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0.703 (0.646–0.765)</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0.773 (0.737–0.812)</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0.831 (0.797–0.866)</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0.876 (0.831–0.925)</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0.939 (0.866–1.017)</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2.055</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1.039</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1.000 (1.000–1.000)</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4.976</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2.315</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1.634 (1.429–1.868)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1.500 (1.390–1.618)</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1.406 (1.317–1.502)</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1.340 (1.229–1.461)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1.260 (1.106–1.435)</w:t>
            </w:r>
          </w:p>
        </w:tc>
      </w:tr>
      <w:tr w:rsidR="00F0275A" w:rsidRPr="00581447" w:rsidTr="00F0275A">
        <w:tc>
          <w:tcPr>
            <w:tcW w:w="1186"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14.058</w:t>
            </w:r>
          </w:p>
        </w:tc>
        <w:tc>
          <w:tcPr>
            <w:tcW w:w="1188"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3.813</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2.194 (1.844–2.611)</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1.856 (1.682–2.048)</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1.638 (1.500–1.790)</w:t>
            </w:r>
          </w:p>
        </w:tc>
        <w:tc>
          <w:tcPr>
            <w:tcW w:w="1184"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1.491 (1.324–1.678)</w:t>
            </w:r>
          </w:p>
        </w:tc>
        <w:tc>
          <w:tcPr>
            <w:tcW w:w="1185" w:type="dxa"/>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1.322 (1.107–1.578)</w:t>
            </w:r>
          </w:p>
        </w:tc>
      </w:tr>
      <w:tr w:rsidR="00F0275A" w:rsidRPr="00581447" w:rsidTr="00F0275A">
        <w:tc>
          <w:tcPr>
            <w:tcW w:w="1186"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28.807</w:t>
            </w:r>
          </w:p>
        </w:tc>
        <w:tc>
          <w:tcPr>
            <w:tcW w:w="1188"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4.848</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2.447 (2.020–2.964)</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1.968 (1.763–2.198)</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1.673 (1.495–1.871)</w:t>
            </w:r>
          </w:p>
        </w:tc>
        <w:tc>
          <w:tcPr>
            <w:tcW w:w="1184"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1.479 (1.269–1.724)</w:t>
            </w:r>
          </w:p>
        </w:tc>
        <w:tc>
          <w:tcPr>
            <w:tcW w:w="1185" w:type="dxa"/>
            <w:tcBorders>
              <w:bottom w:val="single" w:sz="12" w:space="0" w:color="auto"/>
            </w:tcBorders>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1.265 (1.010–1.584)</w:t>
            </w:r>
          </w:p>
        </w:tc>
      </w:tr>
      <w:tr w:rsidR="00F0275A" w:rsidRPr="00581447" w:rsidTr="00F0275A">
        <w:tc>
          <w:tcPr>
            <w:tcW w:w="8296" w:type="dxa"/>
            <w:gridSpan w:val="7"/>
          </w:tcPr>
          <w:p w:rsidR="009E1B43"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Knots were placed at the 5th, 35th, 65th and 95th percentiles of log2(EASIX) (log2 = −1.125, 0.419, 1.734 and 4.848; EASIX = 0.458, 1.337, 3.326 and 28.807). The reference was the median log2(EASIX) = 1.039 (EASIX = 2.055). All three spline terms were allowed a time-varying coefficient (× ln t). The rows tabulated are selected points across the observed range for display; they are not the knots, and only the reference row has a hazard ratio of exactly 1.</w:t>
            </w:r>
          </w:p>
          <w:p w:rsidR="00F0275A" w:rsidRPr="00581447" w:rsidRDefault="009E1B43" w:rsidP="009E1B43">
            <w:pPr>
              <w:rPr>
                <w:rFonts w:ascii="Times New Roman" w:hAnsi="Times New Roman" w:cs="Times New Roman"/>
                <w:sz w:val="13"/>
                <w:szCs w:val="13"/>
              </w:rPr>
            </w:pPr>
            <w:r w:rsidRPr="00581447">
              <w:rPr>
                <w:rFonts w:ascii="Times New Roman" w:hAnsi="Times New Roman" w:cs="Times New Roman"/>
                <w:sz w:val="13"/>
                <w:szCs w:val="13"/>
              </w:rPr>
              <w:t>Abbreviations. CI, confidence interval; df, degrees of freedom; EASIX, Endothelial Activation and Stress Index; HR, hazard ratio.</w:t>
            </w:r>
          </w:p>
        </w:tc>
      </w:tr>
    </w:tbl>
    <w:p w:rsidR="00F0275A" w:rsidRPr="00581447" w:rsidRDefault="00F0275A">
      <w:pPr>
        <w:rPr>
          <w:rFonts w:ascii="Times New Roman" w:hAnsi="Times New Roman" w:cs="Times New Roman"/>
        </w:rPr>
      </w:pPr>
    </w:p>
    <w:p w:rsidR="00F0275A" w:rsidRDefault="00F0275A">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
        <w:gridCol w:w="744"/>
        <w:gridCol w:w="550"/>
        <w:gridCol w:w="645"/>
        <w:gridCol w:w="674"/>
        <w:gridCol w:w="645"/>
        <w:gridCol w:w="674"/>
        <w:gridCol w:w="645"/>
        <w:gridCol w:w="674"/>
        <w:gridCol w:w="946"/>
        <w:gridCol w:w="634"/>
        <w:gridCol w:w="550"/>
      </w:tblGrid>
      <w:tr w:rsidR="00F0275A" w:rsidRPr="00581447" w:rsidTr="00F0275A">
        <w:tc>
          <w:tcPr>
            <w:tcW w:w="8296" w:type="dxa"/>
            <w:gridSpan w:val="12"/>
            <w:shd w:val="clear" w:color="auto" w:fill="auto"/>
          </w:tcPr>
          <w:p w:rsidR="00F0275A" w:rsidRPr="00581447" w:rsidRDefault="00F0275A">
            <w:pPr>
              <w:rPr>
                <w:rFonts w:ascii="Times New Roman" w:hAnsi="Times New Roman" w:cs="Times New Roman"/>
                <w:b/>
              </w:rPr>
            </w:pPr>
            <w:bookmarkStart w:id="6" w:name="OLE_LINK13"/>
            <w:bookmarkStart w:id="7" w:name="OLE_LINK14"/>
            <w:r w:rsidRPr="00581447">
              <w:rPr>
                <w:rFonts w:ascii="Times New Roman" w:hAnsi="Times New Roman" w:cs="Times New Roman"/>
                <w:b/>
              </w:rPr>
              <w:t>Supplementary Table</w:t>
            </w:r>
            <w:bookmarkEnd w:id="6"/>
            <w:bookmarkEnd w:id="7"/>
            <w:r w:rsidRPr="00581447">
              <w:rPr>
                <w:rFonts w:ascii="Times New Roman" w:hAnsi="Times New Roman" w:cs="Times New Roman"/>
                <w:b/>
              </w:rPr>
              <w:t xml:space="preserve"> 6. Subgroup analyses</w:t>
            </w:r>
          </w:p>
        </w:tc>
      </w:tr>
      <w:tr w:rsidR="00F0275A" w:rsidRPr="00581447" w:rsidTr="00F0275A">
        <w:tc>
          <w:tcPr>
            <w:tcW w:w="93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Subgro</w:t>
            </w:r>
            <w:r w:rsidRPr="00581447">
              <w:rPr>
                <w:rFonts w:ascii="Times New Roman" w:hAnsi="Times New Roman" w:cs="Times New Roman"/>
                <w:b/>
              </w:rPr>
              <w:lastRenderedPageBreak/>
              <w:t>up</w:t>
            </w:r>
          </w:p>
        </w:tc>
        <w:tc>
          <w:tcPr>
            <w:tcW w:w="716"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Strat</w:t>
            </w:r>
            <w:r w:rsidRPr="00581447">
              <w:rPr>
                <w:rFonts w:ascii="Times New Roman" w:hAnsi="Times New Roman" w:cs="Times New Roman"/>
                <w:b/>
              </w:rPr>
              <w:lastRenderedPageBreak/>
              <w:t>um</w:t>
            </w:r>
          </w:p>
        </w:tc>
        <w:tc>
          <w:tcPr>
            <w:tcW w:w="566"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lastRenderedPageBreak/>
              <w:t>n</w:t>
            </w:r>
          </w:p>
        </w:tc>
        <w:tc>
          <w:tcPr>
            <w:tcW w:w="62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Eve</w:t>
            </w:r>
            <w:r w:rsidRPr="00581447">
              <w:rPr>
                <w:rFonts w:ascii="Times New Roman" w:hAnsi="Times New Roman" w:cs="Times New Roman"/>
                <w:b/>
              </w:rPr>
              <w:lastRenderedPageBreak/>
              <w:t>nts (30 d)</w:t>
            </w:r>
          </w:p>
        </w:tc>
        <w:tc>
          <w:tcPr>
            <w:tcW w:w="690"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 xml:space="preserve">HR </w:t>
            </w:r>
            <w:r w:rsidRPr="00581447">
              <w:rPr>
                <w:rFonts w:ascii="Times New Roman" w:hAnsi="Times New Roman" w:cs="Times New Roman"/>
                <w:b/>
              </w:rPr>
              <w:lastRenderedPageBreak/>
              <w:t>(95% CI), 30 d</w:t>
            </w:r>
          </w:p>
        </w:tc>
        <w:tc>
          <w:tcPr>
            <w:tcW w:w="62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Eve</w:t>
            </w:r>
            <w:r w:rsidRPr="00581447">
              <w:rPr>
                <w:rFonts w:ascii="Times New Roman" w:hAnsi="Times New Roman" w:cs="Times New Roman"/>
                <w:b/>
              </w:rPr>
              <w:lastRenderedPageBreak/>
              <w:t>nts (90 d)</w:t>
            </w:r>
          </w:p>
        </w:tc>
        <w:tc>
          <w:tcPr>
            <w:tcW w:w="690"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 xml:space="preserve">HR </w:t>
            </w:r>
            <w:r w:rsidRPr="00581447">
              <w:rPr>
                <w:rFonts w:ascii="Times New Roman" w:hAnsi="Times New Roman" w:cs="Times New Roman"/>
                <w:b/>
              </w:rPr>
              <w:lastRenderedPageBreak/>
              <w:t>(95% CI), 90 d</w:t>
            </w:r>
          </w:p>
        </w:tc>
        <w:tc>
          <w:tcPr>
            <w:tcW w:w="62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Eve</w:t>
            </w:r>
            <w:r w:rsidRPr="00581447">
              <w:rPr>
                <w:rFonts w:ascii="Times New Roman" w:hAnsi="Times New Roman" w:cs="Times New Roman"/>
                <w:b/>
              </w:rPr>
              <w:lastRenderedPageBreak/>
              <w:t>nts (365 d)</w:t>
            </w:r>
          </w:p>
        </w:tc>
        <w:tc>
          <w:tcPr>
            <w:tcW w:w="690"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 xml:space="preserve">HR </w:t>
            </w:r>
            <w:r w:rsidRPr="00581447">
              <w:rPr>
                <w:rFonts w:ascii="Times New Roman" w:hAnsi="Times New Roman" w:cs="Times New Roman"/>
                <w:b/>
              </w:rPr>
              <w:lastRenderedPageBreak/>
              <w:t>(95% CI), 365 d</w:t>
            </w:r>
          </w:p>
        </w:tc>
        <w:tc>
          <w:tcPr>
            <w:tcW w:w="93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i/>
                <w:iCs/>
              </w:rPr>
              <w:lastRenderedPageBreak/>
              <w:t>P</w:t>
            </w:r>
            <w:r w:rsidRPr="00581447">
              <w:rPr>
                <w:rFonts w:ascii="Times New Roman" w:hAnsi="Times New Roman" w:cs="Times New Roman"/>
                <w:b/>
              </w:rPr>
              <w:t xml:space="preserve"> for </w:t>
            </w:r>
            <w:r w:rsidRPr="00581447">
              <w:rPr>
                <w:rFonts w:ascii="Times New Roman" w:hAnsi="Times New Roman" w:cs="Times New Roman"/>
                <w:b/>
              </w:rPr>
              <w:lastRenderedPageBreak/>
              <w:t>interaction, 30 d</w:t>
            </w:r>
          </w:p>
        </w:tc>
        <w:tc>
          <w:tcPr>
            <w:tcW w:w="643"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lastRenderedPageBreak/>
              <w:t>90 d</w:t>
            </w:r>
          </w:p>
        </w:tc>
        <w:tc>
          <w:tcPr>
            <w:tcW w:w="566" w:type="dxa"/>
            <w:tcBorders>
              <w:top w:val="single" w:sz="12" w:space="0" w:color="auto"/>
              <w:bottom w:val="single" w:sz="12" w:space="0" w:color="auto"/>
            </w:tcBorders>
            <w:shd w:val="clear" w:color="auto" w:fill="auto"/>
            <w:vAlign w:val="center"/>
          </w:tcPr>
          <w:p w:rsidR="00F0275A" w:rsidRPr="00581447" w:rsidRDefault="00F0275A" w:rsidP="00F0275A">
            <w:pPr>
              <w:rPr>
                <w:rFonts w:ascii="Times New Roman" w:hAnsi="Times New Roman" w:cs="Times New Roman"/>
                <w:b/>
              </w:rPr>
            </w:pPr>
            <w:r w:rsidRPr="00581447">
              <w:rPr>
                <w:rFonts w:ascii="Times New Roman" w:hAnsi="Times New Roman" w:cs="Times New Roman"/>
                <w:b/>
              </w:rPr>
              <w:t xml:space="preserve">365 </w:t>
            </w:r>
            <w:r w:rsidRPr="00581447">
              <w:rPr>
                <w:rFonts w:ascii="Times New Roman" w:hAnsi="Times New Roman" w:cs="Times New Roman"/>
                <w:b/>
              </w:rPr>
              <w:lastRenderedPageBreak/>
              <w:t>d</w:t>
            </w:r>
          </w:p>
        </w:tc>
      </w:tr>
      <w:tr w:rsidR="00F0275A" w:rsidRPr="00581447" w:rsidTr="00F0275A">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Age</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&lt;65</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3,237</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520</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1.144 (1.069–1.224)</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666</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1.118 (1.044–1.198)</w:t>
            </w:r>
          </w:p>
        </w:tc>
        <w:tc>
          <w:tcPr>
            <w:tcW w:w="691"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866</w:t>
            </w:r>
          </w:p>
        </w:tc>
        <w:tc>
          <w:tcPr>
            <w:tcW w:w="692"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1.090 (1.021–1.163)</w:t>
            </w:r>
          </w:p>
        </w:tc>
        <w:tc>
          <w:tcPr>
            <w:tcW w:w="692"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0.713</w:t>
            </w:r>
          </w:p>
        </w:tc>
        <w:tc>
          <w:tcPr>
            <w:tcW w:w="692"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0.683</w:t>
            </w:r>
          </w:p>
        </w:tc>
        <w:tc>
          <w:tcPr>
            <w:tcW w:w="692" w:type="dxa"/>
            <w:tcBorders>
              <w:top w:val="single" w:sz="12" w:space="0" w:color="auto"/>
            </w:tcBorders>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0.099</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6,529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1,758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1.124 (1.064–1.186)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2,272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1.099 (1.043–1.159)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2,936</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1.014 (0.964–1.067)</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Sex</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Female</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4,072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1.120 (1.052–1.192)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1,276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1.103 (1.037–1.173)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1,662</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1.004 (0.946–1.067)</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0.698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0.962</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0.240</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Male</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5,694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1,277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1.140 (1.078–1.206)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1,662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1.108 (1.048–1.171)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2,140</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1.064 (1.009–1.122)</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Type 2 diabetes</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No</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6,307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1,487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1.158 (1.096–1.224)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1,890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1.126 (1.065–1.190)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2,387</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1.042 (0.986–1.101)</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0.276</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0.528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0.954</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Yes</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3,459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791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1.071 (0.986–1.163)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1.065 (0.983–1.154)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1,415</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1.032 (0.958–1.113)</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Heart failure</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No</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5,195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1,179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1.206 (1.13</w:t>
            </w:r>
            <w:r w:rsidRPr="00581447">
              <w:rPr>
                <w:rFonts w:ascii="Times New Roman" w:hAnsi="Times New Roman" w:cs="Times New Roman"/>
              </w:rPr>
              <w:lastRenderedPageBreak/>
              <w:t>6–1.279)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1,469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1.130 (1.06</w:t>
            </w:r>
            <w:r w:rsidRPr="00581447">
              <w:rPr>
                <w:rFonts w:ascii="Times New Roman" w:hAnsi="Times New Roman" w:cs="Times New Roman"/>
              </w:rPr>
              <w:lastRenderedPageBreak/>
              <w:t>3–1.202)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1,855</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1.048 (0.98</w:t>
            </w:r>
            <w:r w:rsidRPr="00581447">
              <w:rPr>
                <w:rFonts w:ascii="Times New Roman" w:hAnsi="Times New Roman" w:cs="Times New Roman"/>
              </w:rPr>
              <w:lastRenderedPageBreak/>
              <w:t>6–1.114)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0.003</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0.568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0.888</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Yes</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4,571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1.026 (0.954–1.104)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1,469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1.076 (1.004–1.153)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1,947</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1.029 (0.964–1.097)</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CKM stage</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4a</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8,889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2,020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1.134 (1.080–1.191)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2,609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1.121 (1.068–1.176)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3,353</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1.047 (1.000–1.097)</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0.079</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0.003</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0.004</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4b</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877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258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1.047 (0.893–1.229)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329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0.912 (0.774–1.076)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449</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0.928 (0.795–1.083)</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Malignancy</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No</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8,190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1,702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1.142 (1.080–1.207)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2,168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1.148 (1.085–1.215)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2,788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1.094 (1.037–1.155)</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0.039</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0.001</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Yes</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1,576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576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1.083 (0.995–1.179)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770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1.014 (0.935–1.099)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0.924 (0.853–1.001)</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Chronic liver disease</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No</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8,141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1,688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1.159 (1.098–1.224)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2,209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1.127 (1.069–1.188)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2,948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1.042 (0.991–1.095)</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0.132</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0.122</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0.261</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Yes</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1,625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590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1.067 (0.977–1.16</w:t>
            </w:r>
            <w:r w:rsidRPr="00581447">
              <w:rPr>
                <w:rFonts w:ascii="Times New Roman" w:hAnsi="Times New Roman" w:cs="Times New Roman"/>
              </w:rPr>
              <w:lastRenderedPageBreak/>
              <w:t>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729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1.048 (0.955–1.14</w:t>
            </w:r>
            <w:r w:rsidRPr="00581447">
              <w:rPr>
                <w:rFonts w:ascii="Times New Roman" w:hAnsi="Times New Roman" w:cs="Times New Roman"/>
              </w:rPr>
              <w:lastRenderedPageBreak/>
              <w:t>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854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1.027 (0.932–1.13</w:t>
            </w:r>
            <w:r w:rsidRPr="00581447">
              <w:rPr>
                <w:rFonts w:ascii="Times New Roman" w:hAnsi="Times New Roman" w:cs="Times New Roman"/>
              </w:rPr>
              <w:lastRenderedPageBreak/>
              <w:t>1)</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lastRenderedPageBreak/>
              <w:t>SOFA-4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4,847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644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1.213 (1.127–1.306)</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993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1.189 (1.113–1.271)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1,458</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1.038 (0.976–1.104)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&lt;0.001</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0.011</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&gt;3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4,919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1,634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1.089 (1.029–1.152)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1,945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1.040 (0.980–1.103)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2,344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1.026 (0.969–1.086)</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Admission era</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2008–2010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2,459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514</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1.121 (1.004–1.253)</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709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1.095 (0.995–1.205)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950</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1.012 (0.928–1.104)</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0.061</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0.106</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0.107</w:t>
            </w: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2011–2017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5,735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1,345</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1.145 (1.081–1.211)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1,708</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1.111 (1.048–1.177)</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2,200</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1.049 (0.990–1.111)</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691" w:type="dxa"/>
            <w:shd w:val="clear" w:color="auto" w:fill="auto"/>
            <w:vAlign w:val="center"/>
          </w:tcPr>
          <w:p w:rsidR="00F0275A" w:rsidRPr="00581447" w:rsidRDefault="00F0275A" w:rsidP="00F0275A">
            <w:pPr>
              <w:rPr>
                <w:rFonts w:ascii="Times New Roman" w:hAnsi="Times New Roman" w:cs="Times New Roman"/>
              </w:rPr>
            </w:pP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2018–2022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1,572</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419</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1.077 (0.967–1.200)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521</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1.093 (0.979–1.220)</w:t>
            </w:r>
          </w:p>
        </w:tc>
        <w:tc>
          <w:tcPr>
            <w:tcW w:w="691"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652</w:t>
            </w:r>
          </w:p>
        </w:tc>
        <w:tc>
          <w:tcPr>
            <w:tcW w:w="692" w:type="dxa"/>
            <w:shd w:val="clear" w:color="auto" w:fill="auto"/>
            <w:vAlign w:val="center"/>
          </w:tcPr>
          <w:p w:rsidR="00F0275A" w:rsidRPr="00581447" w:rsidRDefault="00F0275A" w:rsidP="00F0275A">
            <w:pPr>
              <w:rPr>
                <w:rFonts w:ascii="Times New Roman" w:hAnsi="Times New Roman" w:cs="Times New Roman"/>
              </w:rPr>
            </w:pPr>
            <w:r w:rsidRPr="00581447">
              <w:rPr>
                <w:rFonts w:ascii="Times New Roman" w:hAnsi="Times New Roman" w:cs="Times New Roman"/>
              </w:rPr>
              <w:t>1.034 (0.926–1.154)</w:t>
            </w: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c>
          <w:tcPr>
            <w:tcW w:w="692" w:type="dxa"/>
            <w:shd w:val="clear" w:color="auto" w:fill="auto"/>
            <w:vAlign w:val="center"/>
          </w:tcPr>
          <w:p w:rsidR="00F0275A" w:rsidRPr="00581447" w:rsidRDefault="00F0275A" w:rsidP="00F0275A">
            <w:pPr>
              <w:rPr>
                <w:rFonts w:ascii="Times New Roman" w:hAnsi="Times New Roman" w:cs="Times New Roman"/>
              </w:rPr>
            </w:pPr>
          </w:p>
        </w:tc>
      </w:tr>
      <w:tr w:rsidR="00F0275A" w:rsidRPr="00581447" w:rsidTr="00F0275A">
        <w:tc>
          <w:tcPr>
            <w:tcW w:w="8296" w:type="dxa"/>
            <w:gridSpan w:val="12"/>
            <w:tcBorders>
              <w:top w:val="single" w:sz="12" w:space="0" w:color="auto"/>
            </w:tcBorders>
            <w:shd w:val="clear" w:color="auto" w:fill="auto"/>
          </w:tcPr>
          <w:p w:rsidR="00506F02"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HRs are per doubling of EASIX within each subgroup, estimated at the time point corresponding to each outcome (30, 90 and 365 days), from M4 with an additiona</w:t>
            </w:r>
            <w:r w:rsidRPr="00581447">
              <w:rPr>
                <w:rFonts w:ascii="Times New Roman" w:hAnsi="Times New Roman" w:cs="Times New Roman"/>
                <w:sz w:val="13"/>
                <w:szCs w:val="13"/>
              </w:rPr>
              <w:t xml:space="preserve">l EASIX × subgroup interaction. </w:t>
            </w:r>
            <w:r w:rsidRPr="00581447">
              <w:rPr>
                <w:rFonts w:ascii="Times New Roman" w:hAnsi="Times New Roman" w:cs="Times New Roman"/>
                <w:sz w:val="13"/>
                <w:szCs w:val="13"/>
              </w:rPr>
              <w:t>P for interaction is from a joint likelihood ratio test including the main and time-varying interaction terms (2 df per dummy variable, 4 df for admission era), shown on the first row of each subgroup.</w:t>
            </w:r>
          </w:p>
          <w:p w:rsidR="00F0275A"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Abbreviations. CI, confidence interval; CKM, cardiovascular–kidney–metabolic; d, day(s); EASIX, Endothelial Activation and Stress Index; HR, hazard ratio; SOFA, Sequential Organ Failure Assessment.</w:t>
            </w:r>
          </w:p>
        </w:tc>
      </w:tr>
    </w:tbl>
    <w:p w:rsidR="00F0275A" w:rsidRPr="00581447" w:rsidRDefault="00F0275A">
      <w:pPr>
        <w:rPr>
          <w:rFonts w:ascii="Times New Roman" w:hAnsi="Times New Roman" w:cs="Times New Roman"/>
        </w:rPr>
      </w:pPr>
    </w:p>
    <w:p w:rsidR="0084732E" w:rsidRDefault="0084732E" w:rsidP="00F0275A">
      <w:pPr>
        <w:tabs>
          <w:tab w:val="left" w:pos="4797"/>
        </w:tabs>
        <w:rPr>
          <w:rFonts w:ascii="Times New Roman" w:hAnsi="Times New Roman" w:cs="Times New Roman"/>
        </w:rPr>
      </w:pPr>
    </w:p>
    <w:p w:rsidR="00581447" w:rsidRDefault="00581447" w:rsidP="00F0275A">
      <w:pPr>
        <w:tabs>
          <w:tab w:val="left" w:pos="4797"/>
        </w:tabs>
        <w:rPr>
          <w:rFonts w:ascii="Times New Roman" w:hAnsi="Times New Roman" w:cs="Times New Roman"/>
        </w:rPr>
      </w:pPr>
    </w:p>
    <w:p w:rsidR="00581447" w:rsidRDefault="00581447" w:rsidP="00F0275A">
      <w:pPr>
        <w:tabs>
          <w:tab w:val="left" w:pos="4797"/>
        </w:tabs>
        <w:rPr>
          <w:rFonts w:ascii="Times New Roman" w:hAnsi="Times New Roman" w:cs="Times New Roman"/>
        </w:rPr>
      </w:pPr>
    </w:p>
    <w:p w:rsidR="00581447" w:rsidRPr="00581447" w:rsidRDefault="00581447" w:rsidP="00F0275A">
      <w:pPr>
        <w:tabs>
          <w:tab w:val="left" w:pos="4797"/>
        </w:tabs>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
        <w:gridCol w:w="1292"/>
        <w:gridCol w:w="845"/>
        <w:gridCol w:w="845"/>
        <w:gridCol w:w="845"/>
        <w:gridCol w:w="845"/>
        <w:gridCol w:w="845"/>
        <w:gridCol w:w="891"/>
        <w:gridCol w:w="789"/>
      </w:tblGrid>
      <w:tr w:rsidR="0084732E" w:rsidRPr="00581447" w:rsidTr="0084732E">
        <w:tc>
          <w:tcPr>
            <w:tcW w:w="8306" w:type="dxa"/>
            <w:gridSpan w:val="9"/>
          </w:tcPr>
          <w:p w:rsidR="0084732E" w:rsidRPr="00581447" w:rsidRDefault="0084732E">
            <w:pPr>
              <w:rPr>
                <w:rFonts w:ascii="Times New Roman" w:hAnsi="Times New Roman" w:cs="Times New Roman"/>
                <w:b/>
              </w:rPr>
            </w:pPr>
            <w:r w:rsidRPr="00581447">
              <w:rPr>
                <w:rFonts w:ascii="Times New Roman" w:hAnsi="Times New Roman" w:cs="Times New Roman"/>
                <w:b/>
              </w:rPr>
              <w:t>Supplementary Table 7. EASIX quartiles and all-cause mortality within the type 2 diabetes subgroup (n = 3,459)</w:t>
            </w:r>
          </w:p>
        </w:tc>
      </w:tr>
      <w:tr w:rsidR="0084732E" w:rsidRPr="00581447" w:rsidTr="0084732E">
        <w:tc>
          <w:tcPr>
            <w:tcW w:w="1136"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Outcome</w:t>
            </w:r>
          </w:p>
        </w:tc>
        <w:tc>
          <w:tcPr>
            <w:tcW w:w="1241"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Compariso</w:t>
            </w:r>
            <w:r w:rsidRPr="00581447">
              <w:rPr>
                <w:rFonts w:ascii="Times New Roman" w:hAnsi="Times New Roman" w:cs="Times New Roman"/>
                <w:b/>
              </w:rPr>
              <w:lastRenderedPageBreak/>
              <w:t>n</w:t>
            </w:r>
          </w:p>
        </w:tc>
        <w:tc>
          <w:tcPr>
            <w:tcW w:w="85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 xml:space="preserve">HR </w:t>
            </w:r>
            <w:r w:rsidRPr="00581447">
              <w:rPr>
                <w:rFonts w:ascii="Times New Roman" w:hAnsi="Times New Roman" w:cs="Times New Roman"/>
                <w:b/>
              </w:rPr>
              <w:lastRenderedPageBreak/>
              <w:t>(95% CI), 1 day</w:t>
            </w:r>
          </w:p>
        </w:tc>
        <w:tc>
          <w:tcPr>
            <w:tcW w:w="85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7 days</w:t>
            </w:r>
          </w:p>
        </w:tc>
        <w:tc>
          <w:tcPr>
            <w:tcW w:w="85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 xml:space="preserve">30 </w:t>
            </w:r>
            <w:r w:rsidRPr="00581447">
              <w:rPr>
                <w:rFonts w:ascii="Times New Roman" w:hAnsi="Times New Roman" w:cs="Times New Roman"/>
                <w:b/>
              </w:rPr>
              <w:lastRenderedPageBreak/>
              <w:t>days</w:t>
            </w:r>
          </w:p>
        </w:tc>
        <w:tc>
          <w:tcPr>
            <w:tcW w:w="85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 xml:space="preserve">90 </w:t>
            </w:r>
            <w:r w:rsidRPr="00581447">
              <w:rPr>
                <w:rFonts w:ascii="Times New Roman" w:hAnsi="Times New Roman" w:cs="Times New Roman"/>
                <w:b/>
              </w:rPr>
              <w:lastRenderedPageBreak/>
              <w:t>days</w:t>
            </w:r>
          </w:p>
        </w:tc>
        <w:tc>
          <w:tcPr>
            <w:tcW w:w="85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 xml:space="preserve">365 </w:t>
            </w:r>
            <w:r w:rsidRPr="00581447">
              <w:rPr>
                <w:rFonts w:ascii="Times New Roman" w:hAnsi="Times New Roman" w:cs="Times New Roman"/>
                <w:b/>
              </w:rPr>
              <w:lastRenderedPageBreak/>
              <w:t>days</w:t>
            </w:r>
          </w:p>
        </w:tc>
        <w:tc>
          <w:tcPr>
            <w:tcW w:w="891"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γ</w:t>
            </w:r>
          </w:p>
        </w:tc>
        <w:tc>
          <w:tcPr>
            <w:tcW w:w="788"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i/>
                <w:iCs/>
              </w:rPr>
              <w:t>P</w:t>
            </w:r>
            <w:r w:rsidRPr="00581447">
              <w:rPr>
                <w:rFonts w:ascii="Times New Roman" w:hAnsi="Times New Roman" w:cs="Times New Roman"/>
                <w:b/>
              </w:rPr>
              <w:t xml:space="preserve"> for γ</w:t>
            </w:r>
          </w:p>
        </w:tc>
      </w:tr>
      <w:tr w:rsidR="0084732E" w:rsidRPr="00581447" w:rsidTr="0084732E">
        <w:tc>
          <w:tcPr>
            <w:tcW w:w="1136"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lastRenderedPageBreak/>
              <w:t>30-day (primary outcome)</w:t>
            </w:r>
          </w:p>
        </w:tc>
        <w:tc>
          <w:tcPr>
            <w:tcW w:w="1241"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Q2 vs Q1</w:t>
            </w:r>
          </w:p>
        </w:tc>
        <w:tc>
          <w:tcPr>
            <w:tcW w:w="850"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1.613 (0.884–2.945)</w:t>
            </w:r>
          </w:p>
        </w:tc>
        <w:tc>
          <w:tcPr>
            <w:tcW w:w="850"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1.344 (1.044–1.731)</w:t>
            </w:r>
          </w:p>
        </w:tc>
        <w:tc>
          <w:tcPr>
            <w:tcW w:w="850"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1.173 (0.744–1.849)</w:t>
            </w:r>
          </w:p>
        </w:tc>
        <w:tc>
          <w:tcPr>
            <w:tcW w:w="850"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50"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91"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−0.0938</w:t>
            </w:r>
          </w:p>
        </w:tc>
        <w:tc>
          <w:tcPr>
            <w:tcW w:w="788"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0.499</w:t>
            </w:r>
          </w:p>
        </w:tc>
      </w:tr>
      <w:tr w:rsidR="0084732E" w:rsidRPr="00581447" w:rsidTr="0084732E">
        <w:tc>
          <w:tcPr>
            <w:tcW w:w="1136" w:type="dxa"/>
            <w:vAlign w:val="center"/>
          </w:tcPr>
          <w:p w:rsidR="0084732E" w:rsidRPr="00581447" w:rsidRDefault="0084732E" w:rsidP="0084732E">
            <w:pPr>
              <w:rPr>
                <w:rFonts w:ascii="Times New Roman" w:hAnsi="Times New Roman" w:cs="Times New Roman"/>
              </w:rPr>
            </w:pPr>
          </w:p>
        </w:tc>
        <w:tc>
          <w:tcPr>
            <w:tcW w:w="124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Q3 vs Q1</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1.557 (0.844–2.870)</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1.338 (1.035–1.731)</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1.195 (0.751–1.904)</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9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−0.0776</w:t>
            </w:r>
          </w:p>
        </w:tc>
        <w:tc>
          <w:tcPr>
            <w:tcW w:w="788"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0.584</w:t>
            </w:r>
          </w:p>
        </w:tc>
      </w:tr>
      <w:tr w:rsidR="0084732E" w:rsidRPr="00581447" w:rsidTr="0084732E">
        <w:tc>
          <w:tcPr>
            <w:tcW w:w="1136" w:type="dxa"/>
            <w:vAlign w:val="center"/>
          </w:tcPr>
          <w:p w:rsidR="0084732E" w:rsidRPr="00581447" w:rsidRDefault="0084732E" w:rsidP="0084732E">
            <w:pPr>
              <w:rPr>
                <w:rFonts w:ascii="Times New Roman" w:hAnsi="Times New Roman" w:cs="Times New Roman"/>
              </w:rPr>
            </w:pPr>
          </w:p>
        </w:tc>
        <w:tc>
          <w:tcPr>
            <w:tcW w:w="124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Q4 vs Q1</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4.061 (2.245–7.347)</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2.471 (1.911–3.195)</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1.704 (1.061–2.735)</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9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−0.2554</w:t>
            </w:r>
          </w:p>
        </w:tc>
        <w:tc>
          <w:tcPr>
            <w:tcW w:w="788"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0.068</w:t>
            </w:r>
          </w:p>
        </w:tc>
      </w:tr>
      <w:tr w:rsidR="0084732E" w:rsidRPr="00581447" w:rsidTr="0084732E">
        <w:tc>
          <w:tcPr>
            <w:tcW w:w="1136" w:type="dxa"/>
            <w:vAlign w:val="center"/>
          </w:tcPr>
          <w:p w:rsidR="0084732E" w:rsidRPr="00581447" w:rsidRDefault="0084732E" w:rsidP="0084732E">
            <w:pPr>
              <w:rPr>
                <w:rFonts w:ascii="Times New Roman" w:hAnsi="Times New Roman" w:cs="Times New Roman"/>
              </w:rPr>
            </w:pPr>
          </w:p>
        </w:tc>
        <w:tc>
          <w:tcPr>
            <w:tcW w:w="1241" w:type="dxa"/>
            <w:vAlign w:val="center"/>
          </w:tcPr>
          <w:p w:rsidR="0084732E" w:rsidRPr="00581447" w:rsidRDefault="0084732E" w:rsidP="0084732E">
            <w:pPr>
              <w:rPr>
                <w:rFonts w:ascii="Times New Roman" w:hAnsi="Times New Roman" w:cs="Times New Roman"/>
              </w:rPr>
            </w:pPr>
          </w:p>
        </w:tc>
        <w:tc>
          <w:tcPr>
            <w:tcW w:w="850" w:type="dxa"/>
            <w:vAlign w:val="center"/>
          </w:tcPr>
          <w:p w:rsidR="0084732E" w:rsidRPr="00581447" w:rsidRDefault="0084732E" w:rsidP="0084732E">
            <w:pPr>
              <w:rPr>
                <w:rFonts w:ascii="Times New Roman" w:hAnsi="Times New Roman" w:cs="Times New Roman"/>
              </w:rPr>
            </w:pPr>
          </w:p>
        </w:tc>
        <w:tc>
          <w:tcPr>
            <w:tcW w:w="850" w:type="dxa"/>
            <w:vAlign w:val="center"/>
          </w:tcPr>
          <w:p w:rsidR="0084732E" w:rsidRPr="00581447" w:rsidRDefault="0084732E" w:rsidP="0084732E">
            <w:pPr>
              <w:rPr>
                <w:rFonts w:ascii="Times New Roman" w:hAnsi="Times New Roman" w:cs="Times New Roman"/>
              </w:rPr>
            </w:pPr>
          </w:p>
        </w:tc>
        <w:tc>
          <w:tcPr>
            <w:tcW w:w="850" w:type="dxa"/>
            <w:vAlign w:val="center"/>
          </w:tcPr>
          <w:p w:rsidR="0084732E" w:rsidRPr="00581447" w:rsidRDefault="0084732E" w:rsidP="0084732E">
            <w:pPr>
              <w:rPr>
                <w:rFonts w:ascii="Times New Roman" w:hAnsi="Times New Roman" w:cs="Times New Roman"/>
              </w:rPr>
            </w:pPr>
          </w:p>
        </w:tc>
        <w:tc>
          <w:tcPr>
            <w:tcW w:w="850" w:type="dxa"/>
            <w:vAlign w:val="center"/>
          </w:tcPr>
          <w:p w:rsidR="0084732E" w:rsidRPr="00581447" w:rsidRDefault="0084732E" w:rsidP="0084732E">
            <w:pPr>
              <w:rPr>
                <w:rFonts w:ascii="Times New Roman" w:hAnsi="Times New Roman" w:cs="Times New Roman"/>
              </w:rPr>
            </w:pPr>
          </w:p>
        </w:tc>
        <w:tc>
          <w:tcPr>
            <w:tcW w:w="850" w:type="dxa"/>
            <w:vAlign w:val="center"/>
          </w:tcPr>
          <w:p w:rsidR="0084732E" w:rsidRPr="00581447" w:rsidRDefault="0084732E" w:rsidP="0084732E">
            <w:pPr>
              <w:rPr>
                <w:rFonts w:ascii="Times New Roman" w:hAnsi="Times New Roman" w:cs="Times New Roman"/>
              </w:rPr>
            </w:pPr>
          </w:p>
        </w:tc>
        <w:tc>
          <w:tcPr>
            <w:tcW w:w="891" w:type="dxa"/>
            <w:vAlign w:val="center"/>
          </w:tcPr>
          <w:p w:rsidR="0084732E" w:rsidRPr="00581447" w:rsidRDefault="0084732E" w:rsidP="0084732E">
            <w:pPr>
              <w:rPr>
                <w:rFonts w:ascii="Times New Roman" w:hAnsi="Times New Roman" w:cs="Times New Roman"/>
              </w:rPr>
            </w:pPr>
          </w:p>
        </w:tc>
        <w:tc>
          <w:tcPr>
            <w:tcW w:w="788" w:type="dxa"/>
            <w:vAlign w:val="center"/>
          </w:tcPr>
          <w:p w:rsidR="0084732E" w:rsidRPr="00581447" w:rsidRDefault="0084732E" w:rsidP="0084732E">
            <w:pPr>
              <w:rPr>
                <w:rFonts w:ascii="Times New Roman" w:hAnsi="Times New Roman" w:cs="Times New Roman"/>
              </w:rPr>
            </w:pPr>
          </w:p>
        </w:tc>
      </w:tr>
      <w:tr w:rsidR="0084732E" w:rsidRPr="00581447" w:rsidTr="0084732E">
        <w:tc>
          <w:tcPr>
            <w:tcW w:w="1136"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90-day (secondary outcome)</w:t>
            </w:r>
          </w:p>
        </w:tc>
        <w:tc>
          <w:tcPr>
            <w:tcW w:w="124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Q2 vs Q1</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1.534 (0.930–2.532)</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1.322 (1.041–1.679)</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1.182 (0.907–1.541)</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1.087 (0.720–1.640)</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9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−0.0766</w:t>
            </w:r>
          </w:p>
        </w:tc>
        <w:tc>
          <w:tcPr>
            <w:tcW w:w="788"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0.401</w:t>
            </w:r>
          </w:p>
        </w:tc>
      </w:tr>
      <w:tr w:rsidR="0084732E" w:rsidRPr="00581447" w:rsidTr="0084732E">
        <w:tc>
          <w:tcPr>
            <w:tcW w:w="1121" w:type="dxa"/>
            <w:vAlign w:val="center"/>
          </w:tcPr>
          <w:p w:rsidR="0084732E" w:rsidRPr="00581447" w:rsidRDefault="0084732E" w:rsidP="0084732E">
            <w:pPr>
              <w:rPr>
                <w:rFonts w:ascii="Times New Roman" w:hAnsi="Times New Roman" w:cs="Times New Roman"/>
              </w:rPr>
            </w:pPr>
          </w:p>
        </w:tc>
        <w:tc>
          <w:tcPr>
            <w:tcW w:w="1205"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Q3 vs Q1</w:t>
            </w:r>
          </w:p>
        </w:tc>
        <w:tc>
          <w:tcPr>
            <w:tcW w:w="9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1.276 (0.767–2.124)</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1.339 (1.050–1.708)</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1.389 (1.070–1.802)</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1.427 (0.951–2.141)</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8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0.0249</w:t>
            </w:r>
          </w:p>
        </w:tc>
        <w:tc>
          <w:tcPr>
            <w:tcW w:w="779"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0.785</w:t>
            </w:r>
          </w:p>
        </w:tc>
      </w:tr>
      <w:tr w:rsidR="0084732E" w:rsidRPr="00581447" w:rsidTr="0084732E">
        <w:tc>
          <w:tcPr>
            <w:tcW w:w="1121" w:type="dxa"/>
            <w:vAlign w:val="center"/>
          </w:tcPr>
          <w:p w:rsidR="0084732E" w:rsidRPr="00581447" w:rsidRDefault="0084732E" w:rsidP="0084732E">
            <w:pPr>
              <w:rPr>
                <w:rFonts w:ascii="Times New Roman" w:hAnsi="Times New Roman" w:cs="Times New Roman"/>
              </w:rPr>
            </w:pPr>
          </w:p>
        </w:tc>
        <w:tc>
          <w:tcPr>
            <w:tcW w:w="1205"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Q4 vs Q1</w:t>
            </w:r>
          </w:p>
        </w:tc>
        <w:tc>
          <w:tcPr>
            <w:tcW w:w="9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3.830 (2.325–6.308)</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2.438 (1.918–3.099)</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1.739 (1.307–2.315)</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1.348 (0.867–2.096)</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8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−0.2321</w:t>
            </w:r>
          </w:p>
        </w:tc>
        <w:tc>
          <w:tcPr>
            <w:tcW w:w="779"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0.013</w:t>
            </w:r>
          </w:p>
        </w:tc>
      </w:tr>
      <w:tr w:rsidR="0084732E" w:rsidRPr="00581447" w:rsidTr="0084732E">
        <w:tc>
          <w:tcPr>
            <w:tcW w:w="1121" w:type="dxa"/>
            <w:vAlign w:val="center"/>
          </w:tcPr>
          <w:p w:rsidR="0084732E" w:rsidRPr="00581447" w:rsidRDefault="0084732E" w:rsidP="0084732E">
            <w:pPr>
              <w:rPr>
                <w:rFonts w:ascii="Times New Roman" w:hAnsi="Times New Roman" w:cs="Times New Roman"/>
              </w:rPr>
            </w:pPr>
          </w:p>
        </w:tc>
        <w:tc>
          <w:tcPr>
            <w:tcW w:w="1205" w:type="dxa"/>
            <w:vAlign w:val="center"/>
          </w:tcPr>
          <w:p w:rsidR="0084732E" w:rsidRPr="00581447" w:rsidRDefault="0084732E" w:rsidP="0084732E">
            <w:pPr>
              <w:rPr>
                <w:rFonts w:ascii="Times New Roman" w:hAnsi="Times New Roman" w:cs="Times New Roman"/>
              </w:rPr>
            </w:pPr>
          </w:p>
        </w:tc>
        <w:tc>
          <w:tcPr>
            <w:tcW w:w="950" w:type="dxa"/>
            <w:vAlign w:val="center"/>
          </w:tcPr>
          <w:p w:rsidR="0084732E" w:rsidRPr="00581447" w:rsidRDefault="0084732E" w:rsidP="0084732E">
            <w:pPr>
              <w:rPr>
                <w:rFonts w:ascii="Times New Roman" w:hAnsi="Times New Roman" w:cs="Times New Roman"/>
              </w:rPr>
            </w:pPr>
          </w:p>
        </w:tc>
        <w:tc>
          <w:tcPr>
            <w:tcW w:w="840" w:type="dxa"/>
            <w:vAlign w:val="center"/>
          </w:tcPr>
          <w:p w:rsidR="0084732E" w:rsidRPr="00581447" w:rsidRDefault="0084732E" w:rsidP="0084732E">
            <w:pPr>
              <w:rPr>
                <w:rFonts w:ascii="Times New Roman" w:hAnsi="Times New Roman" w:cs="Times New Roman"/>
              </w:rPr>
            </w:pPr>
          </w:p>
        </w:tc>
        <w:tc>
          <w:tcPr>
            <w:tcW w:w="840" w:type="dxa"/>
            <w:vAlign w:val="center"/>
          </w:tcPr>
          <w:p w:rsidR="0084732E" w:rsidRPr="00581447" w:rsidRDefault="0084732E" w:rsidP="0084732E">
            <w:pPr>
              <w:rPr>
                <w:rFonts w:ascii="Times New Roman" w:hAnsi="Times New Roman" w:cs="Times New Roman"/>
              </w:rPr>
            </w:pPr>
          </w:p>
        </w:tc>
        <w:tc>
          <w:tcPr>
            <w:tcW w:w="840" w:type="dxa"/>
            <w:vAlign w:val="center"/>
          </w:tcPr>
          <w:p w:rsidR="0084732E" w:rsidRPr="00581447" w:rsidRDefault="0084732E" w:rsidP="0084732E">
            <w:pPr>
              <w:rPr>
                <w:rFonts w:ascii="Times New Roman" w:hAnsi="Times New Roman" w:cs="Times New Roman"/>
              </w:rPr>
            </w:pPr>
          </w:p>
        </w:tc>
        <w:tc>
          <w:tcPr>
            <w:tcW w:w="840" w:type="dxa"/>
            <w:vAlign w:val="center"/>
          </w:tcPr>
          <w:p w:rsidR="0084732E" w:rsidRPr="00581447" w:rsidRDefault="0084732E" w:rsidP="0084732E">
            <w:pPr>
              <w:rPr>
                <w:rFonts w:ascii="Times New Roman" w:hAnsi="Times New Roman" w:cs="Times New Roman"/>
              </w:rPr>
            </w:pPr>
          </w:p>
        </w:tc>
        <w:tc>
          <w:tcPr>
            <w:tcW w:w="881" w:type="dxa"/>
            <w:vAlign w:val="center"/>
          </w:tcPr>
          <w:p w:rsidR="0084732E" w:rsidRPr="00581447" w:rsidRDefault="0084732E" w:rsidP="0084732E">
            <w:pPr>
              <w:rPr>
                <w:rFonts w:ascii="Times New Roman" w:hAnsi="Times New Roman" w:cs="Times New Roman"/>
              </w:rPr>
            </w:pPr>
          </w:p>
        </w:tc>
        <w:tc>
          <w:tcPr>
            <w:tcW w:w="779" w:type="dxa"/>
            <w:vAlign w:val="center"/>
          </w:tcPr>
          <w:p w:rsidR="0084732E" w:rsidRPr="00581447" w:rsidRDefault="0084732E" w:rsidP="0084732E">
            <w:pPr>
              <w:rPr>
                <w:rFonts w:ascii="Times New Roman" w:hAnsi="Times New Roman" w:cs="Times New Roman"/>
              </w:rPr>
            </w:pPr>
          </w:p>
        </w:tc>
      </w:tr>
      <w:tr w:rsidR="0084732E" w:rsidRPr="00581447" w:rsidTr="0084732E">
        <w:tc>
          <w:tcPr>
            <w:tcW w:w="112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365-day (secondary outcome)</w:t>
            </w:r>
          </w:p>
        </w:tc>
        <w:tc>
          <w:tcPr>
            <w:tcW w:w="1205"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Q2 vs Q1</w:t>
            </w:r>
          </w:p>
        </w:tc>
        <w:tc>
          <w:tcPr>
            <w:tcW w:w="9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1.581 (1.048–2.386)</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1.310 (1.034–1.661)</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1.138 (0.950–1.364)</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1.023 (0.819–1.279)</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0.894 (0.637–1.254)</w:t>
            </w:r>
          </w:p>
        </w:tc>
        <w:tc>
          <w:tcPr>
            <w:tcW w:w="88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−0.0967</w:t>
            </w:r>
          </w:p>
        </w:tc>
        <w:tc>
          <w:tcPr>
            <w:tcW w:w="779"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0.088</w:t>
            </w:r>
          </w:p>
        </w:tc>
      </w:tr>
      <w:tr w:rsidR="0084732E" w:rsidRPr="00581447" w:rsidTr="0084732E">
        <w:tc>
          <w:tcPr>
            <w:tcW w:w="1121" w:type="dxa"/>
            <w:vAlign w:val="center"/>
          </w:tcPr>
          <w:p w:rsidR="0084732E" w:rsidRPr="00581447" w:rsidRDefault="0084732E" w:rsidP="0084732E">
            <w:pPr>
              <w:rPr>
                <w:rFonts w:ascii="Times New Roman" w:hAnsi="Times New Roman" w:cs="Times New Roman"/>
              </w:rPr>
            </w:pPr>
          </w:p>
        </w:tc>
        <w:tc>
          <w:tcPr>
            <w:tcW w:w="1205"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Q3 vs Q1</w:t>
            </w:r>
          </w:p>
        </w:tc>
        <w:tc>
          <w:tcPr>
            <w:tcW w:w="9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1.328 (0.876–2.013)</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1.347 (1.059–1.713)</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1.362 (1.137–1.630)</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1.373 (1.103–1.707)</w:t>
            </w:r>
          </w:p>
        </w:tc>
        <w:tc>
          <w:tcPr>
            <w:tcW w:w="84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1.387 (0.995–1.932)</w:t>
            </w:r>
          </w:p>
        </w:tc>
        <w:tc>
          <w:tcPr>
            <w:tcW w:w="88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0.0073</w:t>
            </w:r>
          </w:p>
        </w:tc>
        <w:tc>
          <w:tcPr>
            <w:tcW w:w="779"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0.897</w:t>
            </w:r>
          </w:p>
        </w:tc>
      </w:tr>
      <w:tr w:rsidR="0084732E" w:rsidRPr="00581447" w:rsidTr="0084732E">
        <w:tc>
          <w:tcPr>
            <w:tcW w:w="1121" w:type="dxa"/>
            <w:tcBorders>
              <w:bottom w:val="single" w:sz="12" w:space="0" w:color="auto"/>
            </w:tcBorders>
            <w:vAlign w:val="center"/>
          </w:tcPr>
          <w:p w:rsidR="0084732E" w:rsidRPr="00581447" w:rsidRDefault="0084732E" w:rsidP="0084732E">
            <w:pPr>
              <w:rPr>
                <w:rFonts w:ascii="Times New Roman" w:hAnsi="Times New Roman" w:cs="Times New Roman"/>
              </w:rPr>
            </w:pPr>
          </w:p>
        </w:tc>
        <w:tc>
          <w:tcPr>
            <w:tcW w:w="1205"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Q4 vs Q1</w:t>
            </w:r>
          </w:p>
        </w:tc>
        <w:tc>
          <w:tcPr>
            <w:tcW w:w="95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3.681 (2.427–5.582)</w:t>
            </w:r>
          </w:p>
        </w:tc>
        <w:tc>
          <w:tcPr>
            <w:tcW w:w="84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2.413 (1.902–3.061)</w:t>
            </w:r>
          </w:p>
        </w:tc>
        <w:tc>
          <w:tcPr>
            <w:tcW w:w="84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1.760 (1.445–2.143)</w:t>
            </w:r>
          </w:p>
        </w:tc>
        <w:tc>
          <w:tcPr>
            <w:tcW w:w="84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1.386 (1.074–1.789)</w:t>
            </w:r>
          </w:p>
        </w:tc>
        <w:tc>
          <w:tcPr>
            <w:tcW w:w="84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1.023 (0.697–1.503)</w:t>
            </w:r>
          </w:p>
        </w:tc>
        <w:tc>
          <w:tcPr>
            <w:tcW w:w="881"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−0.2170</w:t>
            </w:r>
          </w:p>
        </w:tc>
        <w:tc>
          <w:tcPr>
            <w:tcW w:w="779"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&lt;0.001</w:t>
            </w:r>
          </w:p>
        </w:tc>
      </w:tr>
      <w:tr w:rsidR="0084732E" w:rsidRPr="00581447" w:rsidTr="0084732E">
        <w:tc>
          <w:tcPr>
            <w:tcW w:w="1121"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1205"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950"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840"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840"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840"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840"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881"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c>
          <w:tcPr>
            <w:tcW w:w="779" w:type="dxa"/>
            <w:tcBorders>
              <w:top w:val="single" w:sz="12" w:space="0" w:color="auto"/>
              <w:bottom w:val="single" w:sz="12" w:space="0" w:color="auto"/>
            </w:tcBorders>
          </w:tcPr>
          <w:p w:rsidR="0084732E" w:rsidRPr="00581447" w:rsidRDefault="0084732E" w:rsidP="0084732E">
            <w:pPr>
              <w:rPr>
                <w:rFonts w:ascii="Times New Roman" w:hAnsi="Times New Roman" w:cs="Times New Roman"/>
              </w:rPr>
            </w:pPr>
          </w:p>
        </w:tc>
      </w:tr>
      <w:tr w:rsidR="0084732E" w:rsidRPr="00581447" w:rsidTr="00205C12">
        <w:tc>
          <w:tcPr>
            <w:tcW w:w="2337" w:type="dxa"/>
            <w:gridSpan w:val="2"/>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Outcome</w:t>
            </w:r>
          </w:p>
        </w:tc>
        <w:tc>
          <w:tcPr>
            <w:tcW w:w="1801" w:type="dxa"/>
            <w:gridSpan w:val="2"/>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 xml:space="preserve">HR (95% CI) per one-quartile </w:t>
            </w:r>
            <w:r w:rsidRPr="00581447">
              <w:rPr>
                <w:rFonts w:ascii="Times New Roman" w:hAnsi="Times New Roman" w:cs="Times New Roman"/>
                <w:b/>
              </w:rPr>
              <w:lastRenderedPageBreak/>
              <w:t>increase, 1 day</w:t>
            </w:r>
          </w:p>
        </w:tc>
        <w:tc>
          <w:tcPr>
            <w:tcW w:w="84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lastRenderedPageBreak/>
              <w:t>7 days</w:t>
            </w:r>
          </w:p>
        </w:tc>
        <w:tc>
          <w:tcPr>
            <w:tcW w:w="84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30 days</w:t>
            </w:r>
          </w:p>
        </w:tc>
        <w:tc>
          <w:tcPr>
            <w:tcW w:w="840"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90 days</w:t>
            </w:r>
          </w:p>
        </w:tc>
        <w:tc>
          <w:tcPr>
            <w:tcW w:w="881"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rPr>
              <w:t>365 days</w:t>
            </w:r>
          </w:p>
        </w:tc>
        <w:tc>
          <w:tcPr>
            <w:tcW w:w="779" w:type="dxa"/>
            <w:tcBorders>
              <w:top w:val="single" w:sz="12" w:space="0" w:color="auto"/>
              <w:bottom w:val="single" w:sz="12" w:space="0" w:color="auto"/>
            </w:tcBorders>
            <w:vAlign w:val="center"/>
          </w:tcPr>
          <w:p w:rsidR="0084732E" w:rsidRPr="00581447" w:rsidRDefault="0084732E" w:rsidP="0084732E">
            <w:pPr>
              <w:rPr>
                <w:rFonts w:ascii="Times New Roman" w:hAnsi="Times New Roman" w:cs="Times New Roman"/>
                <w:b/>
              </w:rPr>
            </w:pPr>
            <w:r w:rsidRPr="00581447">
              <w:rPr>
                <w:rFonts w:ascii="Times New Roman" w:hAnsi="Times New Roman" w:cs="Times New Roman"/>
                <w:b/>
                <w:i/>
                <w:iCs/>
              </w:rPr>
              <w:t>P</w:t>
            </w:r>
            <w:r w:rsidRPr="00581447">
              <w:rPr>
                <w:rFonts w:ascii="Times New Roman" w:hAnsi="Times New Roman" w:cs="Times New Roman"/>
                <w:b/>
              </w:rPr>
              <w:t xml:space="preserve"> for trend</w:t>
            </w:r>
          </w:p>
        </w:tc>
      </w:tr>
      <w:tr w:rsidR="0084732E" w:rsidRPr="00581447" w:rsidTr="00205C12">
        <w:tc>
          <w:tcPr>
            <w:tcW w:w="2377" w:type="dxa"/>
            <w:gridSpan w:val="2"/>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lastRenderedPageBreak/>
              <w:t>30-day (primary outcome)</w:t>
            </w:r>
          </w:p>
        </w:tc>
        <w:tc>
          <w:tcPr>
            <w:tcW w:w="1700" w:type="dxa"/>
            <w:gridSpan w:val="2"/>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1.436 (1.251–1.648)</w:t>
            </w:r>
          </w:p>
        </w:tc>
        <w:tc>
          <w:tcPr>
            <w:tcW w:w="838"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1.258 (1.183–1.338)</w:t>
            </w:r>
          </w:p>
        </w:tc>
        <w:tc>
          <w:tcPr>
            <w:tcW w:w="838"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1.140 (1.017–1.278)</w:t>
            </w:r>
          </w:p>
        </w:tc>
        <w:tc>
          <w:tcPr>
            <w:tcW w:w="838"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878"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776" w:type="dxa"/>
            <w:tcBorders>
              <w:top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&lt;0.001</w:t>
            </w:r>
          </w:p>
        </w:tc>
      </w:tr>
      <w:tr w:rsidR="0084732E" w:rsidRPr="00581447" w:rsidTr="00205C12">
        <w:tc>
          <w:tcPr>
            <w:tcW w:w="2377" w:type="dxa"/>
            <w:gridSpan w:val="2"/>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90-day (secondary outcome)</w:t>
            </w:r>
          </w:p>
        </w:tc>
        <w:tc>
          <w:tcPr>
            <w:tcW w:w="1700" w:type="dxa"/>
            <w:gridSpan w:val="2"/>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1.414 (1.256–1.593)</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1.260 (1.190–1.334)</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1.155 (1.077–1.239)</w:t>
            </w:r>
          </w:p>
        </w:tc>
        <w:tc>
          <w:tcPr>
            <w:tcW w:w="850"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1.082 (0.972–1.206)</w:t>
            </w:r>
          </w:p>
        </w:tc>
        <w:tc>
          <w:tcPr>
            <w:tcW w:w="891"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w:t>
            </w:r>
          </w:p>
        </w:tc>
        <w:tc>
          <w:tcPr>
            <w:tcW w:w="788" w:type="dxa"/>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&lt;0.001</w:t>
            </w:r>
          </w:p>
        </w:tc>
      </w:tr>
      <w:tr w:rsidR="0084732E" w:rsidRPr="00581447" w:rsidTr="00205C12">
        <w:tc>
          <w:tcPr>
            <w:tcW w:w="2377" w:type="dxa"/>
            <w:gridSpan w:val="2"/>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365-day (secondary outcome)</w:t>
            </w:r>
          </w:p>
        </w:tc>
        <w:tc>
          <w:tcPr>
            <w:tcW w:w="1700" w:type="dxa"/>
            <w:gridSpan w:val="2"/>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1.383 (1.252–1.528)</w:t>
            </w:r>
          </w:p>
        </w:tc>
        <w:tc>
          <w:tcPr>
            <w:tcW w:w="85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1.256 (1.186–1.329)</w:t>
            </w:r>
          </w:p>
        </w:tc>
        <w:tc>
          <w:tcPr>
            <w:tcW w:w="85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1.168 (1.113–1.226)</w:t>
            </w:r>
          </w:p>
        </w:tc>
        <w:tc>
          <w:tcPr>
            <w:tcW w:w="850"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1.106 (1.039–1.178)</w:t>
            </w:r>
          </w:p>
        </w:tc>
        <w:tc>
          <w:tcPr>
            <w:tcW w:w="891"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1.031 (0.938–1.134)</w:t>
            </w:r>
          </w:p>
        </w:tc>
        <w:tc>
          <w:tcPr>
            <w:tcW w:w="788" w:type="dxa"/>
            <w:tcBorders>
              <w:bottom w:val="single" w:sz="12" w:space="0" w:color="auto"/>
            </w:tcBorders>
            <w:vAlign w:val="center"/>
          </w:tcPr>
          <w:p w:rsidR="0084732E" w:rsidRPr="00581447" w:rsidRDefault="0084732E" w:rsidP="0084732E">
            <w:pPr>
              <w:rPr>
                <w:rFonts w:ascii="Times New Roman" w:hAnsi="Times New Roman" w:cs="Times New Roman"/>
              </w:rPr>
            </w:pPr>
            <w:r w:rsidRPr="00581447">
              <w:rPr>
                <w:rFonts w:ascii="Times New Roman" w:hAnsi="Times New Roman" w:cs="Times New Roman"/>
              </w:rPr>
              <w:t>&lt;0.001</w:t>
            </w:r>
          </w:p>
        </w:tc>
      </w:tr>
      <w:tr w:rsidR="0084732E" w:rsidRPr="00581447" w:rsidTr="0084732E">
        <w:tc>
          <w:tcPr>
            <w:tcW w:w="8306" w:type="dxa"/>
            <w:gridSpan w:val="9"/>
          </w:tcPr>
          <w:p w:rsidR="00506F02"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Patients with type 2 diabetes (n = 3,459; 791 deaths within 30 days). Quartiles were derived within this subgroup (cut-offs 1.16, 2.34 and 5.49). Models are identical to M4 in Table 2 except that type 2 diabetes was removed from the stratification set. Q1 is the reference category; γ refers to the Q4 versus Q1 contrast. Trend was tested by entering the median log2(EASIX) of each within-subgroup quartile as a continuous variable.</w:t>
            </w:r>
          </w:p>
          <w:p w:rsidR="0084732E"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Abbreviations. CI, confidence interval; EASIX, Endothelial Activation and Stress Index; HR, hazard ratio; Q, quartile.</w:t>
            </w:r>
          </w:p>
        </w:tc>
      </w:tr>
    </w:tbl>
    <w:p w:rsidR="00F0275A" w:rsidRPr="00581447" w:rsidRDefault="00F0275A">
      <w:pPr>
        <w:rPr>
          <w:rFonts w:ascii="Times New Roman" w:hAnsi="Times New Roman" w:cs="Times New Roman"/>
        </w:rPr>
      </w:pPr>
    </w:p>
    <w:p w:rsidR="0084732E" w:rsidRDefault="0084732E">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1382"/>
        <w:gridCol w:w="1383"/>
        <w:gridCol w:w="1383"/>
        <w:gridCol w:w="1383"/>
        <w:gridCol w:w="1383"/>
      </w:tblGrid>
      <w:tr w:rsidR="00205C12" w:rsidRPr="00581447" w:rsidTr="00205C12">
        <w:tc>
          <w:tcPr>
            <w:tcW w:w="8296" w:type="dxa"/>
            <w:gridSpan w:val="6"/>
          </w:tcPr>
          <w:p w:rsidR="00205C12" w:rsidRPr="00581447" w:rsidRDefault="00205C12">
            <w:pPr>
              <w:rPr>
                <w:rFonts w:ascii="Times New Roman" w:hAnsi="Times New Roman" w:cs="Times New Roman"/>
                <w:b/>
              </w:rPr>
            </w:pPr>
            <w:bookmarkStart w:id="8" w:name="OLE_LINK20"/>
            <w:bookmarkStart w:id="9" w:name="OLE_LINK21"/>
            <w:r w:rsidRPr="00581447">
              <w:rPr>
                <w:rFonts w:ascii="Times New Roman" w:hAnsi="Times New Roman" w:cs="Times New Roman"/>
                <w:b/>
              </w:rPr>
              <w:t>Supplementary Table 8</w:t>
            </w:r>
            <w:bookmarkEnd w:id="8"/>
            <w:bookmarkEnd w:id="9"/>
            <w:r w:rsidRPr="00581447">
              <w:rPr>
                <w:rFonts w:ascii="Times New Roman" w:hAnsi="Times New Roman" w:cs="Times New Roman"/>
                <w:b/>
              </w:rPr>
              <w:t>. E-values for unmeasured confounding</w:t>
            </w:r>
          </w:p>
        </w:tc>
      </w:tr>
      <w:tr w:rsidR="00205C12" w:rsidRPr="00581447" w:rsidTr="00205C12">
        <w:tc>
          <w:tcPr>
            <w:tcW w:w="1382"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Outcome (model)</w:t>
            </w:r>
          </w:p>
        </w:tc>
        <w:tc>
          <w:tcPr>
            <w:tcW w:w="1382"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Time point</w:t>
            </w:r>
          </w:p>
        </w:tc>
        <w:tc>
          <w:tcPr>
            <w:tcW w:w="1383"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HR</w:t>
            </w:r>
          </w:p>
        </w:tc>
        <w:tc>
          <w:tcPr>
            <w:tcW w:w="1383"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95% CI</w:t>
            </w:r>
          </w:p>
        </w:tc>
        <w:tc>
          <w:tcPr>
            <w:tcW w:w="1383"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E-value, point estimate</w:t>
            </w:r>
          </w:p>
        </w:tc>
        <w:tc>
          <w:tcPr>
            <w:tcW w:w="1383" w:type="dxa"/>
            <w:tcBorders>
              <w:top w:val="single" w:sz="12" w:space="0" w:color="auto"/>
              <w:bottom w:val="single" w:sz="12" w:space="0" w:color="auto"/>
            </w:tcBorders>
            <w:vAlign w:val="center"/>
          </w:tcPr>
          <w:p w:rsidR="00205C12" w:rsidRPr="00581447" w:rsidRDefault="00205C12" w:rsidP="00205C12">
            <w:pPr>
              <w:rPr>
                <w:rFonts w:ascii="Times New Roman" w:hAnsi="Times New Roman" w:cs="Times New Roman"/>
                <w:b/>
              </w:rPr>
            </w:pPr>
            <w:r w:rsidRPr="00581447">
              <w:rPr>
                <w:rFonts w:ascii="Times New Roman" w:hAnsi="Times New Roman" w:cs="Times New Roman"/>
                <w:b/>
              </w:rPr>
              <w:t>E-value, lower confidence limit</w:t>
            </w:r>
          </w:p>
        </w:tc>
      </w:tr>
      <w:tr w:rsidR="00205C12" w:rsidRPr="00581447" w:rsidTr="00205C12">
        <w:tc>
          <w:tcPr>
            <w:tcW w:w="1382"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30-day (primary outcome)</w:t>
            </w:r>
          </w:p>
        </w:tc>
        <w:tc>
          <w:tcPr>
            <w:tcW w:w="1382"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 day</w:t>
            </w:r>
          </w:p>
        </w:tc>
        <w:tc>
          <w:tcPr>
            <w:tcW w:w="1383"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1.243</w:t>
            </w:r>
          </w:p>
        </w:tc>
        <w:tc>
          <w:tcPr>
            <w:tcW w:w="1383"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1.182–1.306</w:t>
            </w:r>
          </w:p>
        </w:tc>
        <w:tc>
          <w:tcPr>
            <w:tcW w:w="1383"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1.60</w:t>
            </w:r>
          </w:p>
        </w:tc>
        <w:tc>
          <w:tcPr>
            <w:tcW w:w="1383" w:type="dxa"/>
            <w:tcBorders>
              <w:top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1.49</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30-day (primary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7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1.177</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1.148–1.208</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1.49</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1.43</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30-day (primary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30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1.131</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1.079–1.185</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1.40</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1.29</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90-day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 day</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1.237</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1.183–1.294</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1.59</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1.50</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90-day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7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1.179</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1.152–1.206</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1.49</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1.44</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 xml:space="preserve">90-day (secondary </w:t>
            </w:r>
            <w:r w:rsidRPr="00581447">
              <w:rPr>
                <w:rFonts w:ascii="Times New Roman" w:hAnsi="Times New Roman" w:cs="Times New Roman"/>
              </w:rPr>
              <w:lastRenderedPageBreak/>
              <w:t>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lastRenderedPageBreak/>
              <w:t>30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1.136</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1.102–1.172</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1.41</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1.34</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lastRenderedPageBreak/>
              <w:t>90-day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90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1.106</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1.056–1.158</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1.35</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1.24</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 day</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1.247</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1.199–1.297</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1.60</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1.52</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7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1.174</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1.148–1.201</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1.48</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1.43</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30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1.122</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1.097–1.147</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1.38</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1.33</w:t>
            </w:r>
          </w:p>
        </w:tc>
      </w:tr>
      <w:tr w:rsidR="00205C12" w:rsidRPr="00581447" w:rsidTr="00205C12">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365-day (secondary outcome)</w:t>
            </w:r>
          </w:p>
        </w:tc>
        <w:tc>
          <w:tcPr>
            <w:tcW w:w="1382"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90 days</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1.084</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1.052–1.118</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1.30</w:t>
            </w:r>
          </w:p>
        </w:tc>
        <w:tc>
          <w:tcPr>
            <w:tcW w:w="1383" w:type="dxa"/>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1.23</w:t>
            </w:r>
          </w:p>
        </w:tc>
      </w:tr>
      <w:tr w:rsidR="00205C12" w:rsidRPr="00581447" w:rsidTr="00205C12">
        <w:tc>
          <w:tcPr>
            <w:tcW w:w="1382"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365-day (secondary outcome)</w:t>
            </w:r>
          </w:p>
        </w:tc>
        <w:tc>
          <w:tcPr>
            <w:tcW w:w="1382"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365 days</w:t>
            </w:r>
          </w:p>
        </w:tc>
        <w:tc>
          <w:tcPr>
            <w:tcW w:w="1383"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1.038</w:t>
            </w:r>
          </w:p>
        </w:tc>
        <w:tc>
          <w:tcPr>
            <w:tcW w:w="1383"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0.993–1.086</w:t>
            </w:r>
          </w:p>
        </w:tc>
        <w:tc>
          <w:tcPr>
            <w:tcW w:w="1383"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1.19</w:t>
            </w:r>
          </w:p>
        </w:tc>
        <w:tc>
          <w:tcPr>
            <w:tcW w:w="1383" w:type="dxa"/>
            <w:tcBorders>
              <w:bottom w:val="single" w:sz="12" w:space="0" w:color="auto"/>
            </w:tcBorders>
            <w:vAlign w:val="center"/>
          </w:tcPr>
          <w:p w:rsidR="00205C12" w:rsidRPr="00581447" w:rsidRDefault="00205C12" w:rsidP="00205C12">
            <w:pPr>
              <w:rPr>
                <w:rFonts w:ascii="Times New Roman" w:hAnsi="Times New Roman" w:cs="Times New Roman"/>
              </w:rPr>
            </w:pPr>
            <w:r w:rsidRPr="00581447">
              <w:rPr>
                <w:rFonts w:ascii="Times New Roman" w:hAnsi="Times New Roman" w:cs="Times New Roman"/>
              </w:rPr>
              <w:t>1.00</w:t>
            </w:r>
          </w:p>
        </w:tc>
      </w:tr>
      <w:tr w:rsidR="00205C12" w:rsidRPr="00581447" w:rsidTr="00205C12">
        <w:tc>
          <w:tcPr>
            <w:tcW w:w="8296" w:type="dxa"/>
            <w:gridSpan w:val="6"/>
          </w:tcPr>
          <w:p w:rsidR="00506F02"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 xml:space="preserve">Hazard ratios were converted to approximate risk ratios using the transformation of VanderWeele (2017) before computing E-values; 30-day mortality in </w:t>
            </w:r>
            <w:r w:rsidRPr="00581447">
              <w:rPr>
                <w:rFonts w:ascii="Times New Roman" w:hAnsi="Times New Roman" w:cs="Times New Roman"/>
                <w:sz w:val="13"/>
                <w:szCs w:val="13"/>
              </w:rPr>
              <w:t xml:space="preserve">the study population was 23.3%. </w:t>
            </w:r>
            <w:r w:rsidRPr="00581447">
              <w:rPr>
                <w:rFonts w:ascii="Times New Roman" w:hAnsi="Times New Roman" w:cs="Times New Roman"/>
                <w:sz w:val="13"/>
                <w:szCs w:val="13"/>
              </w:rPr>
              <w:t>E-values are tied to a specific time point on the HR(t) curve; the value reported for the primary outcome is the one at 30 days in the 30-day model.</w:t>
            </w:r>
          </w:p>
          <w:p w:rsidR="00205C12" w:rsidRPr="00581447" w:rsidRDefault="00506F02" w:rsidP="00506F02">
            <w:pPr>
              <w:rPr>
                <w:rFonts w:ascii="Times New Roman" w:hAnsi="Times New Roman" w:cs="Times New Roman"/>
                <w:sz w:val="13"/>
                <w:szCs w:val="13"/>
              </w:rPr>
            </w:pPr>
            <w:r w:rsidRPr="00581447">
              <w:rPr>
                <w:rFonts w:ascii="Times New Roman" w:hAnsi="Times New Roman" w:cs="Times New Roman"/>
                <w:sz w:val="13"/>
                <w:szCs w:val="13"/>
              </w:rPr>
              <w:t>Abbreviations. CI, confidence interval; EASIX, Endothelial Activation and Stress Index; HR, hazard ratio.</w:t>
            </w:r>
          </w:p>
        </w:tc>
      </w:tr>
    </w:tbl>
    <w:p w:rsidR="00205C12" w:rsidRPr="00581447" w:rsidRDefault="00205C12" w:rsidP="00205C12">
      <w:pPr>
        <w:rPr>
          <w:rFonts w:ascii="Times New Roman" w:hAnsi="Times New Roman" w:cs="Times New Roman"/>
        </w:rPr>
      </w:pPr>
    </w:p>
    <w:p w:rsidR="0084732E" w:rsidRDefault="0084732E">
      <w:pPr>
        <w:rPr>
          <w:rFonts w:ascii="Times New Roman" w:hAnsi="Times New Roman" w:cs="Times New Roman"/>
        </w:rPr>
      </w:pPr>
    </w:p>
    <w:p w:rsidR="00581447" w:rsidRDefault="00581447">
      <w:pPr>
        <w:rPr>
          <w:rFonts w:ascii="Times New Roman" w:hAnsi="Times New Roman" w:cs="Times New Roman"/>
        </w:rPr>
      </w:pPr>
    </w:p>
    <w:p w:rsidR="00581447" w:rsidRDefault="00581447">
      <w:pPr>
        <w:rPr>
          <w:rFonts w:ascii="Times New Roman" w:hAnsi="Times New Roman" w:cs="Times New Roman"/>
        </w:rPr>
      </w:pPr>
    </w:p>
    <w:p w:rsidR="00581447" w:rsidRPr="00581447" w:rsidRDefault="00581447">
      <w:pPr>
        <w:rPr>
          <w:rFonts w:ascii="Times New Roman" w:hAnsi="Times New Roman" w:cs="Times New Roman"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1766"/>
        <w:gridCol w:w="1649"/>
        <w:gridCol w:w="1627"/>
        <w:gridCol w:w="1424"/>
      </w:tblGrid>
      <w:tr w:rsidR="00087EEB" w:rsidRPr="00581447" w:rsidTr="00087EEB">
        <w:tc>
          <w:tcPr>
            <w:tcW w:w="6872" w:type="dxa"/>
            <w:gridSpan w:val="4"/>
          </w:tcPr>
          <w:p w:rsidR="00087EEB" w:rsidRPr="00581447" w:rsidRDefault="00087EEB" w:rsidP="00087EEB">
            <w:pPr>
              <w:rPr>
                <w:rFonts w:ascii="Times New Roman" w:hAnsi="Times New Roman" w:cs="Times New Roman"/>
                <w:b/>
              </w:rPr>
            </w:pPr>
            <w:r w:rsidRPr="00581447">
              <w:rPr>
                <w:rFonts w:ascii="Times New Roman" w:hAnsi="Times New Roman" w:cs="Times New Roman"/>
                <w:b/>
              </w:rPr>
              <w:t>Supplementary Table 9</w:t>
            </w:r>
            <w:r w:rsidRPr="00581447">
              <w:rPr>
                <w:rFonts w:ascii="Times New Roman" w:hAnsi="Times New Roman" w:cs="Times New Roman"/>
                <w:b/>
              </w:rPr>
              <w:t>. External validation in eICU</w:t>
            </w:r>
            <w:r w:rsidRPr="00581447">
              <w:rPr>
                <w:rFonts w:ascii="Times New Roman" w:hAnsi="Times New Roman" w:cs="Times New Roman"/>
                <w:b/>
              </w:rPr>
              <w:t>-CRD (approximated CKM stage 4)</w:t>
            </w:r>
          </w:p>
        </w:tc>
        <w:tc>
          <w:tcPr>
            <w:tcW w:w="1424" w:type="dxa"/>
          </w:tcPr>
          <w:p w:rsidR="00087EEB" w:rsidRPr="00581447" w:rsidRDefault="00087EEB" w:rsidP="00087EEB">
            <w:pPr>
              <w:rPr>
                <w:rFonts w:ascii="Times New Roman" w:hAnsi="Times New Roman" w:cs="Times New Roman"/>
                <w:b/>
              </w:rPr>
            </w:pPr>
          </w:p>
        </w:tc>
      </w:tr>
      <w:tr w:rsidR="00087EEB" w:rsidRPr="00581447" w:rsidTr="00087EEB">
        <w:tc>
          <w:tcPr>
            <w:tcW w:w="6872" w:type="dxa"/>
            <w:gridSpan w:val="4"/>
          </w:tcPr>
          <w:p w:rsidR="00087EEB" w:rsidRPr="00581447" w:rsidRDefault="00087EEB" w:rsidP="00087EEB">
            <w:pPr>
              <w:rPr>
                <w:rFonts w:ascii="Times New Roman" w:hAnsi="Times New Roman" w:cs="Times New Roman"/>
                <w:b/>
              </w:rPr>
            </w:pPr>
            <w:r w:rsidRPr="00581447">
              <w:rPr>
                <w:rFonts w:ascii="Times New Roman" w:hAnsi="Times New Roman" w:cs="Times New Roman"/>
                <w:b/>
              </w:rPr>
              <w:t>A. Validation cohort</w:t>
            </w:r>
          </w:p>
        </w:tc>
        <w:tc>
          <w:tcPr>
            <w:tcW w:w="1424" w:type="dxa"/>
          </w:tcPr>
          <w:p w:rsidR="00087EEB" w:rsidRPr="00581447" w:rsidRDefault="00087EEB" w:rsidP="00087EEB">
            <w:pPr>
              <w:rPr>
                <w:rFonts w:ascii="Times New Roman" w:hAnsi="Times New Roman" w:cs="Times New Roman"/>
                <w:b/>
              </w:rPr>
            </w:pPr>
          </w:p>
        </w:tc>
      </w:tr>
      <w:tr w:rsidR="00087EEB" w:rsidRPr="00581447" w:rsidTr="00087EEB">
        <w:tc>
          <w:tcPr>
            <w:tcW w:w="1830"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Characteristic</w:t>
            </w:r>
          </w:p>
        </w:tc>
        <w:tc>
          <w:tcPr>
            <w:tcW w:w="1766"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Value</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 xml:space="preserve">Patients, </w:t>
            </w:r>
            <w:r w:rsidRPr="00581447">
              <w:rPr>
                <w:rFonts w:ascii="Times New Roman" w:hAnsi="Times New Roman" w:cs="Times New Roman"/>
                <w:i/>
                <w:iCs/>
              </w:rPr>
              <w:t>n</w:t>
            </w:r>
          </w:p>
        </w:tc>
        <w:tc>
          <w:tcPr>
            <w:tcW w:w="1766"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1,103</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In-hospital deaths</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173 (15.7)</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Age, years</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67 (56–77)</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Male sex</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641 (58.1)</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EASIX</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2.88 (1.33–8.44)</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log2(EASIX), SD</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2.133</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Mechanical ventilation</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339 (30.7)</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Hospital length of stay, days</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6.9 (3.9–12.3)</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EASIX quartile cut-offs</w:t>
            </w:r>
          </w:p>
        </w:tc>
        <w:tc>
          <w:tcPr>
            <w:tcW w:w="1766"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1.33, 2.88, 8.44</w:t>
            </w: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top w:val="single" w:sz="12" w:space="0" w:color="auto"/>
            </w:tcBorders>
          </w:tcPr>
          <w:p w:rsidR="00087EEB" w:rsidRPr="00581447" w:rsidRDefault="00087EEB" w:rsidP="00087EEB">
            <w:pPr>
              <w:rPr>
                <w:rFonts w:ascii="Times New Roman" w:hAnsi="Times New Roman" w:cs="Times New Roman"/>
              </w:rPr>
            </w:pPr>
          </w:p>
        </w:tc>
        <w:tc>
          <w:tcPr>
            <w:tcW w:w="1766" w:type="dxa"/>
            <w:tcBorders>
              <w:top w:val="single" w:sz="12" w:space="0" w:color="auto"/>
            </w:tcBorders>
          </w:tcPr>
          <w:p w:rsidR="00087EEB" w:rsidRPr="00581447" w:rsidRDefault="00087EEB" w:rsidP="00087EEB">
            <w:pPr>
              <w:rPr>
                <w:rFonts w:ascii="Times New Roman" w:hAnsi="Times New Roman" w:cs="Times New Roman"/>
              </w:rPr>
            </w:pPr>
          </w:p>
        </w:tc>
        <w:tc>
          <w:tcPr>
            <w:tcW w:w="1649" w:type="dxa"/>
          </w:tcPr>
          <w:p w:rsidR="00087EEB" w:rsidRPr="00581447" w:rsidRDefault="00087EEB" w:rsidP="00087EEB">
            <w:pPr>
              <w:rPr>
                <w:rFonts w:ascii="Times New Roman" w:hAnsi="Times New Roman" w:cs="Times New Roman"/>
              </w:rPr>
            </w:pPr>
          </w:p>
        </w:tc>
        <w:tc>
          <w:tcPr>
            <w:tcW w:w="1627" w:type="dxa"/>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6872" w:type="dxa"/>
            <w:gridSpan w:val="4"/>
          </w:tcPr>
          <w:p w:rsidR="00087EEB" w:rsidRPr="00581447" w:rsidRDefault="00087EEB" w:rsidP="00087EEB">
            <w:pPr>
              <w:rPr>
                <w:rFonts w:ascii="Times New Roman" w:hAnsi="Times New Roman" w:cs="Times New Roman"/>
                <w:b/>
              </w:rPr>
            </w:pPr>
            <w:r w:rsidRPr="00581447">
              <w:rPr>
                <w:rFonts w:ascii="Times New Roman" w:hAnsi="Times New Roman" w:cs="Times New Roman"/>
                <w:b/>
              </w:rPr>
              <w:t>B. Hazard ratio for in-hospital death</w:t>
            </w: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Exposure metric</w:t>
            </w:r>
          </w:p>
        </w:tc>
        <w:tc>
          <w:tcPr>
            <w:tcW w:w="1766"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Model</w:t>
            </w:r>
          </w:p>
        </w:tc>
        <w:tc>
          <w:tcPr>
            <w:tcW w:w="1649"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HR (95% CI)</w:t>
            </w:r>
          </w:p>
        </w:tc>
        <w:tc>
          <w:tcPr>
            <w:tcW w:w="1627"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i/>
                <w:iCs/>
              </w:rPr>
              <w:t>P</w:t>
            </w:r>
          </w:p>
        </w:tc>
        <w:tc>
          <w:tcPr>
            <w:tcW w:w="1424" w:type="dxa"/>
          </w:tcPr>
          <w:p w:rsidR="00087EEB" w:rsidRPr="00581447" w:rsidRDefault="00087EEB" w:rsidP="00087EEB">
            <w:pPr>
              <w:rPr>
                <w:rFonts w:ascii="Times New Roman" w:hAnsi="Times New Roman" w:cs="Times New Roman"/>
                <w:i/>
                <w:iCs/>
              </w:rPr>
            </w:pPr>
          </w:p>
        </w:tc>
      </w:tr>
      <w:tr w:rsidR="00087EEB" w:rsidRPr="00581447" w:rsidTr="00087EEB">
        <w:tc>
          <w:tcPr>
            <w:tcW w:w="1830"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Per doubling of EASIX</w:t>
            </w:r>
          </w:p>
        </w:tc>
        <w:tc>
          <w:tcPr>
            <w:tcW w:w="1766"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M1 Unadjusted</w:t>
            </w:r>
          </w:p>
        </w:tc>
        <w:tc>
          <w:tcPr>
            <w:tcW w:w="1649"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1.145 (1.072–1.223)</w:t>
            </w:r>
          </w:p>
        </w:tc>
        <w:tc>
          <w:tcPr>
            <w:tcW w:w="1627"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&lt;0.001</w:t>
            </w: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M2 + Age, sex</w:t>
            </w:r>
          </w:p>
        </w:tc>
        <w:tc>
          <w:tcPr>
            <w:tcW w:w="1649"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1.159 (1.084–1.240)</w:t>
            </w:r>
          </w:p>
        </w:tc>
        <w:tc>
          <w:tcPr>
            <w:tcW w:w="1627"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&lt;0.001</w:t>
            </w: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M3 + GCS, mean arterial pressure, mechanical ventilation (primary)</w:t>
            </w:r>
          </w:p>
        </w:tc>
        <w:tc>
          <w:tcPr>
            <w:tcW w:w="1649"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1.121 (1.045–1.203)</w:t>
            </w:r>
          </w:p>
        </w:tc>
        <w:tc>
          <w:tcPr>
            <w:tcW w:w="1627"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0.002</w:t>
            </w: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Per 1 SD of log2(EASIX) (2.133)</w:t>
            </w:r>
          </w:p>
        </w:tc>
        <w:tc>
          <w:tcPr>
            <w:tcW w:w="1766"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M3 (primary)</w:t>
            </w:r>
          </w:p>
        </w:tc>
        <w:tc>
          <w:tcPr>
            <w:tcW w:w="1649"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1.276 (1.098–1.482)</w:t>
            </w:r>
          </w:p>
        </w:tc>
        <w:tc>
          <w:tcPr>
            <w:tcW w:w="1627"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0.002</w:t>
            </w: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1830" w:type="dxa"/>
            <w:tcBorders>
              <w:top w:val="single" w:sz="12" w:space="0" w:color="auto"/>
            </w:tcBorders>
          </w:tcPr>
          <w:p w:rsidR="00087EEB" w:rsidRPr="00581447" w:rsidRDefault="00087EEB" w:rsidP="00087EEB">
            <w:pPr>
              <w:rPr>
                <w:rFonts w:ascii="Times New Roman" w:hAnsi="Times New Roman" w:cs="Times New Roman"/>
              </w:rPr>
            </w:pPr>
          </w:p>
        </w:tc>
        <w:tc>
          <w:tcPr>
            <w:tcW w:w="1766" w:type="dxa"/>
            <w:tcBorders>
              <w:top w:val="single" w:sz="12" w:space="0" w:color="auto"/>
            </w:tcBorders>
          </w:tcPr>
          <w:p w:rsidR="00087EEB" w:rsidRPr="00581447" w:rsidRDefault="00087EEB" w:rsidP="00087EEB">
            <w:pPr>
              <w:rPr>
                <w:rFonts w:ascii="Times New Roman" w:hAnsi="Times New Roman" w:cs="Times New Roman"/>
              </w:rPr>
            </w:pPr>
          </w:p>
        </w:tc>
        <w:tc>
          <w:tcPr>
            <w:tcW w:w="1649" w:type="dxa"/>
            <w:tcBorders>
              <w:top w:val="single" w:sz="12" w:space="0" w:color="auto"/>
            </w:tcBorders>
          </w:tcPr>
          <w:p w:rsidR="00087EEB" w:rsidRPr="00581447" w:rsidRDefault="00087EEB" w:rsidP="00087EEB">
            <w:pPr>
              <w:rPr>
                <w:rFonts w:ascii="Times New Roman" w:hAnsi="Times New Roman" w:cs="Times New Roman"/>
              </w:rPr>
            </w:pPr>
          </w:p>
        </w:tc>
        <w:tc>
          <w:tcPr>
            <w:tcW w:w="1627" w:type="dxa"/>
            <w:tcBorders>
              <w:top w:val="single" w:sz="12" w:space="0" w:color="auto"/>
            </w:tcBorders>
          </w:tcPr>
          <w:p w:rsidR="00087EEB" w:rsidRPr="00581447" w:rsidRDefault="00087EEB" w:rsidP="00087EEB">
            <w:pPr>
              <w:rPr>
                <w:rFonts w:ascii="Times New Roman" w:hAnsi="Times New Roman" w:cs="Times New Roman"/>
              </w:rPr>
            </w:pPr>
          </w:p>
        </w:tc>
        <w:tc>
          <w:tcPr>
            <w:tcW w:w="1424" w:type="dxa"/>
          </w:tcPr>
          <w:p w:rsidR="00087EEB" w:rsidRPr="00581447" w:rsidRDefault="00087EEB" w:rsidP="00087EEB">
            <w:pPr>
              <w:rPr>
                <w:rFonts w:ascii="Times New Roman" w:hAnsi="Times New Roman" w:cs="Times New Roman"/>
              </w:rPr>
            </w:pPr>
          </w:p>
        </w:tc>
      </w:tr>
      <w:tr w:rsidR="00087EEB" w:rsidRPr="00581447" w:rsidTr="00087EEB">
        <w:tc>
          <w:tcPr>
            <w:tcW w:w="6872" w:type="dxa"/>
            <w:gridSpan w:val="4"/>
          </w:tcPr>
          <w:p w:rsidR="00087EEB" w:rsidRPr="00581447" w:rsidRDefault="00087EEB" w:rsidP="00087EEB">
            <w:pPr>
              <w:rPr>
                <w:rFonts w:ascii="Times New Roman" w:hAnsi="Times New Roman" w:cs="Times New Roman"/>
                <w:b/>
              </w:rPr>
            </w:pPr>
            <w:r w:rsidRPr="00581447">
              <w:rPr>
                <w:rFonts w:ascii="Times New Roman" w:hAnsi="Times New Roman" w:cs="Times New Roman"/>
                <w:b/>
              </w:rPr>
              <w:t>C. EASIX quartiles and in-hospital death</w:t>
            </w:r>
          </w:p>
        </w:tc>
        <w:tc>
          <w:tcPr>
            <w:tcW w:w="1424" w:type="dxa"/>
            <w:tcBorders>
              <w:bottom w:val="single" w:sz="12" w:space="0" w:color="auto"/>
            </w:tcBorders>
          </w:tcPr>
          <w:p w:rsidR="00087EEB" w:rsidRPr="00581447" w:rsidRDefault="00087EEB" w:rsidP="00087EEB">
            <w:pPr>
              <w:rPr>
                <w:rFonts w:ascii="Times New Roman" w:hAnsi="Times New Roman" w:cs="Times New Roman"/>
                <w:b/>
              </w:rPr>
            </w:pPr>
          </w:p>
        </w:tc>
      </w:tr>
      <w:tr w:rsidR="00087EEB" w:rsidRPr="00581447" w:rsidTr="00087EEB">
        <w:tc>
          <w:tcPr>
            <w:tcW w:w="1830"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Quartile</w:t>
            </w:r>
          </w:p>
        </w:tc>
        <w:tc>
          <w:tcPr>
            <w:tcW w:w="1766"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i/>
                <w:iCs/>
              </w:rPr>
              <w:t>n</w:t>
            </w:r>
          </w:p>
        </w:tc>
        <w:tc>
          <w:tcPr>
            <w:tcW w:w="1649"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 xml:space="preserve">Deaths, </w:t>
            </w:r>
            <w:r w:rsidRPr="00581447">
              <w:rPr>
                <w:rFonts w:ascii="Times New Roman" w:hAnsi="Times New Roman" w:cs="Times New Roman"/>
                <w:b/>
                <w:i/>
                <w:iCs/>
              </w:rPr>
              <w:t>n</w:t>
            </w:r>
            <w:r w:rsidRPr="00581447">
              <w:rPr>
                <w:rFonts w:ascii="Times New Roman" w:hAnsi="Times New Roman" w:cs="Times New Roman"/>
                <w:b/>
              </w:rPr>
              <w:t xml:space="preserve"> (%)</w:t>
            </w:r>
          </w:p>
        </w:tc>
        <w:tc>
          <w:tcPr>
            <w:tcW w:w="1627"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rPr>
              <w:t>HR (95% CI)</w:t>
            </w:r>
          </w:p>
        </w:tc>
        <w:tc>
          <w:tcPr>
            <w:tcW w:w="1424" w:type="dxa"/>
            <w:tcBorders>
              <w:top w:val="single" w:sz="12" w:space="0" w:color="auto"/>
              <w:bottom w:val="single" w:sz="12" w:space="0" w:color="auto"/>
            </w:tcBorders>
            <w:vAlign w:val="center"/>
          </w:tcPr>
          <w:p w:rsidR="00087EEB" w:rsidRPr="00581447" w:rsidRDefault="00087EEB" w:rsidP="00087EEB">
            <w:pPr>
              <w:rPr>
                <w:rFonts w:ascii="Times New Roman" w:hAnsi="Times New Roman" w:cs="Times New Roman"/>
                <w:b/>
              </w:rPr>
            </w:pPr>
            <w:r w:rsidRPr="00581447">
              <w:rPr>
                <w:rFonts w:ascii="Times New Roman" w:hAnsi="Times New Roman" w:cs="Times New Roman"/>
                <w:b/>
                <w:i/>
                <w:iCs/>
              </w:rPr>
              <w:t>P</w:t>
            </w:r>
          </w:p>
        </w:tc>
      </w:tr>
      <w:tr w:rsidR="00087EEB" w:rsidRPr="00581447" w:rsidTr="00087EEB">
        <w:tc>
          <w:tcPr>
            <w:tcW w:w="1830"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Q1</w:t>
            </w:r>
          </w:p>
        </w:tc>
        <w:tc>
          <w:tcPr>
            <w:tcW w:w="1766"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276</w:t>
            </w:r>
          </w:p>
        </w:tc>
        <w:tc>
          <w:tcPr>
            <w:tcW w:w="1649"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28 (10.1)</w:t>
            </w:r>
          </w:p>
        </w:tc>
        <w:tc>
          <w:tcPr>
            <w:tcW w:w="1627"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1.00 (reference)</w:t>
            </w:r>
          </w:p>
        </w:tc>
        <w:tc>
          <w:tcPr>
            <w:tcW w:w="1424" w:type="dxa"/>
            <w:tcBorders>
              <w:top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w:t>
            </w: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Q2</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276</w:t>
            </w:r>
          </w:p>
        </w:tc>
        <w:tc>
          <w:tcPr>
            <w:tcW w:w="1649"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43 (15.6)</w:t>
            </w:r>
          </w:p>
        </w:tc>
        <w:tc>
          <w:tcPr>
            <w:tcW w:w="1627"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1.333 (0.818–2.169)</w:t>
            </w:r>
          </w:p>
        </w:tc>
        <w:tc>
          <w:tcPr>
            <w:tcW w:w="1424"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0.248</w:t>
            </w: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Q3</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275</w:t>
            </w:r>
          </w:p>
        </w:tc>
        <w:tc>
          <w:tcPr>
            <w:tcW w:w="1649"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33 (12.0)</w:t>
            </w:r>
          </w:p>
        </w:tc>
        <w:tc>
          <w:tcPr>
            <w:tcW w:w="1627"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0.822 (0.493–1.369)</w:t>
            </w:r>
          </w:p>
        </w:tc>
        <w:tc>
          <w:tcPr>
            <w:tcW w:w="1424"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0.451</w:t>
            </w:r>
          </w:p>
        </w:tc>
      </w:tr>
      <w:tr w:rsidR="00087EEB" w:rsidRPr="00581447" w:rsidTr="00087EEB">
        <w:tc>
          <w:tcPr>
            <w:tcW w:w="1830"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Q4</w:t>
            </w:r>
          </w:p>
        </w:tc>
        <w:tc>
          <w:tcPr>
            <w:tcW w:w="1766"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276</w:t>
            </w:r>
          </w:p>
        </w:tc>
        <w:tc>
          <w:tcPr>
            <w:tcW w:w="1649"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69 (25.0)</w:t>
            </w:r>
          </w:p>
        </w:tc>
        <w:tc>
          <w:tcPr>
            <w:tcW w:w="1627"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1.513 (0.964–2.374)</w:t>
            </w:r>
          </w:p>
        </w:tc>
        <w:tc>
          <w:tcPr>
            <w:tcW w:w="1424" w:type="dxa"/>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0.072</w:t>
            </w:r>
          </w:p>
        </w:tc>
      </w:tr>
      <w:tr w:rsidR="00087EEB" w:rsidRPr="00581447" w:rsidTr="00087EEB">
        <w:tc>
          <w:tcPr>
            <w:tcW w:w="1830"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Per one-quartile increase (trend)</w:t>
            </w:r>
          </w:p>
        </w:tc>
        <w:tc>
          <w:tcPr>
            <w:tcW w:w="1766" w:type="dxa"/>
            <w:tcBorders>
              <w:bottom w:val="single" w:sz="12" w:space="0" w:color="auto"/>
            </w:tcBorders>
            <w:vAlign w:val="center"/>
          </w:tcPr>
          <w:p w:rsidR="00087EEB" w:rsidRPr="00581447" w:rsidRDefault="00087EEB" w:rsidP="00087EEB">
            <w:pPr>
              <w:rPr>
                <w:rFonts w:ascii="Times New Roman" w:hAnsi="Times New Roman" w:cs="Times New Roman"/>
              </w:rPr>
            </w:pPr>
          </w:p>
        </w:tc>
        <w:tc>
          <w:tcPr>
            <w:tcW w:w="1649" w:type="dxa"/>
            <w:tcBorders>
              <w:bottom w:val="single" w:sz="12" w:space="0" w:color="auto"/>
            </w:tcBorders>
            <w:vAlign w:val="center"/>
          </w:tcPr>
          <w:p w:rsidR="00087EEB" w:rsidRPr="00581447" w:rsidRDefault="00087EEB" w:rsidP="00087EEB">
            <w:pPr>
              <w:rPr>
                <w:rFonts w:ascii="Times New Roman" w:hAnsi="Times New Roman" w:cs="Times New Roman"/>
              </w:rPr>
            </w:pPr>
          </w:p>
        </w:tc>
        <w:tc>
          <w:tcPr>
            <w:tcW w:w="1627"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1.080 (0.989–1.179)</w:t>
            </w:r>
          </w:p>
        </w:tc>
        <w:tc>
          <w:tcPr>
            <w:tcW w:w="1424" w:type="dxa"/>
            <w:tcBorders>
              <w:bottom w:val="single" w:sz="12" w:space="0" w:color="auto"/>
            </w:tcBorders>
            <w:vAlign w:val="center"/>
          </w:tcPr>
          <w:p w:rsidR="00087EEB" w:rsidRPr="00581447" w:rsidRDefault="00087EEB" w:rsidP="00087EEB">
            <w:pPr>
              <w:rPr>
                <w:rFonts w:ascii="Times New Roman" w:hAnsi="Times New Roman" w:cs="Times New Roman"/>
              </w:rPr>
            </w:pPr>
            <w:r w:rsidRPr="00581447">
              <w:rPr>
                <w:rFonts w:ascii="Times New Roman" w:hAnsi="Times New Roman" w:cs="Times New Roman"/>
              </w:rPr>
              <w:t>0.085</w:t>
            </w:r>
          </w:p>
        </w:tc>
      </w:tr>
      <w:tr w:rsidR="00087EEB" w:rsidRPr="00581447" w:rsidTr="00087EEB">
        <w:tc>
          <w:tcPr>
            <w:tcW w:w="8296" w:type="dxa"/>
            <w:gridSpan w:val="5"/>
          </w:tcPr>
          <w:p w:rsidR="00087EEB" w:rsidRPr="00581447" w:rsidRDefault="00087EEB" w:rsidP="00087EEB">
            <w:pPr>
              <w:rPr>
                <w:rFonts w:ascii="Times New Roman" w:hAnsi="Times New Roman" w:cs="Times New Roman"/>
                <w:sz w:val="13"/>
                <w:szCs w:val="13"/>
              </w:rPr>
            </w:pPr>
            <w:r w:rsidRPr="00581447">
              <w:rPr>
                <w:rFonts w:ascii="Times New Roman" w:hAnsi="Times New Roman" w:cs="Times New Roman"/>
                <w:sz w:val="13"/>
                <w:szCs w:val="13"/>
              </w:rPr>
              <w:t>The endpoint was in-hospital death, with patients discharged alive censored at discharge. EASIX quartiles were derived within the validation cohort. M1, unadjusted; M2, adjusted for age and sex; M3, additionally adjusted for Glasgow Coma Scale, lowest mean arterial pressure within 24 h and mechanical ventilation (primary model). No stratification factors and no time-varying terms were used; a single hazard ratio is reported for each model. Kaplan–Meier estimates and the log-rank test are unadjusted (log-rank P = 0.005).</w:t>
            </w:r>
          </w:p>
          <w:p w:rsidR="00087EEB" w:rsidRPr="00581447" w:rsidRDefault="00087EEB" w:rsidP="00087EEB">
            <w:pPr>
              <w:rPr>
                <w:rFonts w:ascii="Times New Roman" w:hAnsi="Times New Roman" w:cs="Times New Roman"/>
              </w:rPr>
            </w:pPr>
            <w:r w:rsidRPr="00581447">
              <w:rPr>
                <w:rFonts w:ascii="Times New Roman" w:hAnsi="Times New Roman" w:cs="Times New Roman"/>
                <w:sz w:val="13"/>
                <w:szCs w:val="13"/>
              </w:rPr>
              <w:t>Abbreviations. CI, confidence interval; CKM, cardiovascular–kidney–metabolic; EASIX, Endothelial Activation and Stress Index; GCS, Glasgow Coma Scale; HR, hazard ratio; IQR, interquartile range; SD, standard deviation.</w:t>
            </w:r>
          </w:p>
        </w:tc>
      </w:tr>
    </w:tbl>
    <w:p w:rsidR="00087EEB" w:rsidRPr="00581447" w:rsidRDefault="00087EEB">
      <w:pPr>
        <w:rPr>
          <w:rFonts w:ascii="Times New Roman" w:hAnsi="Times New Roman" w:cs="Times New Roman"/>
        </w:rPr>
      </w:pPr>
    </w:p>
    <w:p w:rsidR="00087EEB" w:rsidRPr="00581447" w:rsidRDefault="00087EEB">
      <w:pPr>
        <w:rPr>
          <w:rFonts w:ascii="Times New Roman" w:hAnsi="Times New Roman" w:cs="Times New Roman"/>
        </w:rPr>
      </w:pPr>
    </w:p>
    <w:p w:rsidR="00087EEB" w:rsidRPr="00581447" w:rsidRDefault="00087EEB">
      <w:pPr>
        <w:rPr>
          <w:rFonts w:ascii="Times New Roman" w:hAnsi="Times New Roman" w:cs="Times New Roman"/>
        </w:rPr>
      </w:pPr>
    </w:p>
    <w:p w:rsidR="0084732E" w:rsidRDefault="0084732E">
      <w:pPr>
        <w:rPr>
          <w:rFonts w:ascii="Times New Roman" w:hAnsi="Times New Roman" w:cs="Times New Roman"/>
        </w:rPr>
      </w:pPr>
    </w:p>
    <w:p w:rsidR="00581447" w:rsidRPr="00581447" w:rsidRDefault="00581447">
      <w:pPr>
        <w:rPr>
          <w:rFonts w:ascii="Times New Roman" w:hAnsi="Times New Roman" w:cs="Times New Roman" w:hint="eastAsia"/>
        </w:rPr>
      </w:pPr>
      <w:bookmarkStart w:id="10" w:name="_GoBack"/>
      <w:bookmarkEnd w:id="10"/>
    </w:p>
    <w:sectPr w:rsidR="00581447" w:rsidRPr="005814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DE2" w:rsidRDefault="00AB0DE2" w:rsidP="00F0275A">
      <w:r>
        <w:separator/>
      </w:r>
    </w:p>
  </w:endnote>
  <w:endnote w:type="continuationSeparator" w:id="0">
    <w:p w:rsidR="00AB0DE2" w:rsidRDefault="00AB0DE2" w:rsidP="00F0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DE2" w:rsidRDefault="00AB0DE2" w:rsidP="00F0275A">
      <w:r>
        <w:separator/>
      </w:r>
    </w:p>
  </w:footnote>
  <w:footnote w:type="continuationSeparator" w:id="0">
    <w:p w:rsidR="00AB0DE2" w:rsidRDefault="00AB0DE2" w:rsidP="00F02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F22"/>
    <w:rsid w:val="000669F4"/>
    <w:rsid w:val="00087EEB"/>
    <w:rsid w:val="00205C12"/>
    <w:rsid w:val="00250A80"/>
    <w:rsid w:val="00285DEA"/>
    <w:rsid w:val="00382F1D"/>
    <w:rsid w:val="003B7F22"/>
    <w:rsid w:val="004A5504"/>
    <w:rsid w:val="00506F02"/>
    <w:rsid w:val="00581447"/>
    <w:rsid w:val="0084732E"/>
    <w:rsid w:val="009E1B43"/>
    <w:rsid w:val="00A8019A"/>
    <w:rsid w:val="00AB0DE2"/>
    <w:rsid w:val="00CC74D3"/>
    <w:rsid w:val="00F02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2F36B5C6-CB33-478E-BC67-2DF37D9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27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0275A"/>
    <w:rPr>
      <w:sz w:val="18"/>
      <w:szCs w:val="18"/>
    </w:rPr>
  </w:style>
  <w:style w:type="paragraph" w:styleId="a4">
    <w:name w:val="footer"/>
    <w:basedOn w:val="a"/>
    <w:link w:val="Char0"/>
    <w:uiPriority w:val="99"/>
    <w:unhideWhenUsed/>
    <w:rsid w:val="00F0275A"/>
    <w:pPr>
      <w:tabs>
        <w:tab w:val="center" w:pos="4153"/>
        <w:tab w:val="right" w:pos="8306"/>
      </w:tabs>
      <w:snapToGrid w:val="0"/>
      <w:jc w:val="left"/>
    </w:pPr>
    <w:rPr>
      <w:sz w:val="18"/>
      <w:szCs w:val="18"/>
    </w:rPr>
  </w:style>
  <w:style w:type="character" w:customStyle="1" w:styleId="Char0">
    <w:name w:val="页脚 Char"/>
    <w:basedOn w:val="a0"/>
    <w:link w:val="a4"/>
    <w:uiPriority w:val="99"/>
    <w:rsid w:val="00F0275A"/>
    <w:rPr>
      <w:sz w:val="18"/>
      <w:szCs w:val="18"/>
    </w:rPr>
  </w:style>
  <w:style w:type="table" w:styleId="a5">
    <w:name w:val="Table Grid"/>
    <w:basedOn w:val="a1"/>
    <w:uiPriority w:val="39"/>
    <w:rsid w:val="00F027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4789">
      <w:bodyDiv w:val="1"/>
      <w:marLeft w:val="0"/>
      <w:marRight w:val="0"/>
      <w:marTop w:val="0"/>
      <w:marBottom w:val="0"/>
      <w:divBdr>
        <w:top w:val="none" w:sz="0" w:space="0" w:color="auto"/>
        <w:left w:val="none" w:sz="0" w:space="0" w:color="auto"/>
        <w:bottom w:val="none" w:sz="0" w:space="0" w:color="auto"/>
        <w:right w:val="none" w:sz="0" w:space="0" w:color="auto"/>
      </w:divBdr>
    </w:div>
    <w:div w:id="241262130">
      <w:bodyDiv w:val="1"/>
      <w:marLeft w:val="0"/>
      <w:marRight w:val="0"/>
      <w:marTop w:val="0"/>
      <w:marBottom w:val="0"/>
      <w:divBdr>
        <w:top w:val="none" w:sz="0" w:space="0" w:color="auto"/>
        <w:left w:val="none" w:sz="0" w:space="0" w:color="auto"/>
        <w:bottom w:val="none" w:sz="0" w:space="0" w:color="auto"/>
        <w:right w:val="none" w:sz="0" w:space="0" w:color="auto"/>
      </w:divBdr>
    </w:div>
    <w:div w:id="626200760">
      <w:bodyDiv w:val="1"/>
      <w:marLeft w:val="0"/>
      <w:marRight w:val="0"/>
      <w:marTop w:val="0"/>
      <w:marBottom w:val="0"/>
      <w:divBdr>
        <w:top w:val="none" w:sz="0" w:space="0" w:color="auto"/>
        <w:left w:val="none" w:sz="0" w:space="0" w:color="auto"/>
        <w:bottom w:val="none" w:sz="0" w:space="0" w:color="auto"/>
        <w:right w:val="none" w:sz="0" w:space="0" w:color="auto"/>
      </w:divBdr>
    </w:div>
    <w:div w:id="720055066">
      <w:bodyDiv w:val="1"/>
      <w:marLeft w:val="0"/>
      <w:marRight w:val="0"/>
      <w:marTop w:val="0"/>
      <w:marBottom w:val="0"/>
      <w:divBdr>
        <w:top w:val="none" w:sz="0" w:space="0" w:color="auto"/>
        <w:left w:val="none" w:sz="0" w:space="0" w:color="auto"/>
        <w:bottom w:val="none" w:sz="0" w:space="0" w:color="auto"/>
        <w:right w:val="none" w:sz="0" w:space="0" w:color="auto"/>
      </w:divBdr>
    </w:div>
    <w:div w:id="725374631">
      <w:bodyDiv w:val="1"/>
      <w:marLeft w:val="0"/>
      <w:marRight w:val="0"/>
      <w:marTop w:val="0"/>
      <w:marBottom w:val="0"/>
      <w:divBdr>
        <w:top w:val="none" w:sz="0" w:space="0" w:color="auto"/>
        <w:left w:val="none" w:sz="0" w:space="0" w:color="auto"/>
        <w:bottom w:val="none" w:sz="0" w:space="0" w:color="auto"/>
        <w:right w:val="none" w:sz="0" w:space="0" w:color="auto"/>
      </w:divBdr>
    </w:div>
    <w:div w:id="760419701">
      <w:bodyDiv w:val="1"/>
      <w:marLeft w:val="0"/>
      <w:marRight w:val="0"/>
      <w:marTop w:val="0"/>
      <w:marBottom w:val="0"/>
      <w:divBdr>
        <w:top w:val="none" w:sz="0" w:space="0" w:color="auto"/>
        <w:left w:val="none" w:sz="0" w:space="0" w:color="auto"/>
        <w:bottom w:val="none" w:sz="0" w:space="0" w:color="auto"/>
        <w:right w:val="none" w:sz="0" w:space="0" w:color="auto"/>
      </w:divBdr>
    </w:div>
    <w:div w:id="762384947">
      <w:bodyDiv w:val="1"/>
      <w:marLeft w:val="0"/>
      <w:marRight w:val="0"/>
      <w:marTop w:val="0"/>
      <w:marBottom w:val="0"/>
      <w:divBdr>
        <w:top w:val="none" w:sz="0" w:space="0" w:color="auto"/>
        <w:left w:val="none" w:sz="0" w:space="0" w:color="auto"/>
        <w:bottom w:val="none" w:sz="0" w:space="0" w:color="auto"/>
        <w:right w:val="none" w:sz="0" w:space="0" w:color="auto"/>
      </w:divBdr>
    </w:div>
    <w:div w:id="784467040">
      <w:bodyDiv w:val="1"/>
      <w:marLeft w:val="0"/>
      <w:marRight w:val="0"/>
      <w:marTop w:val="0"/>
      <w:marBottom w:val="0"/>
      <w:divBdr>
        <w:top w:val="none" w:sz="0" w:space="0" w:color="auto"/>
        <w:left w:val="none" w:sz="0" w:space="0" w:color="auto"/>
        <w:bottom w:val="none" w:sz="0" w:space="0" w:color="auto"/>
        <w:right w:val="none" w:sz="0" w:space="0" w:color="auto"/>
      </w:divBdr>
    </w:div>
    <w:div w:id="822355021">
      <w:bodyDiv w:val="1"/>
      <w:marLeft w:val="0"/>
      <w:marRight w:val="0"/>
      <w:marTop w:val="0"/>
      <w:marBottom w:val="0"/>
      <w:divBdr>
        <w:top w:val="none" w:sz="0" w:space="0" w:color="auto"/>
        <w:left w:val="none" w:sz="0" w:space="0" w:color="auto"/>
        <w:bottom w:val="none" w:sz="0" w:space="0" w:color="auto"/>
        <w:right w:val="none" w:sz="0" w:space="0" w:color="auto"/>
      </w:divBdr>
    </w:div>
    <w:div w:id="972713003">
      <w:bodyDiv w:val="1"/>
      <w:marLeft w:val="0"/>
      <w:marRight w:val="0"/>
      <w:marTop w:val="0"/>
      <w:marBottom w:val="0"/>
      <w:divBdr>
        <w:top w:val="none" w:sz="0" w:space="0" w:color="auto"/>
        <w:left w:val="none" w:sz="0" w:space="0" w:color="auto"/>
        <w:bottom w:val="none" w:sz="0" w:space="0" w:color="auto"/>
        <w:right w:val="none" w:sz="0" w:space="0" w:color="auto"/>
      </w:divBdr>
    </w:div>
    <w:div w:id="1434207699">
      <w:bodyDiv w:val="1"/>
      <w:marLeft w:val="0"/>
      <w:marRight w:val="0"/>
      <w:marTop w:val="0"/>
      <w:marBottom w:val="0"/>
      <w:divBdr>
        <w:top w:val="none" w:sz="0" w:space="0" w:color="auto"/>
        <w:left w:val="none" w:sz="0" w:space="0" w:color="auto"/>
        <w:bottom w:val="none" w:sz="0" w:space="0" w:color="auto"/>
        <w:right w:val="none" w:sz="0" w:space="0" w:color="auto"/>
      </w:divBdr>
    </w:div>
    <w:div w:id="187985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16</Pages>
  <Words>3248</Words>
  <Characters>18516</Characters>
  <Application>Microsoft Office Word</Application>
  <DocSecurity>0</DocSecurity>
  <Lines>154</Lines>
  <Paragraphs>43</Paragraphs>
  <ScaleCrop>false</ScaleCrop>
  <Company/>
  <LinksUpToDate>false</LinksUpToDate>
  <CharactersWithSpaces>21721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LQL</dc:creator>
  <cp:keywords/>
  <dc:description/>
  <cp:lastModifiedBy>LQL</cp:lastModifiedBy>
  <cp:revision>20</cp:revision>
  <dcterms:created xsi:type="dcterms:W3CDTF">2026-11-02T10:30:00Z</dcterms:created>
  <dcterms:modified xsi:type="dcterms:W3CDTF">2026-11-02T13:18:00Z</dcterms:modified>
</cp:coreProperties>
</file>