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Times New Roman" w:hAnsi="Times New Roman"/>
          <w:sz w:val="36"/>
        </w:rPr>
        <w:t>Supporting Information</w:t>
      </w:r>
    </w:p>
    <w:p>
      <w:r>
        <w:t>Common Policy Communication and Sovereign Yield Curves</w:t>
      </w:r>
    </w:p>
    <w:p>
      <w:r>
        <w:t>Appendices A to G</w:t>
      </w:r>
    </w:p>
    <w:p>
      <w:pPr>
        <w:pStyle w:val="Heading1"/>
        <w:pageBreakBefore w:val="0"/>
      </w:pPr>
      <w:r>
        <w:t>Appendix A Yield conventions and long curve robustness</w:t>
      </w:r>
    </w:p>
    <w:p>
      <w:pPr>
        <w:widowControl/>
        <w:jc w:val="both"/>
      </w:pPr>
      <w:r>
        <w:t>Long-curve breadth is assessed in the United States, Germany, United Kingdom and Japan, where exact 30-year series are available. The matched sample begins in 2016. After converting German zero yields to a continuous basis, thirty-minus-ten-year slope commonality changes by only 0.82 percentage points, with a 95% block interval spanning zero; results are reported using the conventional thirty-minus-ten slope. The three-market fitted-zero subset retains a 10.53-percentage-point rise in two-year commonality after convention harmonization. The localization result applies to the six-market ten-minus-two spread; the thirty-minus-ten segment has an imprecisely estimated commonality change.</w:t>
      </w:r>
    </w:p>
    <w:p>
      <w:pPr>
        <w:pStyle w:val="Caption"/>
        <w:keepNext/>
        <w:widowControl/>
      </w:pPr>
      <w:r>
        <w:t>Table A1 Long curve and compounding convention robustness</w:t>
      </w:r>
    </w:p>
    <w:tbl>
      <w:tblPr>
        <w:tblW w:type="auto" w:w="0"/>
        <w:jc w:val="center"/>
        <w:tblLayout w:type="fixed"/>
        <w:tblLook w:firstColumn="1" w:firstRow="1" w:lastColumn="0" w:lastRow="0" w:noHBand="0" w:noVBand="1" w:val="04A0"/>
      </w:tblPr>
      <w:tblGrid>
        <w:gridCol w:w="2376"/>
        <w:gridCol w:w="2376"/>
        <w:gridCol w:w="2376"/>
        <w:gridCol w:w="2376"/>
      </w:tblGrid>
      <w:tr>
        <w:trPr>
          <w:cantSplit/>
          <w:tblHeader/>
        </w:trPr>
        <w:tc>
          <w:tcPr>
            <w:tcW w:type="dxa" w:w="259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40" w:before="40" w:line="252" w:lineRule="auto"/>
              <w:jc w:val="left"/>
            </w:pPr>
            <w:r>
              <w:rPr>
                <w:b/>
                <w:sz w:val="19"/>
              </w:rPr>
              <w:t>Market sample</w:t>
            </w:r>
          </w:p>
        </w:tc>
        <w:tc>
          <w:tcPr>
            <w:tcW w:type="dxa" w:w="172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40" w:before="40" w:line="252" w:lineRule="auto"/>
              <w:jc w:val="center"/>
            </w:pPr>
            <w:r>
              <w:rPr>
                <w:b/>
                <w:sz w:val="19"/>
              </w:rPr>
              <w:t>Yield object</w:t>
            </w:r>
          </w:p>
        </w:tc>
        <w:tc>
          <w:tcPr>
            <w:tcW w:type="dxa" w:w="172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40" w:before="40" w:line="252" w:lineRule="auto"/>
              <w:jc w:val="center"/>
            </w:pPr>
            <w:r>
              <w:rPr>
                <w:b/>
                <w:sz w:val="19"/>
              </w:rPr>
              <w:t>Change pp</w:t>
            </w:r>
          </w:p>
        </w:tc>
        <w:tc>
          <w:tcPr>
            <w:tcW w:type="dxa" w:w="316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40" w:before="40" w:line="252" w:lineRule="auto"/>
              <w:jc w:val="center"/>
            </w:pPr>
            <w:r>
              <w:rPr>
                <w:b/>
                <w:sz w:val="19"/>
              </w:rPr>
              <w:t>95% block interval</w:t>
            </w:r>
          </w:p>
        </w:tc>
      </w:tr>
      <w:tr>
        <w:trPr>
          <w:cantSplit/>
        </w:trPr>
        <w:tc>
          <w:tcPr>
            <w:tcW w:type="dxa" w:w="259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left"/>
            </w:pPr>
            <w:r>
              <w:rPr>
                <w:b w:val="0"/>
                <w:sz w:val="19"/>
              </w:rPr>
              <w:t>Four markets</w:t>
            </w:r>
          </w:p>
        </w:tc>
        <w:tc>
          <w:tcPr>
            <w:tcW w:type="dxa" w:w="172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2Y</w:t>
            </w:r>
          </w:p>
        </w:tc>
        <w:tc>
          <w:tcPr>
            <w:tcW w:type="dxa" w:w="172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4.70</w:t>
            </w:r>
          </w:p>
        </w:tc>
        <w:tc>
          <w:tcPr>
            <w:tcW w:type="dxa" w:w="316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[-4.76, 15.02]</w:t>
            </w:r>
          </w:p>
        </w:tc>
      </w:tr>
      <w:tr>
        <w:trPr>
          <w:cantSplit/>
        </w:trPr>
        <w:tc>
          <w:tcPr>
            <w:tcW w:type="dxa" w:w="259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left"/>
            </w:pPr>
            <w:r>
              <w:rPr>
                <w:b w:val="0"/>
                <w:sz w:val="19"/>
              </w:rPr>
              <w:t>Four markets</w:t>
            </w:r>
          </w:p>
        </w:tc>
        <w:tc>
          <w:tcPr>
            <w:tcW w:type="dxa" w:w="172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10Y</w:t>
            </w:r>
          </w:p>
        </w:tc>
        <w:tc>
          <w:tcPr>
            <w:tcW w:type="dxa" w:w="172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-2.56</w:t>
            </w:r>
          </w:p>
        </w:tc>
        <w:tc>
          <w:tcPr>
            <w:tcW w:type="dxa" w:w="316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[-8.00, 3.31]</w:t>
            </w:r>
          </w:p>
        </w:tc>
      </w:tr>
      <w:tr>
        <w:trPr>
          <w:cantSplit/>
        </w:trPr>
        <w:tc>
          <w:tcPr>
            <w:tcW w:type="dxa" w:w="259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left"/>
            </w:pPr>
            <w:r>
              <w:rPr>
                <w:b w:val="0"/>
                <w:sz w:val="19"/>
              </w:rPr>
              <w:t>Four markets</w:t>
            </w:r>
          </w:p>
        </w:tc>
        <w:tc>
          <w:tcPr>
            <w:tcW w:type="dxa" w:w="172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2s10s</w:t>
            </w:r>
          </w:p>
        </w:tc>
        <w:tc>
          <w:tcPr>
            <w:tcW w:type="dxa" w:w="172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-7.11</w:t>
            </w:r>
          </w:p>
        </w:tc>
        <w:tc>
          <w:tcPr>
            <w:tcW w:type="dxa" w:w="316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[-17.18, 3.41]</w:t>
            </w:r>
          </w:p>
        </w:tc>
      </w:tr>
      <w:tr>
        <w:trPr>
          <w:cantSplit/>
        </w:trPr>
        <w:tc>
          <w:tcPr>
            <w:tcW w:type="dxa" w:w="259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left"/>
            </w:pPr>
            <w:r>
              <w:rPr>
                <w:b w:val="0"/>
                <w:sz w:val="19"/>
              </w:rPr>
              <w:t>Four markets</w:t>
            </w:r>
          </w:p>
        </w:tc>
        <w:tc>
          <w:tcPr>
            <w:tcW w:type="dxa" w:w="172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10s30s</w:t>
            </w:r>
          </w:p>
        </w:tc>
        <w:tc>
          <w:tcPr>
            <w:tcW w:type="dxa" w:w="172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0.82</w:t>
            </w:r>
          </w:p>
        </w:tc>
        <w:tc>
          <w:tcPr>
            <w:tcW w:type="dxa" w:w="316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[-8.25, 11.98]</w:t>
            </w:r>
          </w:p>
        </w:tc>
      </w:tr>
      <w:tr>
        <w:trPr>
          <w:cantSplit/>
        </w:trPr>
        <w:tc>
          <w:tcPr>
            <w:tcW w:type="dxa" w:w="259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left"/>
            </w:pPr>
            <w:r>
              <w:rPr>
                <w:b w:val="0"/>
                <w:sz w:val="19"/>
              </w:rPr>
              <w:t>Three fitted zero</w:t>
            </w:r>
          </w:p>
        </w:tc>
        <w:tc>
          <w:tcPr>
            <w:tcW w:type="dxa" w:w="172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2Y</w:t>
            </w:r>
          </w:p>
        </w:tc>
        <w:tc>
          <w:tcPr>
            <w:tcW w:type="dxa" w:w="172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10.53</w:t>
            </w:r>
          </w:p>
        </w:tc>
        <w:tc>
          <w:tcPr>
            <w:tcW w:type="dxa" w:w="316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[0.23, 19.91]</w:t>
            </w:r>
          </w:p>
        </w:tc>
      </w:tr>
      <w:tr>
        <w:trPr>
          <w:cantSplit/>
        </w:trPr>
        <w:tc>
          <w:tcPr>
            <w:tcW w:type="dxa" w:w="259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left"/>
            </w:pPr>
            <w:r>
              <w:rPr>
                <w:b w:val="0"/>
                <w:sz w:val="19"/>
              </w:rPr>
              <w:t>Three fitted zero</w:t>
            </w:r>
          </w:p>
        </w:tc>
        <w:tc>
          <w:tcPr>
            <w:tcW w:type="dxa" w:w="172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10Y</w:t>
            </w:r>
          </w:p>
        </w:tc>
        <w:tc>
          <w:tcPr>
            <w:tcW w:type="dxa" w:w="172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-1.27</w:t>
            </w:r>
          </w:p>
        </w:tc>
        <w:tc>
          <w:tcPr>
            <w:tcW w:type="dxa" w:w="316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[-4.67, 2.77]</w:t>
            </w:r>
          </w:p>
        </w:tc>
      </w:tr>
      <w:tr>
        <w:trPr>
          <w:cantSplit/>
        </w:trPr>
        <w:tc>
          <w:tcPr>
            <w:tcW w:type="dxa" w:w="259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left"/>
            </w:pPr>
            <w:r>
              <w:rPr>
                <w:b w:val="0"/>
                <w:sz w:val="19"/>
              </w:rPr>
              <w:t>Three fitted zero</w:t>
            </w:r>
          </w:p>
        </w:tc>
        <w:tc>
          <w:tcPr>
            <w:tcW w:type="dxa" w:w="172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2s10s</w:t>
            </w:r>
          </w:p>
        </w:tc>
        <w:tc>
          <w:tcPr>
            <w:tcW w:type="dxa" w:w="172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-7.90</w:t>
            </w:r>
          </w:p>
        </w:tc>
        <w:tc>
          <w:tcPr>
            <w:tcW w:type="dxa" w:w="316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val="0"/>
              <w:spacing w:after="40" w:before="40" w:line="252" w:lineRule="auto"/>
              <w:jc w:val="center"/>
            </w:pPr>
            <w:r>
              <w:rPr>
                <w:b w:val="0"/>
                <w:sz w:val="19"/>
              </w:rPr>
              <w:t>[-15.69, 0.84]</w:t>
            </w:r>
          </w:p>
        </w:tc>
      </w:tr>
    </w:tbl>
    <w:p>
      <w:pPr>
        <w:widowControl/>
      </w:pPr>
    </w:p>
    <w:p>
      <w:pPr>
        <w:widowControl/>
      </w:pPr>
      <w:r>
        <w:rPr>
          <w:sz w:val="18"/>
        </w:rPr>
        <w:t>Note Changes compare post-2020 with pre-2020 commonality. Four-market 30Y coverage begins in 2016; the fitted-zero subset begins in 2014. German spot yields are converted to continuous compounding; the Japanese constant-maturity coupon-yield convention remains distinct. Conventional curve labels denote longer minus shorter maturity. Intervals are descriptive 1000-draw 13-week block intervals.</w:t>
      </w:r>
    </w:p>
    <w:p>
      <w:pPr>
        <w:pStyle w:val="Heading1"/>
      </w:pPr>
      <w:r>
        <w:t>Appendix B Financing announcements and international pricing</w:t>
      </w:r>
    </w:p>
    <w:p>
      <w:pPr>
        <w:pStyle w:val="Heading2"/>
      </w:pPr>
      <w:r>
        <w:t>B 1 Official forecasts and source shock construction</w:t>
      </w:r>
    </w:p>
    <w:p>
      <w:pPr>
        <w:widowControl/>
        <w:jc w:val="both"/>
      </w:pPr>
      <w:r>
        <w:t>To move beyond realized supply, we archive 48 official quarterly financing releases for 2014–2025 and compare consecutive forecasts for the same calendar quarter. The 2015–2025 analysis contains 44 revisions. The difference between the updated and earlier forecasts measures the revision in the official financing forecast. We also construct a cash-adjusted financing revision by subtracting changes in assumed ending cash and adding changes in beginning cash relative to the preceding assumption. This residual still contains financing components beyond the primary deficit.</w:t>
      </w:r>
    </w:p>
    <w:p>
      <w:pPr>
        <w:widowControl/>
        <w:jc w:val="both"/>
      </w:pPr>
      <w:r>
        <w:t>Each market’s daily window runs from its last valid quote before the announcement date to the first quote on or after the following calendar day. We reject windows whose endpoints are more than four days before or two days after release. Market-specific quote availability determines these daily event windows. Forty-four US releases match successfully. The US cash-decomposed coefficients per $100 billion are −0.10 bp at ten years and 0.02 bp for the curve, with intervals containing zero. The non-pandemic ten-year point estimate is positive but remains imprecise. The forecast-revision estimates remain imprecise alongside the positive realized-supply association.</w:t>
      </w:r>
    </w:p>
    <w:p>
      <w:pPr>
        <w:widowControl/>
        <w:jc w:val="both"/>
      </w:pPr>
      <w:r>
        <w:t>We separately use the author-published daily Treasury policy shock from Endo, Pallara, Sfregola, and Zanotti (2026). We preserve its construction and normalize it by the standard deviation of its nonzero values in our sample. Because this measure is constructed from US interest-rate futures prices, we use only foreign yield outcomes for the validation extension. The validation outcomes therefore cover the five foreign markets. The analysis retains 285 nonzero source dates from 2015 through May 2025 and matches 1,372 eligible foreign market-date observations.</w:t>
      </w:r>
    </w:p>
    <w:p>
      <w:pPr>
        <w:widowControl/>
        <w:jc w:val="both"/>
      </w:pPr>
      <w:r>
        <w:t>The foreign regressions include a flag for observed policy communications over the inclusive endpoint dates. These records cover the assembled corpus, retained special releases, and the USMPD statement calendar; they are not an exhaustive six-bank decision calendar. A one-standard-deviation author shock is associated with a 1.54 bp increase in Canadian ten-year yields and a 1.97 bp increase in UK ten-year yields. The five-market Holm adjustment retains both associations, as does a supplementary calendar-distance HAC calculation. Australian, German and Japanese ten-year results do not pass the same adjusted test. Direct country differences require paired coefficient comparisons.</w:t>
      </w:r>
    </w:p>
    <w:p>
      <w:pPr>
        <w:widowControl/>
        <w:jc w:val="both"/>
      </w:pPr>
      <w:r>
        <w:t>Excluding windows overlapping observed policy releases reduces the Canadian and UK ten-year coefficients to about 0.90 and 0.99 bp, with intervals containing zero. Prior-window placebo coefficients for these markets also have intervals containing zero. The estimates describe conditional cross-border repricing within the documented daily windows. Paired comparisons assess transmission differences directly.</w:t>
      </w:r>
    </w:p>
    <w:p>
      <w:pPr>
        <w:widowControl/>
        <w:jc w:val="both"/>
      </w:pPr>
      <w:r>
        <w:t>The source’s monthly worksheet applies temporal weights rather than a simple sum of daily shocks. We reproduce its within-month contribution using the fraction of calendar days remaining, including the announcement day, and carry the remainder into the next month. The reconstruction matches 324 published months within 0.000004 source units. Our event regressions use the daily worksheet only. The source paper reports 597 announcements, and the frozen workbook contains 592 nonzero daily values. The analysis uses observed nonzero dates because complete event-status information for the remaining dates is unavailable.</w:t>
      </w:r>
    </w:p>
    <w:p>
      <w:pPr>
        <w:widowControl/>
        <w:jc w:val="both"/>
      </w:pPr>
      <w:r>
        <w:t>This extension separates statistical commonality from geographic origin. A domestic policy announcement can contribute to correlated foreign yield movements. Nationally originating fiscal news can thus contribute to the common component of international yields. This distinction links the announcement evidence to the paper’s original common-versus-local pricing question.</w:t>
      </w:r>
    </w:p>
    <w:p>
      <w:pPr>
        <w:pStyle w:val="Caption"/>
        <w:keepNext/>
        <w:widowControl/>
      </w:pPr>
      <w:r>
        <w:t>Table B1 Official financing forecast revision tests</w:t>
      </w:r>
    </w:p>
    <w:tbl>
      <w:tblPr>
        <w:tblW w:type="auto" w:w="0"/>
        <w:jc w:val="center"/>
        <w:tblLayout w:type="fixed"/>
        <w:tblLook w:firstColumn="1" w:firstRow="1" w:lastColumn="0" w:lastRow="0" w:noHBand="0" w:noVBand="1" w:val="04A0"/>
      </w:tblPr>
      <w:tblGrid>
        <w:gridCol w:w="1901"/>
        <w:gridCol w:w="1901"/>
        <w:gridCol w:w="1901"/>
        <w:gridCol w:w="1901"/>
        <w:gridCol w:w="1901"/>
      </w:tblGrid>
      <w:tr>
        <w:trPr>
          <w:cantSplit/>
          <w:tblHeader/>
        </w:trPr>
        <w:tc>
          <w:tcPr>
            <w:tcW w:type="dxa" w:w="144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40" w:before="40" w:line="252" w:lineRule="auto"/>
              <w:jc w:val="left"/>
            </w:pPr>
            <w:r>
              <w:rPr>
                <w:b/>
                <w:sz w:val="19"/>
              </w:rPr>
              <w:t>Outcome</w:t>
            </w:r>
          </w:p>
        </w:tc>
        <w:tc>
          <w:tcPr>
            <w:tcW w:type="dxa" w:w="100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40" w:before="40" w:line="252" w:lineRule="auto"/>
              <w:jc w:val="center"/>
            </w:pPr>
            <w:r>
              <w:rPr>
                <w:b/>
                <w:sz w:val="19"/>
              </w:rPr>
              <w:t>Events</w:t>
            </w:r>
          </w:p>
        </w:tc>
        <w:tc>
          <w:tcPr>
            <w:tcW w:type="dxa" w:w="201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40" w:before="40" w:line="252" w:lineRule="auto"/>
              <w:jc w:val="center"/>
            </w:pPr>
            <w:r>
              <w:rPr>
                <w:b/>
                <w:sz w:val="19"/>
              </w:rPr>
              <w:t>Coefficient bp</w:t>
            </w:r>
          </w:p>
        </w:tc>
        <w:tc>
          <w:tcPr>
            <w:tcW w:type="dxa" w:w="288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40" w:before="40" w:line="252" w:lineRule="auto"/>
              <w:jc w:val="center"/>
            </w:pPr>
            <w:r>
              <w:rPr>
                <w:b/>
                <w:sz w:val="19"/>
              </w:rPr>
              <w:t>95% HC3 interval</w:t>
            </w:r>
          </w:p>
        </w:tc>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40" w:before="40" w:line="252" w:lineRule="auto"/>
              <w:jc w:val="center"/>
            </w:pPr>
            <w:r>
              <w:rPr>
                <w:b/>
                <w:sz w:val="19"/>
              </w:rPr>
              <w:t>Holm p</w:t>
            </w:r>
          </w:p>
        </w:tc>
      </w:tr>
      <w:tr>
        <w:trPr>
          <w:cantSplit/>
        </w:trPr>
        <w:tc>
          <w:tcPr>
            <w:tcW w:type="dxa" w:w="144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left"/>
            </w:pPr>
            <w:r>
              <w:rPr>
                <w:b w:val="0"/>
                <w:sz w:val="19"/>
              </w:rPr>
              <w:t>10Y</w:t>
            </w:r>
          </w:p>
        </w:tc>
        <w:tc>
          <w:tcPr>
            <w:tcW w:type="dxa" w:w="100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44</w:t>
            </w:r>
          </w:p>
        </w:tc>
        <w:tc>
          <w:tcPr>
            <w:tcW w:type="dxa" w:w="201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-0.097</w:t>
            </w:r>
          </w:p>
        </w:tc>
        <w:tc>
          <w:tcPr>
            <w:tcW w:type="dxa" w:w="288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[-0.856, 0.662]</w:t>
            </w:r>
          </w:p>
        </w:tc>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1.000</w:t>
            </w:r>
          </w:p>
        </w:tc>
      </w:tr>
      <w:tr>
        <w:trPr>
          <w:cantSplit/>
        </w:trPr>
        <w:tc>
          <w:tcPr>
            <w:tcW w:type="dxa" w:w="144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left"/>
            </w:pPr>
            <w:r>
              <w:rPr>
                <w:b w:val="0"/>
                <w:sz w:val="19"/>
              </w:rPr>
              <w:t>2s10s</w:t>
            </w:r>
          </w:p>
        </w:tc>
        <w:tc>
          <w:tcPr>
            <w:tcW w:type="dxa" w:w="100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44</w:t>
            </w:r>
          </w:p>
        </w:tc>
        <w:tc>
          <w:tcPr>
            <w:tcW w:type="dxa" w:w="201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0.023</w:t>
            </w:r>
          </w:p>
        </w:tc>
        <w:tc>
          <w:tcPr>
            <w:tcW w:type="dxa" w:w="288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[-0.412, 0.459]</w:t>
            </w:r>
          </w:p>
        </w:tc>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val="0"/>
              <w:spacing w:after="40" w:before="40" w:line="252" w:lineRule="auto"/>
              <w:jc w:val="center"/>
            </w:pPr>
            <w:r>
              <w:rPr>
                <w:b w:val="0"/>
                <w:sz w:val="19"/>
              </w:rPr>
              <w:t>1.000</w:t>
            </w:r>
          </w:p>
        </w:tc>
      </w:tr>
    </w:tbl>
    <w:p>
      <w:pPr>
        <w:widowControl/>
      </w:pPr>
    </w:p>
    <w:p>
      <w:pPr>
        <w:widowControl/>
      </w:pPr>
      <w:r>
        <w:rPr>
          <w:sz w:val="18"/>
        </w:rPr>
        <w:t>Coefficients are per $100 billion cash-adjusted official forecast revision, with end-cash, beginning-cash and observed communication controls. These revisions do not measure the difference from contemporaneous market expectations.</w:t>
      </w:r>
    </w:p>
    <w:p>
      <w:pPr>
        <w:pStyle w:val="Heading2"/>
      </w:pPr>
      <w:r>
        <w:t>B 2 Quantitative monetary news controls</w:t>
      </w:r>
    </w:p>
    <w:p>
      <w:pPr>
        <w:widowControl/>
        <w:jc w:val="both"/>
      </w:pPr>
      <w:r>
        <w:t>A binary overlap flag records the occurrence of observed monetary news. We therefore extend the same Treasury-anchored foreign event windows with USMPD quantitative controls. The Monetary Events window covers the statement and press conference jointly. We include target repricing MP1, two-year OIS repricing and the equity return, together with separate OIS and equity changes around minutes. Rates are converted from percentage points to basis points. The controls measure observed financial repricing around monetary events.</w:t>
      </w:r>
    </w:p>
    <w:p>
      <w:pPr>
        <w:widowControl/>
        <w:jc w:val="both"/>
      </w:pPr>
      <w:r>
        <w:t>The binary baseline and quantitative specification use the same 1372 market-date observations. Canadian and UK ten-year Treasury-shock coefficients are 1.47 and 1.87 bp per source-sample standard deviation. Their five-market Holm-adjusted p-values are 0.0069 and 0.0040 under calendar-distance HAC inference. The other three market coefficients have intervals containing zero. Matched influence-function comparisons directly assess coefficient changes from the binary baseline. Calendar-day inclusion remains conservative because local quote times are not fully harmonized.</w:t>
      </w:r>
    </w:p>
    <w:p>
      <w:pPr>
        <w:pStyle w:val="Caption"/>
        <w:keepNext/>
        <w:widowControl/>
      </w:pPr>
      <w:r>
        <w:t>Table B2 Foreign ten year response with quantitative monetary controls</w:t>
      </w:r>
    </w:p>
    <w:tbl>
      <w:tblPr>
        <w:tblW w:type="auto" w:w="0"/>
        <w:jc w:val="center"/>
        <w:tblLayout w:type="fixed"/>
        <w:tblLook w:firstColumn="1" w:firstRow="1" w:lastColumn="0" w:lastRow="0" w:noHBand="0" w:noVBand="1" w:val="04A0"/>
      </w:tblPr>
      <w:tblGrid>
        <w:gridCol w:w="1901"/>
        <w:gridCol w:w="1901"/>
        <w:gridCol w:w="1901"/>
        <w:gridCol w:w="1901"/>
        <w:gridCol w:w="1901"/>
      </w:tblGrid>
      <w:tr>
        <w:trPr>
          <w:cantSplit/>
          <w:tblHeader/>
        </w:trPr>
        <w:tc>
          <w:tcPr>
            <w:tcW w:type="dxa" w:w="144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40" w:before="40" w:line="252" w:lineRule="auto"/>
              <w:jc w:val="left"/>
            </w:pPr>
            <w:r>
              <w:rPr>
                <w:b/>
                <w:sz w:val="19"/>
              </w:rPr>
              <w:t>Market</w:t>
            </w:r>
          </w:p>
        </w:tc>
        <w:tc>
          <w:tcPr>
            <w:tcW w:type="dxa" w:w="100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40" w:before="40" w:line="252" w:lineRule="auto"/>
              <w:jc w:val="center"/>
            </w:pPr>
            <w:r>
              <w:rPr>
                <w:b/>
                <w:sz w:val="19"/>
              </w:rPr>
              <w:t>Events</w:t>
            </w:r>
          </w:p>
        </w:tc>
        <w:tc>
          <w:tcPr>
            <w:tcW w:type="dxa" w:w="201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40" w:before="40" w:line="252" w:lineRule="auto"/>
              <w:jc w:val="center"/>
            </w:pPr>
            <w:r>
              <w:rPr>
                <w:b/>
                <w:sz w:val="19"/>
              </w:rPr>
              <w:t>Coefficient bp</w:t>
            </w:r>
          </w:p>
        </w:tc>
        <w:tc>
          <w:tcPr>
            <w:tcW w:type="dxa" w:w="288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40" w:before="40" w:line="252" w:lineRule="auto"/>
              <w:jc w:val="center"/>
            </w:pPr>
            <w:r>
              <w:rPr>
                <w:b/>
                <w:sz w:val="19"/>
              </w:rPr>
              <w:t>95% HAC interval</w:t>
            </w:r>
          </w:p>
        </w:tc>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40" w:before="40" w:line="252" w:lineRule="auto"/>
              <w:jc w:val="center"/>
            </w:pPr>
            <w:r>
              <w:rPr>
                <w:b/>
                <w:sz w:val="19"/>
              </w:rPr>
              <w:t>Holm p</w:t>
            </w:r>
          </w:p>
        </w:tc>
      </w:tr>
      <w:tr>
        <w:trPr>
          <w:cantSplit/>
        </w:trPr>
        <w:tc>
          <w:tcPr>
            <w:tcW w:type="dxa" w:w="144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left"/>
            </w:pPr>
            <w:r>
              <w:rPr>
                <w:b w:val="0"/>
                <w:sz w:val="19"/>
              </w:rPr>
              <w:t>AU</w:t>
            </w:r>
          </w:p>
        </w:tc>
        <w:tc>
          <w:tcPr>
            <w:tcW w:type="dxa" w:w="100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277</w:t>
            </w:r>
          </w:p>
        </w:tc>
        <w:tc>
          <w:tcPr>
            <w:tcW w:type="dxa" w:w="201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1.09</w:t>
            </w:r>
          </w:p>
        </w:tc>
        <w:tc>
          <w:tcPr>
            <w:tcW w:type="dxa" w:w="288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[-0.12, 2.29]</w:t>
            </w:r>
          </w:p>
        </w:tc>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0.2329</w:t>
            </w:r>
          </w:p>
        </w:tc>
      </w:tr>
      <w:tr>
        <w:trPr>
          <w:cantSplit/>
        </w:trPr>
        <w:tc>
          <w:tcPr>
            <w:tcW w:type="dxa" w:w="144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left"/>
            </w:pPr>
            <w:r>
              <w:rPr>
                <w:b w:val="0"/>
                <w:sz w:val="19"/>
              </w:rPr>
              <w:t>CA</w:t>
            </w:r>
          </w:p>
        </w:tc>
        <w:tc>
          <w:tcPr>
            <w:tcW w:type="dxa" w:w="100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276</w:t>
            </w:r>
          </w:p>
        </w:tc>
        <w:tc>
          <w:tcPr>
            <w:tcW w:type="dxa" w:w="201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1.47</w:t>
            </w:r>
          </w:p>
        </w:tc>
        <w:tc>
          <w:tcPr>
            <w:tcW w:type="dxa" w:w="288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[0.56, 2.38]</w:t>
            </w:r>
          </w:p>
        </w:tc>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0.0069</w:t>
            </w:r>
          </w:p>
        </w:tc>
      </w:tr>
      <w:tr>
        <w:trPr>
          <w:cantSplit/>
        </w:trPr>
        <w:tc>
          <w:tcPr>
            <w:tcW w:type="dxa" w:w="144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left"/>
            </w:pPr>
            <w:r>
              <w:rPr>
                <w:b w:val="0"/>
                <w:sz w:val="19"/>
              </w:rPr>
              <w:t>DE</w:t>
            </w:r>
          </w:p>
        </w:tc>
        <w:tc>
          <w:tcPr>
            <w:tcW w:type="dxa" w:w="100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277</w:t>
            </w:r>
          </w:p>
        </w:tc>
        <w:tc>
          <w:tcPr>
            <w:tcW w:type="dxa" w:w="201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0.72</w:t>
            </w:r>
          </w:p>
        </w:tc>
        <w:tc>
          <w:tcPr>
            <w:tcW w:type="dxa" w:w="288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[-0.34, 1.78]</w:t>
            </w:r>
          </w:p>
        </w:tc>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0.3626</w:t>
            </w:r>
          </w:p>
        </w:tc>
      </w:tr>
      <w:tr>
        <w:trPr>
          <w:cantSplit/>
        </w:trPr>
        <w:tc>
          <w:tcPr>
            <w:tcW w:type="dxa" w:w="144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left"/>
            </w:pPr>
            <w:r>
              <w:rPr>
                <w:b w:val="0"/>
                <w:sz w:val="19"/>
              </w:rPr>
              <w:t>JP</w:t>
            </w:r>
          </w:p>
        </w:tc>
        <w:tc>
          <w:tcPr>
            <w:tcW w:type="dxa" w:w="100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266</w:t>
            </w:r>
          </w:p>
        </w:tc>
        <w:tc>
          <w:tcPr>
            <w:tcW w:type="dxa" w:w="201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0.07</w:t>
            </w:r>
          </w:p>
        </w:tc>
        <w:tc>
          <w:tcPr>
            <w:tcW w:type="dxa" w:w="288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[-0.25, 0.38]</w:t>
            </w:r>
          </w:p>
        </w:tc>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0.6670</w:t>
            </w:r>
          </w:p>
        </w:tc>
      </w:tr>
      <w:tr>
        <w:trPr>
          <w:cantSplit/>
        </w:trPr>
        <w:tc>
          <w:tcPr>
            <w:tcW w:type="dxa" w:w="144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left"/>
            </w:pPr>
            <w:r>
              <w:rPr>
                <w:b w:val="0"/>
                <w:sz w:val="19"/>
              </w:rPr>
              <w:t>UK</w:t>
            </w:r>
          </w:p>
        </w:tc>
        <w:tc>
          <w:tcPr>
            <w:tcW w:type="dxa" w:w="100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276</w:t>
            </w:r>
          </w:p>
        </w:tc>
        <w:tc>
          <w:tcPr>
            <w:tcW w:type="dxa" w:w="201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1.87</w:t>
            </w:r>
          </w:p>
        </w:tc>
        <w:tc>
          <w:tcPr>
            <w:tcW w:type="dxa" w:w="288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[0.78, 2.95]</w:t>
            </w:r>
          </w:p>
        </w:tc>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val="0"/>
              <w:spacing w:after="40" w:before="40" w:line="252" w:lineRule="auto"/>
              <w:jc w:val="center"/>
            </w:pPr>
            <w:r>
              <w:rPr>
                <w:b w:val="0"/>
                <w:sz w:val="19"/>
              </w:rPr>
              <w:t>0.0040</w:t>
            </w:r>
          </w:p>
        </w:tc>
      </w:tr>
    </w:tbl>
    <w:p>
      <w:pPr>
        <w:widowControl/>
      </w:pPr>
    </w:p>
    <w:p>
      <w:pPr>
        <w:widowControl/>
      </w:pPr>
      <w:r>
        <w:rPr>
          <w:sz w:val="18"/>
        </w:rPr>
        <w:t>Note Independent foreign outcomes; each coefficient is per one source-sample SD of the author Treasury shock. HAC uses an eight-calendar-day Bartlett kernel. The five ten-year coefficients form one multiplicity family.</w:t>
      </w:r>
    </w:p>
    <w:p>
      <w:pPr>
        <w:pStyle w:val="Heading2"/>
      </w:pPr>
      <w:r>
        <w:t>B 3 Weekly maturity contrast and communication states</w:t>
      </w:r>
    </w:p>
    <w:p>
      <w:pPr>
        <w:widowControl/>
        <w:jc w:val="both"/>
      </w:pPr>
      <w:r>
        <w:t>We next aggregate the Treasury series and USMPD repricing measures to common Friday-ending weeks. The specification contains both policy channels, minutes controls and observed foreign communication counts. It retains 539 complete weeks from January 2015 to May 2025, or 2695 foreign market-weeks. One week is excluded because a known minutes release has missing OIS data; two further weekly changes are unavailable around the Japanese holiday closure. The weekly sample requires observed quotes and event measurements.</w:t>
      </w:r>
    </w:p>
    <w:p>
      <w:pPr>
        <w:widowControl/>
        <w:jc w:val="both"/>
      </w:pPr>
      <w:r>
        <w:t>The foreign benchmark is the equal-weight average of observed yield changes. Its Treasury coefficients are 0.72 bp at two years and 0.80 bp at ten years; the direct curve coefficient is 0.08 bp. Conditional FOMC OIS repricing coefficients are 2.07 and 1.68 bp, with a curve coefficient of -0.39 bp. Both curve intervals contain zero and neither of the two designated curve tests passes Holm adjustment. Weekly HAC pairs observations by actual calendar lag, so removed weeks are not treated as adjacent. Both policy channels have pricing associations across the two maturity sectors, with imprecise curve contrasts.</w:t>
      </w:r>
    </w:p>
    <w:p>
      <w:pPr>
        <w:widowControl/>
        <w:jc w:val="both"/>
      </w:pPr>
      <w:r>
        <w:t>Finally, we test whether Treasury-shock transmission depends on the preceding month communication state. The primary state is the raw equal-weight mean of the six bank stance scores; a lagged full-sample PC is a retrospective sensitivity. State coverage yields 268 distinct Treasury dates and 1302 market-date observations. The five ten-year interaction coefficients all have intervals containing zero, and all primary adjusted p-values equal one. The estimated amplification remains imprecise under this fixed continuous-state specification.</w:t>
      </w:r>
    </w:p>
    <w:p>
      <w:pPr>
        <w:pStyle w:val="Caption"/>
        <w:keepNext/>
        <w:widowControl/>
      </w:pPr>
      <w:r>
        <w:t>Table B3 Direct weekly maturity contrast</w:t>
      </w:r>
    </w:p>
    <w:tbl>
      <w:tblPr>
        <w:tblW w:type="auto" w:w="0"/>
        <w:jc w:val="center"/>
        <w:tblLayout w:type="fixed"/>
        <w:tblLook w:firstColumn="1" w:firstRow="1" w:lastColumn="0" w:lastRow="0" w:noHBand="0" w:noVBand="1" w:val="04A0"/>
      </w:tblPr>
      <w:tblGrid>
        <w:gridCol w:w="2376"/>
        <w:gridCol w:w="2376"/>
        <w:gridCol w:w="2376"/>
        <w:gridCol w:w="2376"/>
      </w:tblGrid>
      <w:tr>
        <w:trPr>
          <w:cantSplit/>
          <w:tblHeader/>
        </w:trPr>
        <w:tc>
          <w:tcPr>
            <w:tcW w:type="dxa" w:w="273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40" w:before="40" w:line="252" w:lineRule="auto"/>
              <w:jc w:val="left"/>
            </w:pPr>
            <w:r>
              <w:rPr>
                <w:b/>
                <w:sz w:val="19"/>
              </w:rPr>
              <w:t>News measure</w:t>
            </w:r>
          </w:p>
        </w:tc>
        <w:tc>
          <w:tcPr>
            <w:tcW w:type="dxa" w:w="216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40" w:before="40" w:line="252" w:lineRule="auto"/>
              <w:jc w:val="center"/>
            </w:pPr>
            <w:r>
              <w:rPr>
                <w:b/>
                <w:sz w:val="19"/>
              </w:rPr>
              <w:t>Curve coefficient bp</w:t>
            </w:r>
          </w:p>
        </w:tc>
        <w:tc>
          <w:tcPr>
            <w:tcW w:type="dxa" w:w="288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40" w:before="40" w:line="252" w:lineRule="auto"/>
              <w:jc w:val="center"/>
            </w:pPr>
            <w:r>
              <w:rPr>
                <w:b/>
                <w:sz w:val="19"/>
              </w:rPr>
              <w:t>95% HAC interval</w:t>
            </w:r>
          </w:p>
        </w:tc>
        <w:tc>
          <w:tcPr>
            <w:tcW w:type="dxa" w:w="172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40" w:before="40" w:line="252" w:lineRule="auto"/>
              <w:jc w:val="center"/>
            </w:pPr>
            <w:r>
              <w:rPr>
                <w:b/>
                <w:sz w:val="19"/>
              </w:rPr>
              <w:t>Holm p</w:t>
            </w:r>
          </w:p>
        </w:tc>
      </w:tr>
      <w:tr>
        <w:trPr>
          <w:cantSplit/>
        </w:trPr>
        <w:tc>
          <w:tcPr>
            <w:tcW w:type="dxa" w:w="273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left"/>
            </w:pPr>
            <w:r>
              <w:rPr>
                <w:b w:val="0"/>
                <w:sz w:val="19"/>
              </w:rPr>
              <w:t>Treasury</w:t>
            </w:r>
          </w:p>
        </w:tc>
        <w:tc>
          <w:tcPr>
            <w:tcW w:type="dxa" w:w="216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0.078</w:t>
            </w:r>
          </w:p>
        </w:tc>
        <w:tc>
          <w:tcPr>
            <w:tcW w:type="dxa" w:w="288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[-0.725, 0.882]</w:t>
            </w:r>
          </w:p>
        </w:tc>
        <w:tc>
          <w:tcPr>
            <w:tcW w:type="dxa" w:w="172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0.892</w:t>
            </w:r>
          </w:p>
        </w:tc>
      </w:tr>
      <w:tr>
        <w:trPr>
          <w:cantSplit/>
        </w:trPr>
        <w:tc>
          <w:tcPr>
            <w:tcW w:type="dxa" w:w="273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left"/>
            </w:pPr>
            <w:r>
              <w:rPr>
                <w:b w:val="0"/>
                <w:sz w:val="19"/>
              </w:rPr>
              <w:t>FOMC_OIS2Y</w:t>
            </w:r>
          </w:p>
        </w:tc>
        <w:tc>
          <w:tcPr>
            <w:tcW w:type="dxa" w:w="216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-0.387</w:t>
            </w:r>
          </w:p>
        </w:tc>
        <w:tc>
          <w:tcPr>
            <w:tcW w:type="dxa" w:w="288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[-1.383, 0.610]</w:t>
            </w:r>
          </w:p>
        </w:tc>
        <w:tc>
          <w:tcPr>
            <w:tcW w:type="dxa" w:w="172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val="0"/>
              <w:spacing w:after="40" w:before="40" w:line="252" w:lineRule="auto"/>
              <w:jc w:val="center"/>
            </w:pPr>
            <w:r>
              <w:rPr>
                <w:b w:val="0"/>
                <w:sz w:val="19"/>
              </w:rPr>
              <w:t>0.892</w:t>
            </w:r>
          </w:p>
        </w:tc>
      </w:tr>
    </w:tbl>
    <w:p>
      <w:pPr>
        <w:widowControl/>
      </w:pPr>
    </w:p>
    <w:p>
      <w:pPr>
        <w:widowControl/>
      </w:pPr>
      <w:r>
        <w:t>The benchmark equally averages five foreign market yield changes. The 539-week joint model controls target and path repricing, equities, minutes and observed communication counts. Separate source-specific standard deviations define units; coefficient magnitudes are responses per source-specific standard deviation.</w:t>
      </w:r>
    </w:p>
    <w:p>
      <w:pPr>
        <w:pStyle w:val="Caption"/>
        <w:keepNext/>
        <w:widowControl/>
      </w:pPr>
      <w:r>
        <w:t>Table B4 Lagged common stance and Treasury transmission</w:t>
      </w:r>
    </w:p>
    <w:tbl>
      <w:tblPr>
        <w:tblW w:type="auto" w:w="0"/>
        <w:jc w:val="center"/>
        <w:tblLayout w:type="fixed"/>
        <w:tblLook w:firstColumn="1" w:firstRow="1" w:lastColumn="0" w:lastRow="0" w:noHBand="0" w:noVBand="1" w:val="04A0"/>
      </w:tblPr>
      <w:tblGrid>
        <w:gridCol w:w="1901"/>
        <w:gridCol w:w="1901"/>
        <w:gridCol w:w="1901"/>
        <w:gridCol w:w="1901"/>
        <w:gridCol w:w="1901"/>
      </w:tblGrid>
      <w:tr>
        <w:trPr>
          <w:cantSplit/>
          <w:tblHeader/>
        </w:trPr>
        <w:tc>
          <w:tcPr>
            <w:tcW w:type="dxa" w:w="144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40" w:before="40" w:line="252" w:lineRule="auto"/>
              <w:jc w:val="left"/>
            </w:pPr>
            <w:r>
              <w:rPr>
                <w:b/>
                <w:sz w:val="19"/>
              </w:rPr>
              <w:t>Market</w:t>
            </w:r>
          </w:p>
        </w:tc>
        <w:tc>
          <w:tcPr>
            <w:tcW w:type="dxa" w:w="100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40" w:before="40" w:line="252" w:lineRule="auto"/>
              <w:jc w:val="center"/>
            </w:pPr>
            <w:r>
              <w:rPr>
                <w:b/>
                <w:sz w:val="19"/>
              </w:rPr>
              <w:t>Events</w:t>
            </w:r>
          </w:p>
        </w:tc>
        <w:tc>
          <w:tcPr>
            <w:tcW w:type="dxa" w:w="201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40" w:before="40" w:line="252" w:lineRule="auto"/>
              <w:jc w:val="center"/>
            </w:pPr>
            <w:r>
              <w:rPr>
                <w:b/>
                <w:sz w:val="19"/>
              </w:rPr>
              <w:t>Interaction bp</w:t>
            </w:r>
          </w:p>
        </w:tc>
        <w:tc>
          <w:tcPr>
            <w:tcW w:type="dxa" w:w="288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40" w:before="40" w:line="252" w:lineRule="auto"/>
              <w:jc w:val="center"/>
            </w:pPr>
            <w:r>
              <w:rPr>
                <w:b/>
                <w:sz w:val="19"/>
              </w:rPr>
              <w:t>95% HAC interval</w:t>
            </w:r>
          </w:p>
        </w:tc>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40" w:before="40" w:line="252" w:lineRule="auto"/>
              <w:jc w:val="center"/>
            </w:pPr>
            <w:r>
              <w:rPr>
                <w:b/>
                <w:sz w:val="19"/>
              </w:rPr>
              <w:t>Holm p</w:t>
            </w:r>
          </w:p>
        </w:tc>
      </w:tr>
      <w:tr>
        <w:trPr>
          <w:cantSplit/>
        </w:trPr>
        <w:tc>
          <w:tcPr>
            <w:tcW w:type="dxa" w:w="144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left"/>
            </w:pPr>
            <w:r>
              <w:rPr>
                <w:b w:val="0"/>
                <w:sz w:val="19"/>
              </w:rPr>
              <w:t>AU</w:t>
            </w:r>
          </w:p>
        </w:tc>
        <w:tc>
          <w:tcPr>
            <w:tcW w:type="dxa" w:w="100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263</w:t>
            </w:r>
          </w:p>
        </w:tc>
        <w:tc>
          <w:tcPr>
            <w:tcW w:type="dxa" w:w="201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-0.356</w:t>
            </w:r>
          </w:p>
        </w:tc>
        <w:tc>
          <w:tcPr>
            <w:tcW w:type="dxa" w:w="288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[-1.578, 0.867]</w:t>
            </w:r>
          </w:p>
        </w:tc>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1.000</w:t>
            </w:r>
          </w:p>
        </w:tc>
      </w:tr>
      <w:tr>
        <w:trPr>
          <w:cantSplit/>
        </w:trPr>
        <w:tc>
          <w:tcPr>
            <w:tcW w:type="dxa" w:w="144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left"/>
            </w:pPr>
            <w:r>
              <w:rPr>
                <w:b w:val="0"/>
                <w:sz w:val="19"/>
              </w:rPr>
              <w:t>CA</w:t>
            </w:r>
          </w:p>
        </w:tc>
        <w:tc>
          <w:tcPr>
            <w:tcW w:type="dxa" w:w="100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262</w:t>
            </w:r>
          </w:p>
        </w:tc>
        <w:tc>
          <w:tcPr>
            <w:tcW w:type="dxa" w:w="201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-0.112</w:t>
            </w:r>
          </w:p>
        </w:tc>
        <w:tc>
          <w:tcPr>
            <w:tcW w:type="dxa" w:w="288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[-1.021, 0.797]</w:t>
            </w:r>
          </w:p>
        </w:tc>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1.000</w:t>
            </w:r>
          </w:p>
        </w:tc>
      </w:tr>
      <w:tr>
        <w:trPr>
          <w:cantSplit/>
        </w:trPr>
        <w:tc>
          <w:tcPr>
            <w:tcW w:type="dxa" w:w="144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left"/>
            </w:pPr>
            <w:r>
              <w:rPr>
                <w:b w:val="0"/>
                <w:sz w:val="19"/>
              </w:rPr>
              <w:t>DE</w:t>
            </w:r>
          </w:p>
        </w:tc>
        <w:tc>
          <w:tcPr>
            <w:tcW w:type="dxa" w:w="100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263</w:t>
            </w:r>
          </w:p>
        </w:tc>
        <w:tc>
          <w:tcPr>
            <w:tcW w:type="dxa" w:w="201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-0.050</w:t>
            </w:r>
          </w:p>
        </w:tc>
        <w:tc>
          <w:tcPr>
            <w:tcW w:type="dxa" w:w="288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[-1.049, 0.949]</w:t>
            </w:r>
          </w:p>
        </w:tc>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1.000</w:t>
            </w:r>
          </w:p>
        </w:tc>
      </w:tr>
      <w:tr>
        <w:trPr>
          <w:cantSplit/>
        </w:trPr>
        <w:tc>
          <w:tcPr>
            <w:tcW w:type="dxa" w:w="144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left"/>
            </w:pPr>
            <w:r>
              <w:rPr>
                <w:b w:val="0"/>
                <w:sz w:val="19"/>
              </w:rPr>
              <w:t>JP</w:t>
            </w:r>
          </w:p>
        </w:tc>
        <w:tc>
          <w:tcPr>
            <w:tcW w:type="dxa" w:w="100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252</w:t>
            </w:r>
          </w:p>
        </w:tc>
        <w:tc>
          <w:tcPr>
            <w:tcW w:type="dxa" w:w="201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-0.107</w:t>
            </w:r>
          </w:p>
        </w:tc>
        <w:tc>
          <w:tcPr>
            <w:tcW w:type="dxa" w:w="288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[-0.339, 0.125]</w:t>
            </w:r>
          </w:p>
        </w:tc>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1.000</w:t>
            </w:r>
          </w:p>
        </w:tc>
      </w:tr>
      <w:tr>
        <w:trPr>
          <w:cantSplit/>
        </w:trPr>
        <w:tc>
          <w:tcPr>
            <w:tcW w:type="dxa" w:w="144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left"/>
            </w:pPr>
            <w:r>
              <w:rPr>
                <w:b w:val="0"/>
                <w:sz w:val="19"/>
              </w:rPr>
              <w:t>UK</w:t>
            </w:r>
          </w:p>
        </w:tc>
        <w:tc>
          <w:tcPr>
            <w:tcW w:type="dxa" w:w="100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262</w:t>
            </w:r>
          </w:p>
        </w:tc>
        <w:tc>
          <w:tcPr>
            <w:tcW w:type="dxa" w:w="201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0.258</w:t>
            </w:r>
          </w:p>
        </w:tc>
        <w:tc>
          <w:tcPr>
            <w:tcW w:type="dxa" w:w="288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[-1.002, 1.519]</w:t>
            </w:r>
          </w:p>
        </w:tc>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val="0"/>
              <w:spacing w:after="40" w:before="40" w:line="252" w:lineRule="auto"/>
              <w:jc w:val="center"/>
            </w:pPr>
            <w:r>
              <w:rPr>
                <w:b w:val="0"/>
                <w:sz w:val="19"/>
              </w:rPr>
              <w:t>1.000</w:t>
            </w:r>
          </w:p>
        </w:tc>
      </w:tr>
    </w:tbl>
    <w:p>
      <w:pPr>
        <w:widowControl/>
      </w:pPr>
    </w:p>
    <w:p>
      <w:pPr>
        <w:widowControl/>
      </w:pPr>
      <w:r>
        <w:rPr>
          <w:sz w:val="18"/>
        </w:rPr>
        <w:t>The state is the previous month equal-weight mean of fixed-classifier raw stance scores. Effects are per one SD of the source Treasury shock and one SD of the lagged state. State and classifier uncertainty are not included. Full-sample PC moderation is retained as a measurement sensitivity in the replication files.</w:t>
      </w:r>
    </w:p>
    <w:p>
      <w:pPr>
        <w:pStyle w:val="Heading1"/>
      </w:pPr>
      <w:r>
        <w:t>Appendix C Demand attribution and period comparisons</w:t>
      </w:r>
    </w:p>
    <w:p>
      <w:pPr>
        <w:widowControl/>
        <w:jc w:val="both"/>
      </w:pPr>
      <w:r>
        <w:t>We complete an explanatory US case over 124 monthly observations using six variable blocks: common communication, local communication, policy and inflation, global supply-chain pressure, domestic financing, and investment and equity prices. Fixed periods contain 52 months in 2015-2019 and 72 in 2020-2025. Grouped Shapley attribution averages incremental R-squared across all 64 subsets. The allocation measures in-sample explanatory fit across the observed correlated blocks. Treasury financing quantities and physical supply-chain pressure remain separate variables.</w:t>
      </w:r>
    </w:p>
    <w:p>
      <w:pPr>
        <w:widowControl/>
        <w:jc w:val="both"/>
      </w:pPr>
      <w:r>
        <w:t>Investment and equity slope coefficients differ across periods in the ten-year regression, with a six-test Holm-adjusted p-value of 0.0173. Their allocated ten-year R-squared falls from 0.272 to 0.006, while their curve allocation rises from 0.046 to 0.065. The long-horizon split identifies period dependence: the ten-year fit allocation falls while the curve allocation rises. The financing and supply-chain interaction tests do not pass the same multiplicity adjustment. US aggregate investment measures broad nonresidential activity rather than AI-specific capital expenditure.</w:t>
      </w:r>
    </w:p>
    <w:p>
      <w:pPr>
        <w:pStyle w:val="Caption"/>
        <w:keepNext/>
        <w:pageBreakBefore w:val="0"/>
        <w:widowControl/>
      </w:pPr>
      <w:r>
        <w:t>Table C1 US driver attribution across fixed periods</w:t>
      </w:r>
    </w:p>
    <w:tbl>
      <w:tblPr>
        <w:tblW w:type="auto" w:w="0"/>
        <w:jc w:val="center"/>
        <w:tblLayout w:type="fixed"/>
        <w:tblLook w:firstColumn="1" w:firstRow="1" w:lastColumn="0" w:lastRow="0" w:noHBand="0" w:noVBand="1" w:val="04A0"/>
      </w:tblPr>
      <w:tblGrid>
        <w:gridCol w:w="3168"/>
        <w:gridCol w:w="3168"/>
        <w:gridCol w:w="3168"/>
      </w:tblGrid>
      <w:tr>
        <w:trPr>
          <w:cantSplit/>
          <w:tblHeader/>
        </w:trPr>
        <w:tc>
          <w:tcPr>
            <w:tcW w:type="dxa" w:w="475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40" w:before="40" w:line="252" w:lineRule="auto"/>
              <w:jc w:val="left"/>
            </w:pPr>
            <w:r>
              <w:rPr>
                <w:b/>
                <w:sz w:val="19"/>
              </w:rPr>
              <w:t>Variable block</w:t>
            </w:r>
          </w:p>
        </w:tc>
        <w:tc>
          <w:tcPr>
            <w:tcW w:type="dxa" w:w="223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40" w:before="40" w:line="252" w:lineRule="auto"/>
              <w:jc w:val="center"/>
            </w:pPr>
            <w:r>
              <w:rPr>
                <w:b/>
                <w:sz w:val="19"/>
              </w:rPr>
              <w:t>2015 to 2019</w:t>
            </w:r>
          </w:p>
        </w:tc>
        <w:tc>
          <w:tcPr>
            <w:tcW w:type="dxa" w:w="223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40" w:before="40" w:line="252" w:lineRule="auto"/>
              <w:jc w:val="center"/>
            </w:pPr>
            <w:r>
              <w:rPr>
                <w:b/>
                <w:sz w:val="19"/>
              </w:rPr>
              <w:t>2020 to 2025</w:t>
            </w:r>
          </w:p>
        </w:tc>
      </w:tr>
      <w:tr>
        <w:trPr>
          <w:cantSplit/>
        </w:trPr>
        <w:tc>
          <w:tcPr>
            <w:tcW w:type="dxa" w:w="475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left"/>
            </w:pPr>
            <w:r>
              <w:rPr>
                <w:b w:val="0"/>
                <w:sz w:val="19"/>
              </w:rPr>
              <w:t>Common communication</w:t>
            </w:r>
          </w:p>
        </w:tc>
        <w:tc>
          <w:tcPr>
            <w:tcW w:type="dxa" w:w="223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0.007</w:t>
            </w:r>
          </w:p>
        </w:tc>
        <w:tc>
          <w:tcPr>
            <w:tcW w:type="dxa" w:w="223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0.071</w:t>
            </w:r>
          </w:p>
        </w:tc>
      </w:tr>
      <w:tr>
        <w:trPr>
          <w:cantSplit/>
        </w:trPr>
        <w:tc>
          <w:tcPr>
            <w:tcW w:type="dxa" w:w="475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left"/>
            </w:pPr>
            <w:r>
              <w:rPr>
                <w:b w:val="0"/>
                <w:sz w:val="19"/>
              </w:rPr>
              <w:t>Domestic financing</w:t>
            </w:r>
          </w:p>
        </w:tc>
        <w:tc>
          <w:tcPr>
            <w:tcW w:type="dxa" w:w="223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0.056</w:t>
            </w:r>
          </w:p>
        </w:tc>
        <w:tc>
          <w:tcPr>
            <w:tcW w:type="dxa" w:w="223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0.016</w:t>
            </w:r>
          </w:p>
        </w:tc>
      </w:tr>
      <w:tr>
        <w:trPr>
          <w:cantSplit/>
        </w:trPr>
        <w:tc>
          <w:tcPr>
            <w:tcW w:type="dxa" w:w="475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left"/>
            </w:pPr>
            <w:r>
              <w:rPr>
                <w:b w:val="0"/>
                <w:sz w:val="19"/>
              </w:rPr>
              <w:t>Supply chain pressure</w:t>
            </w:r>
          </w:p>
        </w:tc>
        <w:tc>
          <w:tcPr>
            <w:tcW w:type="dxa" w:w="223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0.018</w:t>
            </w:r>
          </w:p>
        </w:tc>
        <w:tc>
          <w:tcPr>
            <w:tcW w:type="dxa" w:w="223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0.020</w:t>
            </w:r>
          </w:p>
        </w:tc>
      </w:tr>
      <w:tr>
        <w:trPr>
          <w:cantSplit/>
        </w:trPr>
        <w:tc>
          <w:tcPr>
            <w:tcW w:type="dxa" w:w="475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left"/>
            </w:pPr>
            <w:r>
              <w:rPr>
                <w:b w:val="0"/>
                <w:sz w:val="19"/>
              </w:rPr>
              <w:t>Investment and equities</w:t>
            </w:r>
          </w:p>
        </w:tc>
        <w:tc>
          <w:tcPr>
            <w:tcW w:type="dxa" w:w="223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0.272</w:t>
            </w:r>
          </w:p>
        </w:tc>
        <w:tc>
          <w:tcPr>
            <w:tcW w:type="dxa" w:w="223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0.006</w:t>
            </w:r>
          </w:p>
        </w:tc>
      </w:tr>
      <w:tr>
        <w:trPr>
          <w:cantSplit/>
        </w:trPr>
        <w:tc>
          <w:tcPr>
            <w:tcW w:type="dxa" w:w="475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left"/>
            </w:pPr>
            <w:r>
              <w:rPr>
                <w:b w:val="0"/>
                <w:sz w:val="19"/>
              </w:rPr>
              <w:t>Local communication</w:t>
            </w:r>
          </w:p>
        </w:tc>
        <w:tc>
          <w:tcPr>
            <w:tcW w:type="dxa" w:w="223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0.033</w:t>
            </w:r>
          </w:p>
        </w:tc>
        <w:tc>
          <w:tcPr>
            <w:tcW w:type="dxa" w:w="223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0.002</w:t>
            </w:r>
          </w:p>
        </w:tc>
      </w:tr>
      <w:tr>
        <w:trPr>
          <w:cantSplit/>
        </w:trPr>
        <w:tc>
          <w:tcPr>
            <w:tcW w:type="dxa" w:w="475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left"/>
            </w:pPr>
            <w:r>
              <w:rPr>
                <w:b w:val="0"/>
                <w:sz w:val="19"/>
              </w:rPr>
              <w:t>Policy and inflation</w:t>
            </w:r>
          </w:p>
        </w:tc>
        <w:tc>
          <w:tcPr>
            <w:tcW w:type="dxa" w:w="223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0.034</w:t>
            </w:r>
          </w:p>
        </w:tc>
        <w:tc>
          <w:tcPr>
            <w:tcW w:type="dxa" w:w="223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val="0"/>
              <w:spacing w:after="40" w:before="40" w:line="252" w:lineRule="auto"/>
              <w:jc w:val="center"/>
            </w:pPr>
            <w:r>
              <w:rPr>
                <w:b w:val="0"/>
                <w:sz w:val="19"/>
              </w:rPr>
              <w:t>0.029</w:t>
            </w:r>
          </w:p>
        </w:tc>
      </w:tr>
    </w:tbl>
    <w:p>
      <w:pPr>
        <w:widowControl/>
      </w:pPr>
    </w:p>
    <w:p>
      <w:pPr>
        <w:widowControl/>
      </w:pPr>
      <w:r>
        <w:t>Note Entries are grouped Shapley R-squared points and sum to the respective full R-squared, 0.420 and 0.144. The periods contain 52 and 72 months. The allocation summarizes the explanatory fit of the observed correlated regressors.</w:t>
      </w:r>
    </w:p>
    <w:p>
      <w:pPr>
        <w:widowControl/>
        <w:jc w:val="both"/>
      </w:pPr>
      <w:r>
        <w:t>The fixed 2015-2019 versus 2020-2025 comparison detects an investment-block slope change for the curve under the six-test finite-quarter adjustment. We also compare 2020-2022 with 2023-2025 to distinguish the disruption and normalization phases. In this recent comparison, ten-year investment attribution rises from 0.068 to 0.084 within-R-squared points while physical supply-chain attribution falls from 0.126 to 0.086. Curve attribution for investment and equities rises from 0.034 and 0.040 to 0.078 and 0.131. These allocations measure the explanatory fit of the correlated regressors; Table C3 reports the corresponding direct slope-change tests under both inference procedures.</w:t>
      </w:r>
    </w:p>
    <w:p>
      <w:pPr>
        <w:widowControl/>
        <w:jc w:val="both"/>
      </w:pPr>
      <w:r>
        <w:t>The recent phase comparison has only 12 quarters in each phase. Finite-quarter tests indicate ten-year investment and curve-equity slope changes, but the six-test dependent-multiplier adjustment does not retain either. The multiplier sensitivity uses 999 null-imposed draws, Gaussian moving-average multipliers shared within quarter, and re-estimated HAC Wald statistics, following the dependent-resampling approach of Shao (2010). Both inference methods, all phase comparisons and the wider split characterize the period dependence of the pricing relations.</w:t>
      </w:r>
    </w:p>
    <w:p>
      <w:pPr>
        <w:pStyle w:val="Caption"/>
        <w:keepNext/>
        <w:widowControl/>
      </w:pPr>
      <w:r>
        <w:t>Table C2 Demand block inference across specifications</w:t>
      </w:r>
    </w:p>
    <w:tbl>
      <w:tblPr>
        <w:tblW w:type="auto" w:w="0"/>
        <w:jc w:val="center"/>
        <w:tblLayout w:type="fixed"/>
        <w:tblLook w:firstColumn="1" w:firstRow="1" w:lastColumn="0" w:lastRow="0" w:noHBand="0" w:noVBand="1" w:val="04A0"/>
      </w:tblPr>
      <w:tblGrid>
        <w:gridCol w:w="3168"/>
        <w:gridCol w:w="3168"/>
        <w:gridCol w:w="3168"/>
      </w:tblGrid>
      <w:tr>
        <w:trPr>
          <w:cantSplit/>
          <w:tblHeader/>
        </w:trPr>
        <w:tc>
          <w:tcPr>
            <w:tcW w:type="dxa" w:w="446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40" w:before="40" w:line="252" w:lineRule="auto"/>
              <w:jc w:val="left"/>
            </w:pPr>
            <w:r>
              <w:rPr>
                <w:b/>
                <w:sz w:val="19"/>
              </w:rPr>
              <w:t>Full sample ten year block</w:t>
            </w:r>
          </w:p>
        </w:tc>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40" w:before="40" w:line="252" w:lineRule="auto"/>
              <w:jc w:val="center"/>
            </w:pPr>
            <w:r>
              <w:rPr>
                <w:b/>
                <w:sz w:val="19"/>
              </w:rPr>
              <w:t>Quarter F Holm p</w:t>
            </w:r>
          </w:p>
        </w:tc>
        <w:tc>
          <w:tcPr>
            <w:tcW w:type="dxa" w:w="244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40" w:before="40" w:line="252" w:lineRule="auto"/>
              <w:jc w:val="center"/>
            </w:pPr>
            <w:r>
              <w:rPr>
                <w:b/>
                <w:sz w:val="19"/>
              </w:rPr>
              <w:t>Multiplier Holm p</w:t>
            </w:r>
          </w:p>
        </w:tc>
      </w:tr>
      <w:tr>
        <w:trPr>
          <w:cantSplit/>
        </w:trPr>
        <w:tc>
          <w:tcPr>
            <w:tcW w:type="dxa" w:w="446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left"/>
            </w:pPr>
            <w:r>
              <w:rPr>
                <w:b w:val="0"/>
                <w:sz w:val="19"/>
              </w:rPr>
              <w:t>investment</w:t>
            </w:r>
          </w:p>
        </w:tc>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0.2267</w:t>
            </w:r>
          </w:p>
        </w:tc>
        <w:tc>
          <w:tcPr>
            <w:tcW w:type="dxa" w:w="244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0.5840</w:t>
            </w:r>
          </w:p>
        </w:tc>
      </w:tr>
      <w:tr>
        <w:trPr>
          <w:cantSplit/>
        </w:trPr>
        <w:tc>
          <w:tcPr>
            <w:tcW w:type="dxa" w:w="446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left"/>
            </w:pPr>
            <w:r>
              <w:rPr>
                <w:b w:val="0"/>
                <w:sz w:val="19"/>
              </w:rPr>
              <w:t>government consumption</w:t>
            </w:r>
          </w:p>
        </w:tc>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0.4121</w:t>
            </w:r>
          </w:p>
        </w:tc>
        <w:tc>
          <w:tcPr>
            <w:tcW w:type="dxa" w:w="244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0.5840</w:t>
            </w:r>
          </w:p>
        </w:tc>
      </w:tr>
      <w:tr>
        <w:trPr>
          <w:cantSplit/>
        </w:trPr>
        <w:tc>
          <w:tcPr>
            <w:tcW w:type="dxa" w:w="446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left"/>
            </w:pPr>
            <w:r>
              <w:rPr>
                <w:b w:val="0"/>
                <w:sz w:val="19"/>
              </w:rPr>
              <w:t>equity</w:t>
            </w:r>
          </w:p>
        </w:tc>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0.0397</w:t>
            </w:r>
          </w:p>
        </w:tc>
        <w:tc>
          <w:tcPr>
            <w:tcW w:type="dxa" w:w="244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val="0"/>
              <w:spacing w:after="40" w:before="40" w:line="252" w:lineRule="auto"/>
              <w:jc w:val="center"/>
            </w:pPr>
            <w:r>
              <w:rPr>
                <w:b w:val="0"/>
                <w:sz w:val="19"/>
              </w:rPr>
              <w:t>0.2820</w:t>
            </w:r>
          </w:p>
        </w:tc>
      </w:tr>
    </w:tbl>
    <w:p>
      <w:pPr>
        <w:widowControl/>
      </w:pPr>
    </w:p>
    <w:p>
      <w:pPr>
        <w:widowControl/>
      </w:pPr>
      <w:r>
        <w:rPr>
          <w:sz w:val="18"/>
        </w:rPr>
        <w:t>Note Three joint demand-block tests. Multiplier p-values use 999 null-imposed serially dependent draws; common communication has a separate unadjusted multiplier p-value of 0.006.</w:t>
      </w:r>
    </w:p>
    <w:p>
      <w:pPr>
        <w:pStyle w:val="Caption"/>
        <w:keepNext/>
        <w:pageBreakBefore w:val="0"/>
        <w:widowControl/>
      </w:pPr>
      <w:r>
        <w:t>Table C3 Recent phase slope changes and serial dependence</w:t>
      </w:r>
    </w:p>
    <w:tbl>
      <w:tblPr>
        <w:tblW w:type="auto" w:w="0"/>
        <w:jc w:val="center"/>
        <w:tblLayout w:type="fixed"/>
        <w:tblLook w:firstColumn="1" w:firstRow="1" w:lastColumn="0" w:lastRow="0" w:noHBand="0" w:noVBand="1" w:val="04A0"/>
      </w:tblPr>
      <w:tblGrid>
        <w:gridCol w:w="2376"/>
        <w:gridCol w:w="2376"/>
        <w:gridCol w:w="2376"/>
        <w:gridCol w:w="2376"/>
      </w:tblGrid>
      <w:tr>
        <w:trPr>
          <w:cantSplit/>
          <w:tblHeader/>
        </w:trPr>
        <w:tc>
          <w:tcPr>
            <w:tcW w:type="dxa" w:w="144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40" w:before="40" w:line="252" w:lineRule="auto"/>
              <w:jc w:val="left"/>
            </w:pPr>
            <w:r>
              <w:rPr>
                <w:b/>
                <w:sz w:val="19"/>
              </w:rPr>
              <w:t>Outcome</w:t>
            </w:r>
          </w:p>
        </w:tc>
        <w:tc>
          <w:tcPr>
            <w:tcW w:type="dxa" w:w="302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40" w:before="40" w:line="252" w:lineRule="auto"/>
              <w:jc w:val="center"/>
            </w:pPr>
            <w:r>
              <w:rPr>
                <w:b/>
                <w:sz w:val="19"/>
              </w:rPr>
              <w:t>Variable block</w:t>
            </w:r>
          </w:p>
        </w:tc>
        <w:tc>
          <w:tcPr>
            <w:tcW w:type="dxa" w:w="244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40" w:before="40" w:line="252" w:lineRule="auto"/>
              <w:jc w:val="center"/>
            </w:pPr>
            <w:r>
              <w:rPr>
                <w:b/>
                <w:sz w:val="19"/>
              </w:rPr>
              <w:t>Quarter F Holm p</w:t>
            </w:r>
          </w:p>
        </w:tc>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40" w:before="40" w:line="252" w:lineRule="auto"/>
              <w:jc w:val="center"/>
            </w:pPr>
            <w:r>
              <w:rPr>
                <w:b/>
                <w:sz w:val="19"/>
              </w:rPr>
              <w:t>Multiplier Holm p</w:t>
            </w:r>
          </w:p>
        </w:tc>
      </w:tr>
      <w:tr>
        <w:trPr>
          <w:cantSplit/>
        </w:trPr>
        <w:tc>
          <w:tcPr>
            <w:tcW w:type="dxa" w:w="144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left"/>
            </w:pPr>
            <w:r>
              <w:rPr>
                <w:b w:val="0"/>
                <w:sz w:val="19"/>
              </w:rPr>
              <w:t>10Y</w:t>
            </w:r>
          </w:p>
        </w:tc>
        <w:tc>
          <w:tcPr>
            <w:tcW w:type="dxa" w:w="302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investment</w:t>
            </w:r>
          </w:p>
        </w:tc>
        <w:tc>
          <w:tcPr>
            <w:tcW w:type="dxa" w:w="244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0.0140</w:t>
            </w:r>
          </w:p>
        </w:tc>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0.8320</w:t>
            </w:r>
          </w:p>
        </w:tc>
      </w:tr>
      <w:tr>
        <w:trPr>
          <w:cantSplit/>
        </w:trPr>
        <w:tc>
          <w:tcPr>
            <w:tcW w:type="dxa" w:w="144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left"/>
            </w:pPr>
            <w:r>
              <w:rPr>
                <w:b w:val="0"/>
                <w:sz w:val="19"/>
              </w:rPr>
              <w:t>10Y</w:t>
            </w:r>
          </w:p>
        </w:tc>
        <w:tc>
          <w:tcPr>
            <w:tcW w:type="dxa" w:w="302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government consumption</w:t>
            </w:r>
          </w:p>
        </w:tc>
        <w:tc>
          <w:tcPr>
            <w:tcW w:type="dxa" w:w="244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0.5974</w:t>
            </w:r>
          </w:p>
        </w:tc>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1.0000</w:t>
            </w:r>
          </w:p>
        </w:tc>
      </w:tr>
      <w:tr>
        <w:trPr>
          <w:cantSplit/>
        </w:trPr>
        <w:tc>
          <w:tcPr>
            <w:tcW w:type="dxa" w:w="144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left"/>
            </w:pPr>
            <w:r>
              <w:rPr>
                <w:b w:val="0"/>
                <w:sz w:val="19"/>
              </w:rPr>
              <w:t>10Y</w:t>
            </w:r>
          </w:p>
        </w:tc>
        <w:tc>
          <w:tcPr>
            <w:tcW w:type="dxa" w:w="302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equity</w:t>
            </w:r>
          </w:p>
        </w:tc>
        <w:tc>
          <w:tcPr>
            <w:tcW w:type="dxa" w:w="244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0.5974</w:t>
            </w:r>
          </w:p>
        </w:tc>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1.0000</w:t>
            </w:r>
          </w:p>
        </w:tc>
      </w:tr>
      <w:tr>
        <w:trPr>
          <w:cantSplit/>
        </w:trPr>
        <w:tc>
          <w:tcPr>
            <w:tcW w:type="dxa" w:w="144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left"/>
            </w:pPr>
            <w:r>
              <w:rPr>
                <w:b w:val="0"/>
                <w:sz w:val="19"/>
              </w:rPr>
              <w:t>2s10s</w:t>
            </w:r>
          </w:p>
        </w:tc>
        <w:tc>
          <w:tcPr>
            <w:tcW w:type="dxa" w:w="302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investment</w:t>
            </w:r>
          </w:p>
        </w:tc>
        <w:tc>
          <w:tcPr>
            <w:tcW w:type="dxa" w:w="244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0.1880</w:t>
            </w:r>
          </w:p>
        </w:tc>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0.7700</w:t>
            </w:r>
          </w:p>
        </w:tc>
      </w:tr>
      <w:tr>
        <w:trPr>
          <w:cantSplit/>
        </w:trPr>
        <w:tc>
          <w:tcPr>
            <w:tcW w:type="dxa" w:w="144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left"/>
            </w:pPr>
            <w:r>
              <w:rPr>
                <w:b w:val="0"/>
                <w:sz w:val="19"/>
              </w:rPr>
              <w:t>2s10s</w:t>
            </w:r>
          </w:p>
        </w:tc>
        <w:tc>
          <w:tcPr>
            <w:tcW w:type="dxa" w:w="302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government consumption</w:t>
            </w:r>
          </w:p>
        </w:tc>
        <w:tc>
          <w:tcPr>
            <w:tcW w:type="dxa" w:w="244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0.5974</w:t>
            </w:r>
          </w:p>
        </w:tc>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1.0000</w:t>
            </w:r>
          </w:p>
        </w:tc>
      </w:tr>
      <w:tr>
        <w:trPr>
          <w:cantSplit/>
        </w:trPr>
        <w:tc>
          <w:tcPr>
            <w:tcW w:type="dxa" w:w="144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left"/>
            </w:pPr>
            <w:r>
              <w:rPr>
                <w:b w:val="0"/>
                <w:sz w:val="19"/>
              </w:rPr>
              <w:t>2s10s</w:t>
            </w:r>
          </w:p>
        </w:tc>
        <w:tc>
          <w:tcPr>
            <w:tcW w:type="dxa" w:w="302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equity</w:t>
            </w:r>
          </w:p>
        </w:tc>
        <w:tc>
          <w:tcPr>
            <w:tcW w:type="dxa" w:w="244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&lt;0.0001</w:t>
            </w:r>
          </w:p>
        </w:tc>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val="0"/>
              <w:spacing w:after="40" w:before="40" w:line="252" w:lineRule="auto"/>
              <w:jc w:val="center"/>
            </w:pPr>
            <w:r>
              <w:rPr>
                <w:b w:val="0"/>
                <w:sz w:val="19"/>
              </w:rPr>
              <w:t>0.1380</w:t>
            </w:r>
          </w:p>
        </w:tc>
      </w:tr>
    </w:tbl>
    <w:p>
      <w:pPr>
        <w:widowControl/>
      </w:pPr>
    </w:p>
    <w:p>
      <w:pPr>
        <w:widowControl/>
      </w:pPr>
      <w:r>
        <w:t>Note Additional 2020-2022 versus 2023-2025 diagnostic, 12 quarters per phase. All six contrasts receive their respective Holm adjustment. This diagnostic supplements the fixed decade split with fixed recent phases.</w:t>
      </w:r>
    </w:p>
    <w:p>
      <w:pPr>
        <w:pStyle w:val="Heading1"/>
      </w:pPr>
      <w:r>
        <w:t>Appendix D Financial condition specifications and components</w:t>
      </w:r>
    </w:p>
    <w:p>
      <w:pPr>
        <w:widowControl/>
        <w:jc w:val="both"/>
      </w:pPr>
      <w:r>
        <w:t>For financial conditions, we regress monthly changes in the Chicago Fed NFCI on common and local tone changes, policy and inflation controls, and fixed post-2020 interactions. Higher NFCI values represent tighter conditions. Both communication slope changes remain imprecise under the two-test Holm adjustment. Separately, six-market hawkish-tone and curve-steepening frequencies show heterogeneous period changes: the pattern becomes more frequent in the United Kingdom, Japan and Canada and less frequent in the United States and Australia, with Germany also declining. Curve co-movement is an observable transmission pattern; interpreting it as weaker central-bank traction requires the accompanying broader financial-condition evidence.</w:t>
      </w:r>
    </w:p>
    <w:p>
      <w:pPr>
        <w:pStyle w:val="Caption"/>
        <w:keepNext/>
        <w:widowControl/>
      </w:pPr>
      <w:r>
        <w:t>Table D1 US financial condition slope changes</w:t>
      </w:r>
    </w:p>
    <w:tbl>
      <w:tblPr>
        <w:tblW w:type="auto" w:w="0"/>
        <w:jc w:val="center"/>
        <w:tblLayout w:type="fixed"/>
        <w:tblLook w:firstColumn="1" w:firstRow="1" w:lastColumn="0" w:lastRow="0" w:noHBand="0" w:noVBand="1" w:val="04A0"/>
      </w:tblPr>
      <w:tblGrid>
        <w:gridCol w:w="2376"/>
        <w:gridCol w:w="2376"/>
        <w:gridCol w:w="2376"/>
        <w:gridCol w:w="2376"/>
      </w:tblGrid>
      <w:tr>
        <w:trPr>
          <w:cantSplit/>
          <w:tblHeader/>
        </w:trPr>
        <w:tc>
          <w:tcPr>
            <w:tcW w:type="dxa" w:w="259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40" w:before="40" w:line="252" w:lineRule="auto"/>
              <w:jc w:val="left"/>
            </w:pPr>
            <w:r>
              <w:rPr>
                <w:b/>
                <w:sz w:val="19"/>
              </w:rPr>
              <w:t>Tone component</w:t>
            </w:r>
          </w:p>
        </w:tc>
        <w:tc>
          <w:tcPr>
            <w:tcW w:type="dxa" w:w="158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40" w:before="40" w:line="252" w:lineRule="auto"/>
              <w:jc w:val="center"/>
            </w:pPr>
            <w:r>
              <w:rPr>
                <w:b/>
                <w:sz w:val="19"/>
              </w:rPr>
              <w:t>Slope change</w:t>
            </w:r>
          </w:p>
        </w:tc>
        <w:tc>
          <w:tcPr>
            <w:tcW w:type="dxa" w:w="316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40" w:before="40" w:line="252" w:lineRule="auto"/>
              <w:jc w:val="center"/>
            </w:pPr>
            <w:r>
              <w:rPr>
                <w:b/>
                <w:sz w:val="19"/>
              </w:rPr>
              <w:t>95% HAC interval</w:t>
            </w:r>
          </w:p>
        </w:tc>
        <w:tc>
          <w:tcPr>
            <w:tcW w:type="dxa" w:w="187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40" w:before="40" w:line="252" w:lineRule="auto"/>
              <w:jc w:val="center"/>
            </w:pPr>
            <w:r>
              <w:rPr>
                <w:b/>
                <w:sz w:val="19"/>
              </w:rPr>
              <w:t>Holm p</w:t>
            </w:r>
          </w:p>
        </w:tc>
      </w:tr>
      <w:tr>
        <w:trPr>
          <w:cantSplit/>
        </w:trPr>
        <w:tc>
          <w:tcPr>
            <w:tcW w:type="dxa" w:w="259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left"/>
            </w:pPr>
            <w:r>
              <w:rPr>
                <w:b w:val="0"/>
                <w:sz w:val="19"/>
              </w:rPr>
              <w:t>common</w:t>
            </w:r>
          </w:p>
        </w:tc>
        <w:tc>
          <w:tcPr>
            <w:tcW w:type="dxa" w:w="158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0.0064</w:t>
            </w:r>
          </w:p>
        </w:tc>
        <w:tc>
          <w:tcPr>
            <w:tcW w:type="dxa" w:w="316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[-0.0106, 0.0234]</w:t>
            </w:r>
          </w:p>
        </w:tc>
        <w:tc>
          <w:tcPr>
            <w:tcW w:type="dxa" w:w="187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0.9114</w:t>
            </w:r>
          </w:p>
        </w:tc>
      </w:tr>
      <w:tr>
        <w:trPr>
          <w:cantSplit/>
        </w:trPr>
        <w:tc>
          <w:tcPr>
            <w:tcW w:type="dxa" w:w="259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left"/>
            </w:pPr>
            <w:r>
              <w:rPr>
                <w:b w:val="0"/>
                <w:sz w:val="19"/>
              </w:rPr>
              <w:t>local</w:t>
            </w:r>
          </w:p>
        </w:tc>
        <w:tc>
          <w:tcPr>
            <w:tcW w:type="dxa" w:w="158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-0.0057</w:t>
            </w:r>
          </w:p>
        </w:tc>
        <w:tc>
          <w:tcPr>
            <w:tcW w:type="dxa" w:w="316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[-0.0255, 0.0141]</w:t>
            </w:r>
          </w:p>
        </w:tc>
        <w:tc>
          <w:tcPr>
            <w:tcW w:type="dxa" w:w="187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val="0"/>
              <w:spacing w:after="40" w:before="40" w:line="252" w:lineRule="auto"/>
              <w:jc w:val="center"/>
            </w:pPr>
            <w:r>
              <w:rPr>
                <w:b w:val="0"/>
                <w:sz w:val="19"/>
              </w:rPr>
              <w:t>0.9114</w:t>
            </w:r>
          </w:p>
        </w:tc>
      </w:tr>
    </w:tbl>
    <w:p>
      <w:pPr>
        <w:widowControl/>
      </w:pPr>
    </w:p>
    <w:p>
      <w:pPr>
        <w:widowControl/>
      </w:pPr>
      <w:r>
        <w:rPr>
          <w:sz w:val="18"/>
        </w:rPr>
        <w:t>Note Outcome is the monthly NFCI change. Post-2020 slope changes are relative to 2015-2019, per full-sample SD of the communication change. Higher NFCI means tighter conditions; its market-price components make the regression descriptive.</w:t>
      </w:r>
    </w:p>
    <w:p>
      <w:pPr>
        <w:widowControl/>
        <w:jc w:val="both"/>
      </w:pPr>
      <w:r>
        <w:t>We extend the US aggregate-index case with two separately measured components in all six markets: OECD monthly share-price index changes and BIS broad real effective exchange-rate changes. Both outcomes are 100 times log changes. Real appreciation is an increase in the BIS index; Germany is a national competitiveness measure within the euro area, paired with area-wide ECB communication. Equity gains and real appreciation have different economic meanings. The two outcomes remain separate financial-condition components (Bank for International Settlements, 2026).</w:t>
      </w:r>
    </w:p>
    <w:p>
      <w:pPr>
        <w:widowControl/>
        <w:jc w:val="both"/>
      </w:pPr>
      <w:r>
        <w:t>The balanced September 2015 to December 2025 panel contains 124 months and 744 market-month observations. The fixed specification includes market effects, market-specific post-2020 intercepts, common and local communication changes and their post-2020 interactions, the lagged own outcome, and the contemporaneous mean outcome in the other five markets. Communication regressors are divided by their pooled panel standard deviations. Four slope-change tests form one Holm family. Inference uses month-score Bartlett HAC with six lags and month-based t references; 999 null-imposed seven-month moving-average multiplier draws provide a separately adjusted dependence sensitivity. These estimates condition on measured communication factors rather than re-estimating the classifier and factor in each draw.</w:t>
      </w:r>
    </w:p>
    <w:p>
      <w:pPr>
        <w:widowControl/>
        <w:jc w:val="both"/>
      </w:pPr>
      <w:r>
        <w:t>The component estimates show imprecise post-2020 changes in communication slopes. For equities the common and local changes are 0.003 and -0.148 percentage points per regressor standard deviation; for the real exchange rate they are 0.018 and 0.063. All four intervals contain zero and both four-test adjustments yield p-values of one. A country-and-month-effects sensitivity absorbs common calendar shocks and retains the local interaction; its two intervals also contain zero. Contemporaneous foreign outcomes control for shared market movements.</w:t>
      </w:r>
    </w:p>
    <w:p>
      <w:pPr>
        <w:pStyle w:val="Caption"/>
        <w:keepNext/>
        <w:widowControl/>
      </w:pPr>
      <w:r>
        <w:t>Table D2 Six market financial component slope changes</w:t>
      </w:r>
    </w:p>
    <w:tbl>
      <w:tblPr>
        <w:tblW w:type="auto" w:w="0"/>
        <w:jc w:val="center"/>
        <w:tblLayout w:type="fixed"/>
        <w:tblLook w:firstColumn="1" w:firstRow="1" w:lastColumn="0" w:lastRow="0" w:noHBand="0" w:noVBand="1" w:val="04A0"/>
      </w:tblPr>
      <w:tblGrid>
        <w:gridCol w:w="1901"/>
        <w:gridCol w:w="1901"/>
        <w:gridCol w:w="1901"/>
        <w:gridCol w:w="1901"/>
        <w:gridCol w:w="1901"/>
      </w:tblGrid>
      <w:tr>
        <w:trPr>
          <w:cantSplit/>
          <w:tblHeader/>
        </w:trPr>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40" w:before="40" w:line="252" w:lineRule="auto"/>
              <w:jc w:val="left"/>
            </w:pPr>
            <w:r>
              <w:rPr>
                <w:b/>
                <w:sz w:val="19"/>
              </w:rPr>
              <w:t>Outcome and tone</w:t>
            </w:r>
          </w:p>
        </w:tc>
        <w:tc>
          <w:tcPr>
            <w:tcW w:type="dxa" w:w="115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40" w:before="40" w:line="252" w:lineRule="auto"/>
              <w:jc w:val="center"/>
            </w:pPr>
            <w:r>
              <w:rPr>
                <w:b/>
                <w:sz w:val="19"/>
              </w:rPr>
              <w:t>Change pp</w:t>
            </w:r>
          </w:p>
        </w:tc>
        <w:tc>
          <w:tcPr>
            <w:tcW w:type="dxa" w:w="259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40" w:before="40" w:line="252" w:lineRule="auto"/>
              <w:jc w:val="center"/>
            </w:pPr>
            <w:r>
              <w:rPr>
                <w:b/>
                <w:sz w:val="19"/>
              </w:rPr>
              <w:t>95% month HAC interval</w:t>
            </w:r>
          </w:p>
        </w:tc>
        <w:tc>
          <w:tcPr>
            <w:tcW w:type="dxa" w:w="129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40" w:before="40" w:line="252" w:lineRule="auto"/>
              <w:jc w:val="center"/>
            </w:pPr>
            <w:r>
              <w:rPr>
                <w:b/>
                <w:sz w:val="19"/>
              </w:rPr>
              <w:t>Holm p</w:t>
            </w:r>
          </w:p>
        </w:tc>
        <w:tc>
          <w:tcPr>
            <w:tcW w:type="dxa" w:w="216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40" w:before="40" w:line="252" w:lineRule="auto"/>
              <w:jc w:val="center"/>
            </w:pPr>
            <w:r>
              <w:rPr>
                <w:b/>
                <w:sz w:val="19"/>
              </w:rPr>
              <w:t>Multiplier Holm p</w:t>
            </w:r>
          </w:p>
        </w:tc>
      </w:tr>
      <w:tr>
        <w:trPr>
          <w:cantSplit/>
        </w:trPr>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left"/>
            </w:pPr>
            <w:r>
              <w:rPr>
                <w:b w:val="0"/>
                <w:sz w:val="19"/>
              </w:rPr>
              <w:t>equity / common</w:t>
            </w:r>
          </w:p>
        </w:tc>
        <w:tc>
          <w:tcPr>
            <w:tcW w:type="dxa" w:w="115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0.003</w:t>
            </w:r>
          </w:p>
        </w:tc>
        <w:tc>
          <w:tcPr>
            <w:tcW w:type="dxa" w:w="259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[-0.086, 0.093]</w:t>
            </w:r>
          </w:p>
        </w:tc>
        <w:tc>
          <w:tcPr>
            <w:tcW w:type="dxa" w:w="129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1.000</w:t>
            </w:r>
          </w:p>
        </w:tc>
        <w:tc>
          <w:tcPr>
            <w:tcW w:type="dxa" w:w="216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1.000</w:t>
            </w:r>
          </w:p>
        </w:tc>
      </w:tr>
      <w:tr>
        <w:trPr>
          <w:cantSplit/>
        </w:trPr>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left"/>
            </w:pPr>
            <w:r>
              <w:rPr>
                <w:b w:val="0"/>
                <w:sz w:val="19"/>
              </w:rPr>
              <w:t>equity / local</w:t>
            </w:r>
          </w:p>
        </w:tc>
        <w:tc>
          <w:tcPr>
            <w:tcW w:type="dxa" w:w="115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-0.148</w:t>
            </w:r>
          </w:p>
        </w:tc>
        <w:tc>
          <w:tcPr>
            <w:tcW w:type="dxa" w:w="259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[-0.420, 0.124]</w:t>
            </w:r>
          </w:p>
        </w:tc>
        <w:tc>
          <w:tcPr>
            <w:tcW w:type="dxa" w:w="129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1.000</w:t>
            </w:r>
          </w:p>
        </w:tc>
        <w:tc>
          <w:tcPr>
            <w:tcW w:type="dxa" w:w="216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1.000</w:t>
            </w:r>
          </w:p>
        </w:tc>
      </w:tr>
      <w:tr>
        <w:trPr>
          <w:cantSplit/>
        </w:trPr>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left"/>
            </w:pPr>
            <w:r>
              <w:rPr>
                <w:b w:val="0"/>
                <w:sz w:val="19"/>
              </w:rPr>
              <w:t>reer / common</w:t>
            </w:r>
          </w:p>
        </w:tc>
        <w:tc>
          <w:tcPr>
            <w:tcW w:type="dxa" w:w="115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0.018</w:t>
            </w:r>
          </w:p>
        </w:tc>
        <w:tc>
          <w:tcPr>
            <w:tcW w:type="dxa" w:w="259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[-0.257, 0.293]</w:t>
            </w:r>
          </w:p>
        </w:tc>
        <w:tc>
          <w:tcPr>
            <w:tcW w:type="dxa" w:w="129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1.000</w:t>
            </w:r>
          </w:p>
        </w:tc>
        <w:tc>
          <w:tcPr>
            <w:tcW w:type="dxa" w:w="216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1.000</w:t>
            </w:r>
          </w:p>
        </w:tc>
      </w:tr>
      <w:tr>
        <w:trPr>
          <w:cantSplit/>
        </w:trPr>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left"/>
            </w:pPr>
            <w:r>
              <w:rPr>
                <w:b w:val="0"/>
                <w:sz w:val="19"/>
              </w:rPr>
              <w:t>reer / local</w:t>
            </w:r>
          </w:p>
        </w:tc>
        <w:tc>
          <w:tcPr>
            <w:tcW w:type="dxa" w:w="115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0.063</w:t>
            </w:r>
          </w:p>
        </w:tc>
        <w:tc>
          <w:tcPr>
            <w:tcW w:type="dxa" w:w="259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[-0.129, 0.256]</w:t>
            </w:r>
          </w:p>
        </w:tc>
        <w:tc>
          <w:tcPr>
            <w:tcW w:type="dxa" w:w="129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1.000</w:t>
            </w:r>
          </w:p>
        </w:tc>
        <w:tc>
          <w:tcPr>
            <w:tcW w:type="dxa" w:w="216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val="0"/>
              <w:spacing w:after="40" w:before="40" w:line="252" w:lineRule="auto"/>
              <w:jc w:val="center"/>
            </w:pPr>
            <w:r>
              <w:rPr>
                <w:b w:val="0"/>
                <w:sz w:val="19"/>
              </w:rPr>
              <w:t>1.000</w:t>
            </w:r>
          </w:p>
        </w:tc>
      </w:tr>
    </w:tbl>
    <w:p>
      <w:pPr>
        <w:widowControl/>
      </w:pPr>
    </w:p>
    <w:p>
      <w:pPr>
        <w:widowControl/>
      </w:pPr>
      <w:r>
        <w:rPr>
          <w:sz w:val="18"/>
        </w:rPr>
        <w:t>Note Post-2020 minus earlier communication slope, per pooled SD of the corresponding change. Both outcomes are percentage log changes. Four tests form one family. Same 744 observations; conditioning variables and serial dependence are described in the text. Neither outcome is an aggregate financial-condition index.</w:t>
      </w:r>
    </w:p>
    <w:p>
      <w:pPr>
        <w:widowControl/>
        <w:jc w:val="both"/>
      </w:pPr>
      <w:r>
        <w:t>A separate curve diagnostic selects the 251 market-months in which own raw communication tone becomes more hawkish, and compares the 107 with a rising ten-minus-two-year spread against the 144 without one. Controlling for market effects and the other-five contemporaneous outcome, the equity difference is 0.300 percentage points, with [-0.117,0.716], and the real-appreciation difference is 0.037, with [-0.362,0.436]. The two-test Holm p-values are 0.313 and 0.854. This diagnostic uses zero change as the fixed threshold, with no performance-based selection. The component evidence leaves the relationship between the hawkish-steepening configuration and broader financial easing imprecise.</w:t>
      </w:r>
    </w:p>
    <w:p>
      <w:pPr>
        <w:pStyle w:val="Caption"/>
        <w:keepNext/>
        <w:widowControl/>
      </w:pPr>
      <w:r>
        <w:t>Table D3 Hawkish communication and curve steepening components</w:t>
      </w:r>
    </w:p>
    <w:tbl>
      <w:tblPr>
        <w:tblW w:type="auto" w:w="0"/>
        <w:jc w:val="center"/>
        <w:tblLayout w:type="fixed"/>
        <w:tblLook w:firstColumn="1" w:firstRow="1" w:lastColumn="0" w:lastRow="0" w:noHBand="0" w:noVBand="1" w:val="04A0"/>
      </w:tblPr>
      <w:tblGrid>
        <w:gridCol w:w="2376"/>
        <w:gridCol w:w="2376"/>
        <w:gridCol w:w="2376"/>
        <w:gridCol w:w="2376"/>
      </w:tblGrid>
      <w:tr>
        <w:trPr>
          <w:cantSplit/>
          <w:tblHeader/>
        </w:trPr>
        <w:tc>
          <w:tcPr>
            <w:tcW w:type="dxa" w:w="172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40" w:before="40" w:line="252" w:lineRule="auto"/>
              <w:jc w:val="left"/>
            </w:pPr>
            <w:r>
              <w:rPr>
                <w:b/>
                <w:sz w:val="19"/>
              </w:rPr>
              <w:t>Outcome</w:t>
            </w:r>
          </w:p>
        </w:tc>
        <w:tc>
          <w:tcPr>
            <w:tcW w:type="dxa" w:w="172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40" w:before="40" w:line="252" w:lineRule="auto"/>
              <w:jc w:val="center"/>
            </w:pPr>
            <w:r>
              <w:rPr>
                <w:b/>
                <w:sz w:val="19"/>
              </w:rPr>
              <w:t>Difference pp</w:t>
            </w:r>
          </w:p>
        </w:tc>
        <w:tc>
          <w:tcPr>
            <w:tcW w:type="dxa" w:w="360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40" w:before="40" w:line="252" w:lineRule="auto"/>
              <w:jc w:val="center"/>
            </w:pPr>
            <w:r>
              <w:rPr>
                <w:b/>
                <w:sz w:val="19"/>
              </w:rPr>
              <w:t>95% month HAC interval</w:t>
            </w:r>
          </w:p>
        </w:tc>
        <w:tc>
          <w:tcPr>
            <w:tcW w:type="dxa" w:w="244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40" w:before="40" w:line="252" w:lineRule="auto"/>
              <w:jc w:val="center"/>
            </w:pPr>
            <w:r>
              <w:rPr>
                <w:b/>
                <w:sz w:val="19"/>
              </w:rPr>
              <w:t>Holm p</w:t>
            </w:r>
          </w:p>
        </w:tc>
      </w:tr>
      <w:tr>
        <w:trPr>
          <w:cantSplit/>
        </w:trPr>
        <w:tc>
          <w:tcPr>
            <w:tcW w:type="dxa" w:w="172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left"/>
            </w:pPr>
            <w:r>
              <w:rPr>
                <w:b w:val="0"/>
                <w:sz w:val="19"/>
              </w:rPr>
              <w:t>equity</w:t>
            </w:r>
          </w:p>
        </w:tc>
        <w:tc>
          <w:tcPr>
            <w:tcW w:type="dxa" w:w="172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0.300</w:t>
            </w:r>
          </w:p>
        </w:tc>
        <w:tc>
          <w:tcPr>
            <w:tcW w:type="dxa" w:w="360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[-0.117, 0.716]</w:t>
            </w:r>
          </w:p>
        </w:tc>
        <w:tc>
          <w:tcPr>
            <w:tcW w:type="dxa" w:w="244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0.313</w:t>
            </w:r>
          </w:p>
        </w:tc>
      </w:tr>
      <w:tr>
        <w:trPr>
          <w:cantSplit/>
        </w:trPr>
        <w:tc>
          <w:tcPr>
            <w:tcW w:type="dxa" w:w="172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left"/>
            </w:pPr>
            <w:r>
              <w:rPr>
                <w:b w:val="0"/>
                <w:sz w:val="19"/>
              </w:rPr>
              <w:t>reer</w:t>
            </w:r>
          </w:p>
        </w:tc>
        <w:tc>
          <w:tcPr>
            <w:tcW w:type="dxa" w:w="172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0.037</w:t>
            </w:r>
          </w:p>
        </w:tc>
        <w:tc>
          <w:tcPr>
            <w:tcW w:type="dxa" w:w="360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[-0.362, 0.436]</w:t>
            </w:r>
          </w:p>
        </w:tc>
        <w:tc>
          <w:tcPr>
            <w:tcW w:type="dxa" w:w="244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val="0"/>
              <w:spacing w:after="40" w:before="40" w:line="252" w:lineRule="auto"/>
              <w:jc w:val="center"/>
            </w:pPr>
            <w:r>
              <w:rPr>
                <w:b w:val="0"/>
                <w:sz w:val="19"/>
              </w:rPr>
              <w:t>0.854</w:t>
            </w:r>
          </w:p>
        </w:tc>
      </w:tr>
    </w:tbl>
    <w:p>
      <w:pPr>
        <w:widowControl/>
      </w:pPr>
    </w:p>
    <w:p>
      <w:pPr>
        <w:widowControl/>
      </w:pPr>
      <w:r>
        <w:t>Note Among 251 own hawkish-change market-months, 107 have a rising ten-minus-two-year spread and 144 do not. Market effects and other-five contemporary outcome are included. Positive REER change is real appreciation; it has a separate interpretation from an equity gain. The contrasts measure the conditional component differences.</w:t>
      </w:r>
    </w:p>
    <w:p>
      <w:pPr>
        <w:pStyle w:val="Heading1"/>
      </w:pPr>
      <w:r>
        <w:t>Appendix E Conditional valuation and return implementation</w:t>
      </w:r>
    </w:p>
    <w:p>
      <w:pPr>
        <w:widowControl/>
        <w:jc w:val="both"/>
      </w:pPr>
      <w:r>
        <w:t>We extend the return measure using fitted zero-coupon curves in the United States, Germany and the United Kingdom. At each signal, a hypothetical ten-year bond is constructed with a nonnegative coupon that prices at par when feasible; negative par coupons are replaced by a zero-coupon claim. Cash flows are semiannual in the United States and United Kingdom and annual in Germany. Discount factors use the published conventions: continuously compounded US and UK rates and annual discrete German rates. The latter follows Schich (1997, footnote 3). Log discount factors are interpolated through observed same-day knots and the zero-maturity discount factor of one. One-, two-, five- and ten-year knots are required; the availability screen requires observed same-day knots.</w:t>
      </w:r>
    </w:p>
    <w:p>
      <w:pPr>
        <w:widowControl/>
        <w:jc w:val="both"/>
      </w:pPr>
      <w:r>
        <w:t>Execution occurs at the first full valid curve quote strictly after the signal month-end; liquidation occurs at the first quote after the following month-end. Both quotes must lie within seven calendar days of their respective month-ends. The common three-market sample contains 63 holding periods from signals in August 2020 through October 2025, with liquidation by 1 December 2025. This delay keeps the information used to construct the signal earlier than execution. The coupon is fixed at purchase, all remaining cash flows are aged by actual elapsed time, and the dirty-price change captures accrual, roll and nonlinear repricing. Monthly OECD overnight averages are accrued over the actual days held as a short-rate funding benchmark.</w:t>
      </w:r>
    </w:p>
    <w:p>
      <w:pPr>
        <w:widowControl/>
        <w:jc w:val="both"/>
      </w:pPr>
      <w:r>
        <w:t>The curve-implied holding return decomposes exactly into frozen-curve carry and roll plus repricing. Excess return subtracts the funding benchmark. Because each monthly constant-maturity bond is a new instrument, costs charge its purchase and liquidation, converting each yield-basis-point cost to return basis points at the respective duration. Costs of 0, 0.5 and 1 yield bp per trade are retained. The exercise measures local-currency, curve-implied returns on those specified cash flows.</w:t>
      </w:r>
    </w:p>
    <w:p>
      <w:pPr>
        <w:widowControl/>
        <w:jc w:val="both"/>
      </w:pPr>
      <w:r>
        <w:t>The country-rule comparisons implement the joint tone condition in the United States, Germany and Australia, and an inflation-stability condition in the United Kingdom. We define UK inflation stability through the 12-month rolling volatility of changes in the equal-weight available inflation measure across four policy areas. Both branches reduce exposure and improve their mean price-change proxy relative to cheap-only positions, with paired intervals containing zero. Table E2 reports both branches, the cheap-only benchmarks and the direct paired differences.</w:t>
      </w:r>
    </w:p>
    <w:p>
      <w:pPr>
        <w:pStyle w:val="Caption"/>
        <w:keepNext/>
        <w:widowControl/>
      </w:pPr>
      <w:r>
        <w:t>Table E1 Valuation information conditional on the yield state</w:t>
      </w:r>
    </w:p>
    <w:tbl>
      <w:tblPr>
        <w:tblW w:type="auto" w:w="0"/>
        <w:jc w:val="center"/>
        <w:tblLayout w:type="fixed"/>
        <w:tblLook w:firstColumn="1" w:firstRow="1" w:lastColumn="0" w:lastRow="0" w:noHBand="0" w:noVBand="1" w:val="04A0"/>
      </w:tblPr>
      <w:tblGrid>
        <w:gridCol w:w="2376"/>
        <w:gridCol w:w="2376"/>
        <w:gridCol w:w="2376"/>
        <w:gridCol w:w="2376"/>
      </w:tblGrid>
      <w:tr>
        <w:trPr>
          <w:cantSplit/>
          <w:tblHeader/>
        </w:trPr>
        <w:tc>
          <w:tcPr>
            <w:tcW w:type="dxa" w:w="172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40" w:before="40" w:line="252" w:lineRule="auto"/>
              <w:jc w:val="left"/>
            </w:pPr>
            <w:r>
              <w:rPr>
                <w:b/>
                <w:sz w:val="19"/>
              </w:rPr>
              <w:t>Months ahead</w:t>
            </w:r>
          </w:p>
        </w:tc>
        <w:tc>
          <w:tcPr>
            <w:tcW w:type="dxa" w:w="216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40" w:before="40" w:line="252" w:lineRule="auto"/>
              <w:jc w:val="center"/>
            </w:pPr>
            <w:r>
              <w:rPr>
                <w:b/>
                <w:sz w:val="19"/>
              </w:rPr>
              <w:t>Gap coefficient bp</w:t>
            </w:r>
          </w:p>
        </w:tc>
        <w:tc>
          <w:tcPr>
            <w:tcW w:type="dxa" w:w="302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40" w:before="40" w:line="252" w:lineRule="auto"/>
              <w:jc w:val="center"/>
            </w:pPr>
            <w:r>
              <w:rPr>
                <w:b/>
                <w:sz w:val="19"/>
              </w:rPr>
              <w:t>95% month HAC interval</w:t>
            </w:r>
          </w:p>
        </w:tc>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40" w:before="40" w:line="252" w:lineRule="auto"/>
              <w:jc w:val="center"/>
            </w:pPr>
            <w:r>
              <w:rPr>
                <w:b/>
                <w:sz w:val="19"/>
              </w:rPr>
              <w:t>Holm p</w:t>
            </w:r>
          </w:p>
        </w:tc>
      </w:tr>
      <w:tr>
        <w:trPr>
          <w:cantSplit/>
        </w:trPr>
        <w:tc>
          <w:tcPr>
            <w:tcW w:type="dxa" w:w="172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left"/>
            </w:pPr>
            <w:r>
              <w:rPr>
                <w:b w:val="0"/>
                <w:sz w:val="19"/>
              </w:rPr>
              <w:t>1</w:t>
            </w:r>
          </w:p>
        </w:tc>
        <w:tc>
          <w:tcPr>
            <w:tcW w:type="dxa" w:w="216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-0.24</w:t>
            </w:r>
          </w:p>
        </w:tc>
        <w:tc>
          <w:tcPr>
            <w:tcW w:type="dxa" w:w="302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[-0.99, 0.51]</w:t>
            </w:r>
          </w:p>
        </w:tc>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0.5330</w:t>
            </w:r>
          </w:p>
        </w:tc>
      </w:tr>
      <w:tr>
        <w:trPr>
          <w:cantSplit/>
        </w:trPr>
        <w:tc>
          <w:tcPr>
            <w:tcW w:type="dxa" w:w="172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left"/>
            </w:pPr>
            <w:r>
              <w:rPr>
                <w:b w:val="0"/>
                <w:sz w:val="19"/>
              </w:rPr>
              <w:t>3</w:t>
            </w:r>
          </w:p>
        </w:tc>
        <w:tc>
          <w:tcPr>
            <w:tcW w:type="dxa" w:w="216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-0.79</w:t>
            </w:r>
          </w:p>
        </w:tc>
        <w:tc>
          <w:tcPr>
            <w:tcW w:type="dxa" w:w="302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[-2.04, 0.45]</w:t>
            </w:r>
          </w:p>
        </w:tc>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val="0"/>
              <w:spacing w:after="40" w:before="40" w:line="252" w:lineRule="auto"/>
              <w:jc w:val="center"/>
            </w:pPr>
            <w:r>
              <w:rPr>
                <w:b w:val="0"/>
                <w:sz w:val="19"/>
              </w:rPr>
              <w:t>0.4148</w:t>
            </w:r>
          </w:p>
        </w:tc>
      </w:tr>
    </w:tbl>
    <w:p>
      <w:pPr>
        <w:widowControl/>
      </w:pPr>
    </w:p>
    <w:p>
      <w:pPr>
        <w:widowControl/>
      </w:pPr>
      <w:r>
        <w:rPr>
          <w:sz w:val="18"/>
        </w:rPr>
        <w:t>Note Coefficients are per 10 bp augmented valuation gap. Fixed controls are starting own and other-five mean yields and their last monthly changes, with market effects. Original unconditional convergence tests remain in Table 4.</w:t>
      </w:r>
    </w:p>
    <w:p>
      <w:pPr>
        <w:pStyle w:val="Caption"/>
        <w:keepNext/>
        <w:pageBreakBefore w:val="0"/>
        <w:widowControl/>
      </w:pPr>
      <w:r>
        <w:t>Table E2 Market specific entry condition diagnostics</w:t>
      </w:r>
    </w:p>
    <w:tbl>
      <w:tblPr>
        <w:tblW w:type="auto" w:w="0"/>
        <w:jc w:val="center"/>
        <w:tblLayout w:type="fixed"/>
        <w:tblLook w:firstColumn="1" w:firstRow="1" w:lastColumn="0" w:lastRow="0" w:noHBand="0" w:noVBand="1" w:val="04A0"/>
      </w:tblPr>
      <w:tblGrid>
        <w:gridCol w:w="2376"/>
        <w:gridCol w:w="2376"/>
        <w:gridCol w:w="2376"/>
        <w:gridCol w:w="2376"/>
      </w:tblGrid>
      <w:tr>
        <w:trPr>
          <w:cantSplit/>
          <w:tblHeader/>
        </w:trPr>
        <w:tc>
          <w:tcPr>
            <w:tcW w:type="dxa" w:w="23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40" w:before="40" w:line="252" w:lineRule="auto"/>
              <w:jc w:val="left"/>
            </w:pPr>
            <w:r>
              <w:rPr>
                <w:b/>
                <w:sz w:val="19"/>
              </w:rPr>
              <w:t>Market condition</w:t>
            </w:r>
          </w:p>
        </w:tc>
        <w:tc>
          <w:tcPr>
            <w:tcW w:type="dxa" w:w="23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40" w:before="40" w:line="252" w:lineRule="auto"/>
              <w:jc w:val="center"/>
            </w:pPr>
            <w:r>
              <w:rPr>
                <w:b/>
                <w:sz w:val="19"/>
              </w:rPr>
              <w:t>Rule</w:t>
            </w:r>
          </w:p>
        </w:tc>
        <w:tc>
          <w:tcPr>
            <w:tcW w:type="dxa" w:w="165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40" w:before="40" w:line="252" w:lineRule="auto"/>
              <w:jc w:val="center"/>
            </w:pPr>
            <w:r>
              <w:rPr>
                <w:b/>
                <w:sz w:val="19"/>
              </w:rPr>
              <w:t>Mean proxy bp</w:t>
            </w:r>
          </w:p>
        </w:tc>
        <w:tc>
          <w:tcPr>
            <w:tcW w:type="dxa" w:w="280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40" w:before="40" w:line="252" w:lineRule="auto"/>
              <w:jc w:val="center"/>
            </w:pPr>
            <w:r>
              <w:rPr>
                <w:b/>
                <w:sz w:val="19"/>
              </w:rPr>
              <w:t>95% block interval</w:t>
            </w:r>
          </w:p>
        </w:tc>
      </w:tr>
      <w:tr>
        <w:trPr>
          <w:cantSplit/>
        </w:trPr>
        <w:tc>
          <w:tcPr>
            <w:tcW w:type="dxa" w:w="23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left"/>
            </w:pPr>
            <w:r>
              <w:rPr>
                <w:b w:val="0"/>
                <w:sz w:val="19"/>
              </w:rPr>
              <w:t>US DE AU tone</w:t>
            </w:r>
          </w:p>
        </w:tc>
        <w:tc>
          <w:tcPr>
            <w:tcW w:type="dxa" w:w="23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Cheap only</w:t>
            </w:r>
          </w:p>
        </w:tc>
        <w:tc>
          <w:tcPr>
            <w:tcW w:type="dxa" w:w="165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-2.30</w:t>
            </w:r>
          </w:p>
        </w:tc>
        <w:tc>
          <w:tcPr>
            <w:tcW w:type="dxa" w:w="280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[-5.41, 0.41]</w:t>
            </w:r>
          </w:p>
        </w:tc>
      </w:tr>
      <w:tr>
        <w:trPr>
          <w:cantSplit/>
        </w:trPr>
        <w:tc>
          <w:tcPr>
            <w:tcW w:type="dxa" w:w="23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left"/>
            </w:pPr>
            <w:r>
              <w:rPr>
                <w:b w:val="0"/>
                <w:sz w:val="19"/>
              </w:rPr>
              <w:t>US DE AU tone</w:t>
            </w:r>
          </w:p>
        </w:tc>
        <w:tc>
          <w:tcPr>
            <w:tcW w:type="dxa" w:w="23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Conditioned</w:t>
            </w:r>
          </w:p>
        </w:tc>
        <w:tc>
          <w:tcPr>
            <w:tcW w:type="dxa" w:w="165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-1.18</w:t>
            </w:r>
          </w:p>
        </w:tc>
        <w:tc>
          <w:tcPr>
            <w:tcW w:type="dxa" w:w="280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[-2.04, -0.37]</w:t>
            </w:r>
          </w:p>
        </w:tc>
      </w:tr>
      <w:tr>
        <w:trPr>
          <w:cantSplit/>
        </w:trPr>
        <w:tc>
          <w:tcPr>
            <w:tcW w:type="dxa" w:w="23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left"/>
            </w:pPr>
            <w:r>
              <w:rPr>
                <w:b w:val="0"/>
                <w:sz w:val="19"/>
              </w:rPr>
              <w:t>US DE AU tone</w:t>
            </w:r>
          </w:p>
        </w:tc>
        <w:tc>
          <w:tcPr>
            <w:tcW w:type="dxa" w:w="23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Paired difference</w:t>
            </w:r>
          </w:p>
        </w:tc>
        <w:tc>
          <w:tcPr>
            <w:tcW w:type="dxa" w:w="165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1.12</w:t>
            </w:r>
          </w:p>
        </w:tc>
        <w:tc>
          <w:tcPr>
            <w:tcW w:type="dxa" w:w="280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[-1.27, 4.01]</w:t>
            </w:r>
          </w:p>
        </w:tc>
      </w:tr>
      <w:tr>
        <w:trPr>
          <w:cantSplit/>
        </w:trPr>
        <w:tc>
          <w:tcPr>
            <w:tcW w:type="dxa" w:w="23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left"/>
            </w:pPr>
            <w:r>
              <w:rPr>
                <w:b w:val="0"/>
                <w:sz w:val="19"/>
              </w:rPr>
              <w:t>UK inflation risk</w:t>
            </w:r>
          </w:p>
        </w:tc>
        <w:tc>
          <w:tcPr>
            <w:tcW w:type="dxa" w:w="23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Cheap only</w:t>
            </w:r>
          </w:p>
        </w:tc>
        <w:tc>
          <w:tcPr>
            <w:tcW w:type="dxa" w:w="165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-6.05</w:t>
            </w:r>
          </w:p>
        </w:tc>
        <w:tc>
          <w:tcPr>
            <w:tcW w:type="dxa" w:w="280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[-12.97, 0.13]</w:t>
            </w:r>
          </w:p>
        </w:tc>
      </w:tr>
      <w:tr>
        <w:trPr>
          <w:cantSplit/>
        </w:trPr>
        <w:tc>
          <w:tcPr>
            <w:tcW w:type="dxa" w:w="23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left"/>
            </w:pPr>
            <w:r>
              <w:rPr>
                <w:b w:val="0"/>
                <w:sz w:val="19"/>
              </w:rPr>
              <w:t>UK inflation risk</w:t>
            </w:r>
          </w:p>
        </w:tc>
        <w:tc>
          <w:tcPr>
            <w:tcW w:type="dxa" w:w="23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Conditioned</w:t>
            </w:r>
          </w:p>
        </w:tc>
        <w:tc>
          <w:tcPr>
            <w:tcW w:type="dxa" w:w="165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-3.09</w:t>
            </w:r>
          </w:p>
        </w:tc>
        <w:tc>
          <w:tcPr>
            <w:tcW w:type="dxa" w:w="280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[-6.30, 0.40]</w:t>
            </w:r>
          </w:p>
        </w:tc>
      </w:tr>
      <w:tr>
        <w:trPr>
          <w:cantSplit/>
        </w:trPr>
        <w:tc>
          <w:tcPr>
            <w:tcW w:type="dxa" w:w="23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left"/>
            </w:pPr>
            <w:r>
              <w:rPr>
                <w:b w:val="0"/>
                <w:sz w:val="19"/>
              </w:rPr>
              <w:t>UK inflation risk</w:t>
            </w:r>
          </w:p>
        </w:tc>
        <w:tc>
          <w:tcPr>
            <w:tcW w:type="dxa" w:w="23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Paired difference</w:t>
            </w:r>
          </w:p>
        </w:tc>
        <w:tc>
          <w:tcPr>
            <w:tcW w:type="dxa" w:w="165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40" w:before="40" w:line="252" w:lineRule="auto"/>
              <w:jc w:val="center"/>
            </w:pPr>
            <w:r>
              <w:rPr>
                <w:b w:val="0"/>
                <w:sz w:val="19"/>
              </w:rPr>
              <w:t>2.96</w:t>
            </w:r>
          </w:p>
        </w:tc>
        <w:tc>
          <w:tcPr>
            <w:tcW w:type="dxa" w:w="280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val="0"/>
              <w:spacing w:after="40" w:before="40" w:line="252" w:lineRule="auto"/>
              <w:jc w:val="center"/>
            </w:pPr>
            <w:r>
              <w:rPr>
                <w:b w:val="0"/>
                <w:sz w:val="19"/>
              </w:rPr>
              <w:t>[-1.21, 8.53]</w:t>
            </w:r>
          </w:p>
        </w:tc>
      </w:tr>
    </w:tbl>
    <w:p>
      <w:pPr>
        <w:widowControl/>
      </w:pPr>
    </w:p>
    <w:p>
      <w:pPr>
        <w:widowControl/>
      </w:pPr>
      <w:r>
        <w:rPr>
          <w:sz w:val="18"/>
        </w:rPr>
        <w:t>Note Additional diagnostics retain the primary six-market rules. UK inflation risk is an explicitly defined rolling volatility proxy based on available inflation across four policy areas. Cost is 0.5 bp per unit turnover. Proxy returns exclude carry, funding, roll and currency effects.</w:t>
      </w:r>
    </w:p>
    <w:p>
      <w:pPr>
        <w:pStyle w:val="Heading1"/>
        <w:pageBreakBefore w:val="0"/>
      </w:pPr>
      <w:r>
        <w:t>Appendix F Text measurement and financial condition sensitivities</w:t>
      </w:r>
    </w:p>
    <w:p>
      <w:pPr/>
      <w:r>
        <w:t>The fixed dictionary contains 25 hawkish and 25 dovish tokens enumerated in Yang (2026a). The alternative score is 100 times the difference in hawkish and dovish token counts divided by all token counts, using the same retained sentences as the classifier. The word list is fixed before the pricing analysis. Monthly assignment uses the original release date and carried state. Both common factors use the same 125 complete months; pricing uses 124 changes and 744 market-month observations.</w:t>
      </w:r>
    </w:p>
    <w:p>
      <w:pPr/>
      <w:r>
        <w:t>Hawkish tokens: inflation, inflationary, tighten, tightening, hike, hikes, hiking, raise, raising, vigilant, vigilance, overheating, overheat, elevated, persistent, persistence, upside, hawkish, normalization, normalise, normalising, normalizing, tight, tighter, restrictive. Dovish tokens: easing, ease, accommodative, accommodation, stimulus, supportive, dovish, downside, slack, deflation, deflationary, subdued, patient, patience, gradual, weakness, weak, spare, capacity, below, target, additional, measures, stimulative, cautious.</w:t>
      </w:r>
    </w:p>
    <w:p>
      <w:pPr/>
      <w:r>
        <w:t>The fixed-dictionary common share is 66.33%, compared with 66.15% for the classifier. Document-score correlations by bank are US 0.646, ECB 0.725, AU 0.795, CA 0.576, UK 0.394, and JP 0.061. The dispersion in document agreement motivates separate checks of common-cycle and local measurement.</w:t>
      </w:r>
    </w:p>
    <w:p>
      <w:pPr/>
      <w:r>
        <w:t>For the foreign-bank factor, we standardize each bank stance over the pricing level sample. For each target bank we extract PC1 only from the other five level series, then project the target standardized level onto that factor. Its projected component and residual sum exactly to the original standardized level. Pricing uses the changes of those components. The procedure is descriptive and retrospective, with target projection coefficients estimated in sample. Each of 1000 paired circular six-month blocks re-estimates standardization, factor extraction, target projection and pricing for all three measurement specifications together.</w:t>
      </w:r>
    </w:p>
    <w:p>
      <w:pPr>
        <w:pStyle w:val="Caption"/>
        <w:keepNext/>
      </w:pPr>
      <w:r>
        <w:t>Table F1 Common communication under fixed alternative measurements</w:t>
      </w:r>
    </w:p>
    <w:tbl>
      <w:tblPr>
        <w:tblW w:type="auto" w:w="0"/>
        <w:jc w:val="center"/>
        <w:tblLayout w:type="fixed"/>
        <w:tblLook w:firstColumn="1" w:firstRow="1" w:lastColumn="0" w:lastRow="0" w:noHBand="0" w:noVBand="1" w:val="04A0"/>
      </w:tblPr>
      <w:tblGrid>
        <w:gridCol w:w="2376"/>
        <w:gridCol w:w="2376"/>
        <w:gridCol w:w="2376"/>
        <w:gridCol w:w="2376"/>
      </w:tblGrid>
      <w:tr>
        <w:trPr>
          <w:cantSplit/>
          <w:tblHeader/>
        </w:trPr>
        <w:tc>
          <w:tcPr>
            <w:tcW w:type="dxa" w:w="23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pPr>
            <w:r>
              <w:rPr>
                <w:rFonts w:ascii="Times New Roman" w:hAnsi="Times New Roman"/>
                <w:b/>
                <w:sz w:val="18"/>
              </w:rPr>
              <w:t>Measurement</w:t>
            </w:r>
          </w:p>
        </w:tc>
        <w:tc>
          <w:tcPr>
            <w:tcW w:type="dxa" w:w="23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pPr>
            <w:r>
              <w:rPr>
                <w:rFonts w:ascii="Times New Roman" w:hAnsi="Times New Roman"/>
                <w:b/>
                <w:sz w:val="18"/>
              </w:rPr>
              <w:t>Two year bp</w:t>
            </w:r>
          </w:p>
        </w:tc>
        <w:tc>
          <w:tcPr>
            <w:tcW w:type="dxa" w:w="23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pPr>
            <w:r>
              <w:rPr>
                <w:rFonts w:ascii="Times New Roman" w:hAnsi="Times New Roman"/>
                <w:b/>
                <w:sz w:val="18"/>
              </w:rPr>
              <w:t>Ten year bp</w:t>
            </w:r>
          </w:p>
        </w:tc>
        <w:tc>
          <w:tcPr>
            <w:tcW w:type="dxa" w:w="23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pPr>
            <w:r>
              <w:rPr>
                <w:rFonts w:ascii="Times New Roman" w:hAnsi="Times New Roman"/>
                <w:b/>
                <w:sz w:val="18"/>
              </w:rPr>
              <w:t>Ten minus two bp</w:t>
            </w:r>
          </w:p>
        </w:tc>
      </w:tr>
      <w:tr>
        <w:trPr>
          <w:cantSplit/>
        </w:trPr>
        <w:tc>
          <w:tcPr>
            <w:tcW w:type="dxa" w:w="23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80" w:before="80"/>
            </w:pPr>
            <w:r>
              <w:rPr>
                <w:rFonts w:ascii="Times New Roman" w:hAnsi="Times New Roman"/>
                <w:sz w:val="18"/>
              </w:rPr>
              <w:t>Classifier baseline</w:t>
            </w:r>
          </w:p>
        </w:tc>
        <w:tc>
          <w:tcPr>
            <w:tcW w:type="dxa" w:w="23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80" w:before="80"/>
            </w:pPr>
            <w:r>
              <w:rPr>
                <w:rFonts w:ascii="Times New Roman" w:hAnsi="Times New Roman"/>
                <w:sz w:val="18"/>
              </w:rPr>
              <w:t>17.52</w:t>
              <w:br/>
              <w:t>[6.86, 29.80]</w:t>
            </w:r>
          </w:p>
        </w:tc>
        <w:tc>
          <w:tcPr>
            <w:tcW w:type="dxa" w:w="23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80" w:before="80"/>
            </w:pPr>
            <w:r>
              <w:rPr>
                <w:rFonts w:ascii="Times New Roman" w:hAnsi="Times New Roman"/>
                <w:sz w:val="18"/>
              </w:rPr>
              <w:t>13.87</w:t>
              <w:br/>
              <w:t>[5.16, 24.88]</w:t>
            </w:r>
          </w:p>
        </w:tc>
        <w:tc>
          <w:tcPr>
            <w:tcW w:type="dxa" w:w="23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80" w:before="80"/>
            </w:pPr>
            <w:r>
              <w:rPr>
                <w:rFonts w:ascii="Times New Roman" w:hAnsi="Times New Roman"/>
                <w:sz w:val="18"/>
              </w:rPr>
              <w:t>-3.64</w:t>
              <w:br/>
              <w:t>[-11.54, 3.15]</w:t>
            </w:r>
          </w:p>
        </w:tc>
      </w:tr>
      <w:tr>
        <w:trPr>
          <w:cantSplit/>
        </w:trPr>
        <w:tc>
          <w:tcPr>
            <w:tcW w:type="dxa" w:w="23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80" w:before="80"/>
            </w:pPr>
            <w:r>
              <w:rPr>
                <w:rFonts w:ascii="Times New Roman" w:hAnsi="Times New Roman"/>
                <w:sz w:val="18"/>
              </w:rPr>
              <w:t>Fixed dictionary</w:t>
            </w:r>
          </w:p>
        </w:tc>
        <w:tc>
          <w:tcPr>
            <w:tcW w:type="dxa" w:w="23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80" w:before="80"/>
            </w:pPr>
            <w:r>
              <w:rPr>
                <w:rFonts w:ascii="Times New Roman" w:hAnsi="Times New Roman"/>
                <w:sz w:val="18"/>
              </w:rPr>
              <w:t>15.04</w:t>
              <w:br/>
              <w:t>[-3.07, 32.62]</w:t>
            </w:r>
          </w:p>
        </w:tc>
        <w:tc>
          <w:tcPr>
            <w:tcW w:type="dxa" w:w="23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80" w:before="80"/>
            </w:pPr>
            <w:r>
              <w:rPr>
                <w:rFonts w:ascii="Times New Roman" w:hAnsi="Times New Roman"/>
                <w:sz w:val="18"/>
              </w:rPr>
              <w:t>7.99</w:t>
              <w:br/>
              <w:t>[-12.60, 28.77]</w:t>
            </w:r>
          </w:p>
        </w:tc>
        <w:tc>
          <w:tcPr>
            <w:tcW w:type="dxa" w:w="23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80" w:before="80"/>
            </w:pPr>
            <w:r>
              <w:rPr>
                <w:rFonts w:ascii="Times New Roman" w:hAnsi="Times New Roman"/>
                <w:sz w:val="18"/>
              </w:rPr>
              <w:t>-7.05</w:t>
              <w:br/>
              <w:t>[-17.67, 2.14]</w:t>
            </w:r>
          </w:p>
        </w:tc>
      </w:tr>
      <w:tr>
        <w:trPr>
          <w:cantSplit/>
        </w:trPr>
        <w:tc>
          <w:tcPr>
            <w:tcW w:type="dxa" w:w="23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80" w:before="80"/>
            </w:pPr>
            <w:r>
              <w:rPr>
                <w:rFonts w:ascii="Times New Roman" w:hAnsi="Times New Roman"/>
                <w:sz w:val="18"/>
              </w:rPr>
              <w:t>Other five bank factor</w:t>
            </w:r>
          </w:p>
        </w:tc>
        <w:tc>
          <w:tcPr>
            <w:tcW w:type="dxa" w:w="23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80" w:before="80"/>
            </w:pPr>
            <w:r>
              <w:rPr>
                <w:rFonts w:ascii="Times New Roman" w:hAnsi="Times New Roman"/>
                <w:sz w:val="18"/>
              </w:rPr>
              <w:t>18.56</w:t>
              <w:br/>
              <w:t>[7.45, 31.76]</w:t>
            </w:r>
          </w:p>
        </w:tc>
        <w:tc>
          <w:tcPr>
            <w:tcW w:type="dxa" w:w="23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80" w:before="80"/>
            </w:pPr>
            <w:r>
              <w:rPr>
                <w:rFonts w:ascii="Times New Roman" w:hAnsi="Times New Roman"/>
                <w:sz w:val="18"/>
              </w:rPr>
              <w:t>14.88</w:t>
              <w:br/>
              <w:t>[5.74, 26.18]</w:t>
            </w:r>
          </w:p>
        </w:tc>
        <w:tc>
          <w:tcPr>
            <w:tcW w:type="dxa" w:w="23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val="0"/>
              <w:spacing w:after="80" w:before="80"/>
            </w:pPr>
            <w:r>
              <w:rPr>
                <w:rFonts w:ascii="Times New Roman" w:hAnsi="Times New Roman"/>
                <w:sz w:val="18"/>
              </w:rPr>
              <w:t>-3.68</w:t>
              <w:br/>
              <w:t>[-12.48, 3.89]</w:t>
            </w:r>
          </w:p>
        </w:tc>
      </w:tr>
    </w:tbl>
    <w:p>
      <w:pPr/>
      <w:r>
        <w:t>Note Common-component coefficients are per unit change in the corresponding standardized level component; all models use the same 744 market-months. Brackets are 95% paired percentile intervals from factor-refitting blocks. This measurement run uses its own common random draws, giving slightly different Monte Carlo endpoints from Table 2. Paired comparisons evaluate the effect of vocabulary and target-bank participation on the estimated pricing coefficients.</w:t>
      </w:r>
    </w:p>
    <w:p>
      <w:pPr/>
      <w:r>
        <w:t>The financial-condition sensitivity removes the contemporaneous other-five outcome, retaining market effects, market-specific post-2020 intercepts, common and local communication changes and their post interactions, and the lagged own outcome. It uses the same 744 observations, month-score six-lag Bartlett HAC, month-based t inference, and 999 null-imposed seven-month moving-average multiplier draws. Its four interaction tests form a separate Holm family. The two specifications estimate conditional associations with and without contemporaneous common asset-price movements.</w:t>
      </w:r>
    </w:p>
    <w:p>
      <w:pPr>
        <w:pStyle w:val="Caption"/>
        <w:keepNext/>
      </w:pPr>
      <w:r>
        <w:t>Table F2 Financial component slope changes without foreign outcomes</w:t>
      </w:r>
    </w:p>
    <w:tbl>
      <w:tblPr>
        <w:tblW w:type="auto" w:w="0"/>
        <w:jc w:val="center"/>
        <w:tblLayout w:type="fixed"/>
        <w:tblLook w:firstColumn="1" w:firstRow="1" w:lastColumn="0" w:lastRow="0" w:noHBand="0" w:noVBand="1" w:val="04A0"/>
      </w:tblPr>
      <w:tblGrid>
        <w:gridCol w:w="1901"/>
        <w:gridCol w:w="1901"/>
        <w:gridCol w:w="1901"/>
        <w:gridCol w:w="1901"/>
        <w:gridCol w:w="1901"/>
      </w:tblGrid>
      <w:tr>
        <w:trPr>
          <w:cantSplit/>
          <w:tblHeader/>
        </w:trPr>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pPr>
            <w:r>
              <w:rPr>
                <w:rFonts w:ascii="Times New Roman" w:hAnsi="Times New Roman"/>
                <w:b/>
                <w:sz w:val="18"/>
              </w:rPr>
              <w:t>Outcome and tone</w:t>
            </w:r>
          </w:p>
        </w:tc>
        <w:tc>
          <w:tcPr>
            <w:tcW w:type="dxa" w:w="115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pPr>
            <w:r>
              <w:rPr>
                <w:rFonts w:ascii="Times New Roman" w:hAnsi="Times New Roman"/>
                <w:b/>
                <w:sz w:val="18"/>
              </w:rPr>
              <w:t>Change pp</w:t>
            </w:r>
          </w:p>
        </w:tc>
        <w:tc>
          <w:tcPr>
            <w:tcW w:type="dxa" w:w="259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pPr>
            <w:r>
              <w:rPr>
                <w:rFonts w:ascii="Times New Roman" w:hAnsi="Times New Roman"/>
                <w:b/>
                <w:sz w:val="18"/>
              </w:rPr>
              <w:t>95% month HAC interval</w:t>
            </w:r>
          </w:p>
        </w:tc>
        <w:tc>
          <w:tcPr>
            <w:tcW w:type="dxa" w:w="129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pPr>
            <w:r>
              <w:rPr>
                <w:rFonts w:ascii="Times New Roman" w:hAnsi="Times New Roman"/>
                <w:b/>
                <w:sz w:val="18"/>
              </w:rPr>
              <w:t>Holm p</w:t>
            </w:r>
          </w:p>
        </w:tc>
        <w:tc>
          <w:tcPr>
            <w:tcW w:type="dxa" w:w="216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pPr>
            <w:r>
              <w:rPr>
                <w:rFonts w:ascii="Times New Roman" w:hAnsi="Times New Roman"/>
                <w:b/>
                <w:sz w:val="18"/>
              </w:rPr>
              <w:t>Multiplier Holm p</w:t>
            </w:r>
          </w:p>
        </w:tc>
      </w:tr>
      <w:tr>
        <w:trPr>
          <w:cantSplit/>
        </w:trPr>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80" w:before="80"/>
            </w:pPr>
            <w:r>
              <w:rPr>
                <w:rFonts w:ascii="Times New Roman" w:hAnsi="Times New Roman"/>
                <w:sz w:val="18"/>
              </w:rPr>
              <w:t>equity / common</w:t>
            </w:r>
          </w:p>
        </w:tc>
        <w:tc>
          <w:tcPr>
            <w:tcW w:type="dxa" w:w="115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80" w:before="80"/>
            </w:pPr>
            <w:r>
              <w:rPr>
                <w:rFonts w:ascii="Times New Roman" w:hAnsi="Times New Roman"/>
                <w:sz w:val="18"/>
              </w:rPr>
              <w:t>0.284</w:t>
            </w:r>
          </w:p>
        </w:tc>
        <w:tc>
          <w:tcPr>
            <w:tcW w:type="dxa" w:w="259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80" w:before="80"/>
            </w:pPr>
            <w:r>
              <w:rPr>
                <w:rFonts w:ascii="Times New Roman" w:hAnsi="Times New Roman"/>
                <w:sz w:val="18"/>
              </w:rPr>
              <w:t>[-1.143, 1.711]</w:t>
            </w:r>
          </w:p>
        </w:tc>
        <w:tc>
          <w:tcPr>
            <w:tcW w:type="dxa" w:w="129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80" w:before="80"/>
            </w:pPr>
            <w:r>
              <w:rPr>
                <w:rFonts w:ascii="Times New Roman" w:hAnsi="Times New Roman"/>
                <w:sz w:val="18"/>
              </w:rPr>
              <w:t>1.000</w:t>
            </w:r>
          </w:p>
        </w:tc>
        <w:tc>
          <w:tcPr>
            <w:tcW w:type="dxa" w:w="216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80" w:before="80"/>
            </w:pPr>
            <w:r>
              <w:rPr>
                <w:rFonts w:ascii="Times New Roman" w:hAnsi="Times New Roman"/>
                <w:sz w:val="18"/>
              </w:rPr>
              <w:t>1.000</w:t>
            </w:r>
          </w:p>
        </w:tc>
      </w:tr>
      <w:tr>
        <w:trPr>
          <w:cantSplit/>
        </w:trPr>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80" w:before="80"/>
            </w:pPr>
            <w:r>
              <w:rPr>
                <w:rFonts w:ascii="Times New Roman" w:hAnsi="Times New Roman"/>
                <w:sz w:val="18"/>
              </w:rPr>
              <w:t>equity / local</w:t>
            </w:r>
          </w:p>
        </w:tc>
        <w:tc>
          <w:tcPr>
            <w:tcW w:type="dxa" w:w="115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80" w:before="80"/>
            </w:pPr>
            <w:r>
              <w:rPr>
                <w:rFonts w:ascii="Times New Roman" w:hAnsi="Times New Roman"/>
                <w:sz w:val="18"/>
              </w:rPr>
              <w:t>-0.142</w:t>
            </w:r>
          </w:p>
        </w:tc>
        <w:tc>
          <w:tcPr>
            <w:tcW w:type="dxa" w:w="259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80" w:before="80"/>
            </w:pPr>
            <w:r>
              <w:rPr>
                <w:rFonts w:ascii="Times New Roman" w:hAnsi="Times New Roman"/>
                <w:sz w:val="18"/>
              </w:rPr>
              <w:t>[-0.364, 0.080]</w:t>
            </w:r>
          </w:p>
        </w:tc>
        <w:tc>
          <w:tcPr>
            <w:tcW w:type="dxa" w:w="129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80" w:before="80"/>
            </w:pPr>
            <w:r>
              <w:rPr>
                <w:rFonts w:ascii="Times New Roman" w:hAnsi="Times New Roman"/>
                <w:sz w:val="18"/>
              </w:rPr>
              <w:t>0.836</w:t>
            </w:r>
          </w:p>
        </w:tc>
        <w:tc>
          <w:tcPr>
            <w:tcW w:type="dxa" w:w="216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80" w:before="80"/>
            </w:pPr>
            <w:r>
              <w:rPr>
                <w:rFonts w:ascii="Times New Roman" w:hAnsi="Times New Roman"/>
                <w:sz w:val="18"/>
              </w:rPr>
              <w:t>0.948</w:t>
            </w:r>
          </w:p>
        </w:tc>
      </w:tr>
      <w:tr>
        <w:trPr>
          <w:cantSplit/>
        </w:trPr>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80" w:before="80"/>
            </w:pPr>
            <w:r>
              <w:rPr>
                <w:rFonts w:ascii="Times New Roman" w:hAnsi="Times New Roman"/>
                <w:sz w:val="18"/>
              </w:rPr>
              <w:t>reer / common</w:t>
            </w:r>
          </w:p>
        </w:tc>
        <w:tc>
          <w:tcPr>
            <w:tcW w:type="dxa" w:w="115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80" w:before="80"/>
            </w:pPr>
            <w:r>
              <w:rPr>
                <w:rFonts w:ascii="Times New Roman" w:hAnsi="Times New Roman"/>
                <w:sz w:val="18"/>
              </w:rPr>
              <w:t>0.017</w:t>
            </w:r>
          </w:p>
        </w:tc>
        <w:tc>
          <w:tcPr>
            <w:tcW w:type="dxa" w:w="259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80" w:before="80"/>
            </w:pPr>
            <w:r>
              <w:rPr>
                <w:rFonts w:ascii="Times New Roman" w:hAnsi="Times New Roman"/>
                <w:sz w:val="18"/>
              </w:rPr>
              <w:t>[-0.151, 0.184]</w:t>
            </w:r>
          </w:p>
        </w:tc>
        <w:tc>
          <w:tcPr>
            <w:tcW w:type="dxa" w:w="129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80" w:before="80"/>
            </w:pPr>
            <w:r>
              <w:rPr>
                <w:rFonts w:ascii="Times New Roman" w:hAnsi="Times New Roman"/>
                <w:sz w:val="18"/>
              </w:rPr>
              <w:t>1.000</w:t>
            </w:r>
          </w:p>
        </w:tc>
        <w:tc>
          <w:tcPr>
            <w:tcW w:type="dxa" w:w="216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80" w:before="80"/>
            </w:pPr>
            <w:r>
              <w:rPr>
                <w:rFonts w:ascii="Times New Roman" w:hAnsi="Times New Roman"/>
                <w:sz w:val="18"/>
              </w:rPr>
              <w:t>1.000</w:t>
            </w:r>
          </w:p>
        </w:tc>
      </w:tr>
      <w:tr>
        <w:trPr>
          <w:cantSplit/>
        </w:trPr>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80" w:before="80"/>
            </w:pPr>
            <w:r>
              <w:rPr>
                <w:rFonts w:ascii="Times New Roman" w:hAnsi="Times New Roman"/>
                <w:sz w:val="18"/>
              </w:rPr>
              <w:t>reer / local</w:t>
            </w:r>
          </w:p>
        </w:tc>
        <w:tc>
          <w:tcPr>
            <w:tcW w:type="dxa" w:w="115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80" w:before="80"/>
            </w:pPr>
            <w:r>
              <w:rPr>
                <w:rFonts w:ascii="Times New Roman" w:hAnsi="Times New Roman"/>
                <w:sz w:val="18"/>
              </w:rPr>
              <w:t>0.076</w:t>
            </w:r>
          </w:p>
        </w:tc>
        <w:tc>
          <w:tcPr>
            <w:tcW w:type="dxa" w:w="259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80" w:before="80"/>
            </w:pPr>
            <w:r>
              <w:rPr>
                <w:rFonts w:ascii="Times New Roman" w:hAnsi="Times New Roman"/>
                <w:sz w:val="18"/>
              </w:rPr>
              <w:t>[-0.146, 0.298]</w:t>
            </w:r>
          </w:p>
        </w:tc>
        <w:tc>
          <w:tcPr>
            <w:tcW w:type="dxa" w:w="129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80" w:before="80"/>
            </w:pPr>
            <w:r>
              <w:rPr>
                <w:rFonts w:ascii="Times New Roman" w:hAnsi="Times New Roman"/>
                <w:sz w:val="18"/>
              </w:rPr>
              <w:t>1.000</w:t>
            </w:r>
          </w:p>
        </w:tc>
        <w:tc>
          <w:tcPr>
            <w:tcW w:type="dxa" w:w="216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val="0"/>
              <w:spacing w:after="80" w:before="80"/>
            </w:pPr>
            <w:r>
              <w:rPr>
                <w:rFonts w:ascii="Times New Roman" w:hAnsi="Times New Roman"/>
                <w:sz w:val="18"/>
              </w:rPr>
              <w:t>1.000</w:t>
            </w:r>
          </w:p>
        </w:tc>
      </w:tr>
    </w:tbl>
    <w:p>
      <w:pPr/>
      <w:r>
        <w:rPr>
          <w:sz w:val="18"/>
        </w:rPr>
        <w:t>Note  Post-2020 slope change per pooled standard deviation of the corresponding tone change. Outcomes are percentage log changes. In the equity equation, the common-slope interval widens substantially when common market movements are retained. Factors are treated as measured inputs; the inference does not include classifier-training uncertainty. Original conditional and month-effects specifications remain in Appendix D.</w:t>
      </w:r>
    </w:p>
    <w:p>
      <w:pPr>
        <w:pStyle w:val="Heading1"/>
      </w:pPr>
      <w:r>
        <w:t>Appendix G External label coverage and recursive reestimation</w:t>
      </w:r>
    </w:p>
    <w:p>
      <w:pPr>
        <w:pStyle w:val="Heading2"/>
      </w:pPr>
      <w:r>
        <w:t>G 1 External annotations and bank transfer</w:t>
      </w:r>
    </w:p>
    <w:p>
      <w:pPr/>
      <w:r>
        <w:t>Shah et al. (2025) provide a published annotated-sentence benchmark; the source authors describe dual annotation, disagreement resolution and secondary expert review. We retain its frozen sentence files and the original global normalization, conflicting-label filter and deduplication rules. Bank-transfer models remove every pre-2015 sentence from the target bank before fitting vocabulary and the fixed logistic estimator. Test rows remain the original post-2014 target-bank held-out labels, with no interest-rate-based model selection.</w:t>
      </w:r>
    </w:p>
    <w:p>
      <w:pPr>
        <w:pStyle w:val="Caption"/>
        <w:keepNext/>
      </w:pPr>
      <w:r>
        <w:t>Table G1 Published label performance with the target bank held out</w:t>
      </w:r>
    </w:p>
    <w:tbl>
      <w:tblPr>
        <w:tblW w:type="auto" w:w="0"/>
        <w:jc w:val="center"/>
        <w:tblLayout w:type="fixed"/>
        <w:tblLook w:firstColumn="1" w:firstRow="1" w:lastColumn="0" w:lastRow="0" w:noHBand="0" w:noVBand="1" w:val="04A0"/>
      </w:tblPr>
      <w:tblGrid>
        <w:gridCol w:w="1901"/>
        <w:gridCol w:w="1901"/>
        <w:gridCol w:w="1901"/>
        <w:gridCol w:w="1901"/>
        <w:gridCol w:w="1901"/>
      </w:tblGrid>
      <w:tr>
        <w:trPr>
          <w:cantSplit/>
          <w:tblHeader/>
        </w:trPr>
        <w:tc>
          <w:tcPr>
            <w:tcW w:type="dxa" w:w="100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60" w:before="60"/>
            </w:pPr>
            <w:r>
              <w:rPr>
                <w:rFonts w:ascii="Times New Roman" w:hAnsi="Times New Roman"/>
                <w:b/>
                <w:sz w:val="18"/>
              </w:rPr>
              <w:t>Bank</w:t>
            </w:r>
          </w:p>
        </w:tc>
        <w:tc>
          <w:tcPr>
            <w:tcW w:type="dxa" w:w="158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60" w:before="60"/>
            </w:pPr>
            <w:r>
              <w:rPr>
                <w:rFonts w:ascii="Times New Roman" w:hAnsi="Times New Roman"/>
                <w:b/>
                <w:sz w:val="18"/>
              </w:rPr>
              <w:t>Test sentences</w:t>
            </w:r>
          </w:p>
        </w:tc>
        <w:tc>
          <w:tcPr>
            <w:tcW w:type="dxa" w:w="259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60" w:before="60"/>
            </w:pPr>
            <w:r>
              <w:rPr>
                <w:rFonts w:ascii="Times New Roman" w:hAnsi="Times New Roman"/>
                <w:b/>
                <w:sz w:val="18"/>
              </w:rPr>
              <w:t>Own-bank training excluded</w:t>
            </w:r>
          </w:p>
        </w:tc>
        <w:tc>
          <w:tcPr>
            <w:tcW w:type="dxa" w:w="216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60" w:before="60"/>
            </w:pPr>
            <w:r>
              <w:rPr>
                <w:rFonts w:ascii="Times New Roman" w:hAnsi="Times New Roman"/>
                <w:b/>
                <w:sz w:val="18"/>
              </w:rPr>
              <w:t>Original macro F1</w:t>
            </w:r>
          </w:p>
        </w:tc>
        <w:tc>
          <w:tcPr>
            <w:tcW w:type="dxa" w:w="216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60" w:before="60"/>
            </w:pPr>
            <w:r>
              <w:rPr>
                <w:rFonts w:ascii="Times New Roman" w:hAnsi="Times New Roman"/>
                <w:b/>
                <w:sz w:val="18"/>
              </w:rPr>
              <w:t>Held-bank macro F1</w:t>
            </w:r>
          </w:p>
        </w:tc>
      </w:tr>
      <w:tr>
        <w:trPr>
          <w:cantSplit/>
        </w:trPr>
        <w:tc>
          <w:tcPr>
            <w:tcW w:type="dxa" w:w="100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US</w:t>
            </w:r>
          </w:p>
        </w:tc>
        <w:tc>
          <w:tcPr>
            <w:tcW w:type="dxa" w:w="158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401</w:t>
            </w:r>
          </w:p>
        </w:tc>
        <w:tc>
          <w:tcPr>
            <w:tcW w:type="dxa" w:w="259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599</w:t>
            </w:r>
          </w:p>
        </w:tc>
        <w:tc>
          <w:tcPr>
            <w:tcW w:type="dxa" w:w="216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0.515</w:t>
            </w:r>
          </w:p>
        </w:tc>
        <w:tc>
          <w:tcPr>
            <w:tcW w:type="dxa" w:w="216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0.514</w:t>
            </w:r>
          </w:p>
        </w:tc>
      </w:tr>
      <w:tr>
        <w:trPr>
          <w:cantSplit/>
        </w:trPr>
        <w:tc>
          <w:tcPr>
            <w:tcW w:type="dxa" w:w="100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ECB</w:t>
            </w:r>
          </w:p>
        </w:tc>
        <w:tc>
          <w:tcPr>
            <w:tcW w:type="dxa" w:w="158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1000</w:t>
            </w:r>
          </w:p>
        </w:tc>
        <w:tc>
          <w:tcPr>
            <w:tcW w:type="dxa" w:w="259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0</w:t>
            </w:r>
          </w:p>
        </w:tc>
        <w:tc>
          <w:tcPr>
            <w:tcW w:type="dxa" w:w="216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0.538</w:t>
            </w:r>
          </w:p>
        </w:tc>
        <w:tc>
          <w:tcPr>
            <w:tcW w:type="dxa" w:w="216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0.538</w:t>
            </w:r>
          </w:p>
        </w:tc>
      </w:tr>
      <w:tr>
        <w:trPr>
          <w:cantSplit/>
        </w:trPr>
        <w:tc>
          <w:tcPr>
            <w:tcW w:type="dxa" w:w="100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UK</w:t>
            </w:r>
          </w:p>
        </w:tc>
        <w:tc>
          <w:tcPr>
            <w:tcW w:type="dxa" w:w="158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283</w:t>
            </w:r>
          </w:p>
        </w:tc>
        <w:tc>
          <w:tcPr>
            <w:tcW w:type="dxa" w:w="259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717</w:t>
            </w:r>
          </w:p>
        </w:tc>
        <w:tc>
          <w:tcPr>
            <w:tcW w:type="dxa" w:w="216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0.621</w:t>
            </w:r>
          </w:p>
        </w:tc>
        <w:tc>
          <w:tcPr>
            <w:tcW w:type="dxa" w:w="216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0.565</w:t>
            </w:r>
          </w:p>
        </w:tc>
      </w:tr>
      <w:tr>
        <w:trPr>
          <w:cantSplit/>
        </w:trPr>
        <w:tc>
          <w:tcPr>
            <w:tcW w:type="dxa" w:w="100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JP</w:t>
            </w:r>
          </w:p>
        </w:tc>
        <w:tc>
          <w:tcPr>
            <w:tcW w:type="dxa" w:w="158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400</w:t>
            </w:r>
          </w:p>
        </w:tc>
        <w:tc>
          <w:tcPr>
            <w:tcW w:type="dxa" w:w="259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600</w:t>
            </w:r>
          </w:p>
        </w:tc>
        <w:tc>
          <w:tcPr>
            <w:tcW w:type="dxa" w:w="216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0.550</w:t>
            </w:r>
          </w:p>
        </w:tc>
        <w:tc>
          <w:tcPr>
            <w:tcW w:type="dxa" w:w="216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0.548</w:t>
            </w:r>
          </w:p>
        </w:tc>
      </w:tr>
      <w:tr>
        <w:trPr>
          <w:cantSplit/>
        </w:trPr>
        <w:tc>
          <w:tcPr>
            <w:tcW w:type="dxa" w:w="100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CA</w:t>
            </w:r>
          </w:p>
        </w:tc>
        <w:tc>
          <w:tcPr>
            <w:tcW w:type="dxa" w:w="158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742</w:t>
            </w:r>
          </w:p>
        </w:tc>
        <w:tc>
          <w:tcPr>
            <w:tcW w:type="dxa" w:w="259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258</w:t>
            </w:r>
          </w:p>
        </w:tc>
        <w:tc>
          <w:tcPr>
            <w:tcW w:type="dxa" w:w="216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0.515</w:t>
            </w:r>
          </w:p>
        </w:tc>
        <w:tc>
          <w:tcPr>
            <w:tcW w:type="dxa" w:w="216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0.518</w:t>
            </w:r>
          </w:p>
        </w:tc>
      </w:tr>
      <w:tr>
        <w:trPr>
          <w:cantSplit/>
        </w:trPr>
        <w:tc>
          <w:tcPr>
            <w:tcW w:type="dxa" w:w="100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AU</w:t>
            </w:r>
          </w:p>
        </w:tc>
        <w:tc>
          <w:tcPr>
            <w:tcW w:type="dxa" w:w="158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610</w:t>
            </w:r>
          </w:p>
        </w:tc>
        <w:tc>
          <w:tcPr>
            <w:tcW w:type="dxa" w:w="259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390</w:t>
            </w:r>
          </w:p>
        </w:tc>
        <w:tc>
          <w:tcPr>
            <w:tcW w:type="dxa" w:w="216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0.475</w:t>
            </w:r>
          </w:p>
        </w:tc>
        <w:tc>
          <w:tcPr>
            <w:tcW w:type="dxa" w:w="216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val="0"/>
              <w:spacing w:after="60" w:before="60"/>
            </w:pPr>
            <w:r>
              <w:rPr>
                <w:rFonts w:ascii="Times New Roman" w:hAnsi="Times New Roman"/>
                <w:b w:val="0"/>
                <w:sz w:val="18"/>
              </w:rPr>
              <w:t>0.474</w:t>
            </w:r>
          </w:p>
        </w:tc>
      </w:tr>
    </w:tbl>
    <w:p>
      <w:pPr/>
      <w:r>
        <w:t>Note  Four-class macro-F1 includes dovish, hawkish, irrelevant and neutral. ECB has no pre-2015 training observations in the original frozen benchmark, so its bank-held-out model coincides with the baseline; that row documents the already-held-out benchmark configuration. All other training settings remain fixed. Sentence predictions, balanced accuracy, class metrics and confusion matrices are retained.</w:t>
      </w:r>
    </w:p>
    <w:p>
      <w:pPr/>
      <w:r>
        <w:t>The direct corpus linkage requires exact lowercased whitespace-normalized text, the same central bank and the same year. Only post-2014 benchmark labels that do not overlap any pre-2015 training sentence are eligible. The linkage uses the frozen exact-match rule. The join produces 902 labeled sentence occurrences and 794 unique bank-year-sentence keys across 151 official documents. Each unique key receives one weight in the reported pooled macro-F1 of 0.5445 and balanced accuracy of 0.5121.</w:t>
      </w:r>
    </w:p>
    <w:p>
      <w:pPr>
        <w:pStyle w:val="Caption"/>
        <w:keepNext/>
      </w:pPr>
      <w:r>
        <w:t>Table G2 Exact external label coverage within official documents</w:t>
      </w:r>
    </w:p>
    <w:tbl>
      <w:tblPr>
        <w:tblW w:type="auto" w:w="0"/>
        <w:jc w:val="center"/>
        <w:tblLayout w:type="fixed"/>
        <w:tblLook w:firstColumn="1" w:firstRow="1" w:lastColumn="0" w:lastRow="0" w:noHBand="0" w:noVBand="1" w:val="04A0"/>
      </w:tblPr>
      <w:tblGrid>
        <w:gridCol w:w="1901"/>
        <w:gridCol w:w="1901"/>
        <w:gridCol w:w="1901"/>
        <w:gridCol w:w="1901"/>
        <w:gridCol w:w="1901"/>
      </w:tblGrid>
      <w:tr>
        <w:trPr>
          <w:cantSplit/>
          <w:tblHeader/>
        </w:trPr>
        <w:tc>
          <w:tcPr>
            <w:tcW w:type="dxa" w:w="100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60" w:before="60"/>
            </w:pPr>
            <w:r>
              <w:rPr>
                <w:rFonts w:ascii="Times New Roman" w:hAnsi="Times New Roman"/>
                <w:b/>
                <w:sz w:val="18"/>
              </w:rPr>
              <w:t>Bank</w:t>
            </w:r>
          </w:p>
        </w:tc>
        <w:tc>
          <w:tcPr>
            <w:tcW w:type="dxa" w:w="216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60" w:before="60"/>
            </w:pPr>
            <w:r>
              <w:rPr>
                <w:rFonts w:ascii="Times New Roman" w:hAnsi="Times New Roman"/>
                <w:b/>
                <w:sz w:val="18"/>
              </w:rPr>
              <w:t>Documents covered</w:t>
            </w:r>
          </w:p>
        </w:tc>
        <w:tc>
          <w:tcPr>
            <w:tcW w:type="dxa" w:w="216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60" w:before="60"/>
            </w:pPr>
            <w:r>
              <w:rPr>
                <w:rFonts w:ascii="Times New Roman" w:hAnsi="Times New Roman"/>
                <w:b/>
                <w:sz w:val="18"/>
              </w:rPr>
              <w:t>Unique label keys</w:t>
            </w:r>
          </w:p>
        </w:tc>
        <w:tc>
          <w:tcPr>
            <w:tcW w:type="dxa" w:w="201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60" w:before="60"/>
            </w:pPr>
            <w:r>
              <w:rPr>
                <w:rFonts w:ascii="Times New Roman" w:hAnsi="Times New Roman"/>
                <w:b/>
                <w:sz w:val="18"/>
              </w:rPr>
              <w:t>Observed classes</w:t>
            </w:r>
          </w:p>
        </w:tc>
        <w:tc>
          <w:tcPr>
            <w:tcW w:type="dxa" w:w="216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60" w:before="60"/>
            </w:pPr>
            <w:r>
              <w:rPr>
                <w:rFonts w:ascii="Times New Roman" w:hAnsi="Times New Roman"/>
                <w:b/>
                <w:sz w:val="18"/>
              </w:rPr>
              <w:t>Macro F1</w:t>
            </w:r>
          </w:p>
        </w:tc>
      </w:tr>
      <w:tr>
        <w:trPr>
          <w:cantSplit/>
        </w:trPr>
        <w:tc>
          <w:tcPr>
            <w:tcW w:type="dxa" w:w="100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US</w:t>
            </w:r>
          </w:p>
        </w:tc>
        <w:tc>
          <w:tcPr>
            <w:tcW w:type="dxa" w:w="216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22/87</w:t>
            </w:r>
          </w:p>
        </w:tc>
        <w:tc>
          <w:tcPr>
            <w:tcW w:type="dxa" w:w="216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8</w:t>
            </w:r>
          </w:p>
        </w:tc>
        <w:tc>
          <w:tcPr>
            <w:tcW w:type="dxa" w:w="201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3</w:t>
            </w:r>
          </w:p>
        </w:tc>
        <w:tc>
          <w:tcPr>
            <w:tcW w:type="dxa" w:w="216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0.268</w:t>
            </w:r>
          </w:p>
        </w:tc>
      </w:tr>
      <w:tr>
        <w:trPr>
          <w:cantSplit/>
        </w:trPr>
        <w:tc>
          <w:tcPr>
            <w:tcW w:type="dxa" w:w="100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ECB</w:t>
            </w:r>
          </w:p>
        </w:tc>
        <w:tc>
          <w:tcPr>
            <w:tcW w:type="dxa" w:w="216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5/88</w:t>
            </w:r>
          </w:p>
        </w:tc>
        <w:tc>
          <w:tcPr>
            <w:tcW w:type="dxa" w:w="216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6</w:t>
            </w:r>
          </w:p>
        </w:tc>
        <w:tc>
          <w:tcPr>
            <w:tcW w:type="dxa" w:w="201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2</w:t>
            </w:r>
          </w:p>
        </w:tc>
        <w:tc>
          <w:tcPr>
            <w:tcW w:type="dxa" w:w="216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0.414</w:t>
            </w:r>
          </w:p>
        </w:tc>
      </w:tr>
      <w:tr>
        <w:trPr>
          <w:cantSplit/>
        </w:trPr>
        <w:tc>
          <w:tcPr>
            <w:tcW w:type="dxa" w:w="100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UK</w:t>
            </w:r>
          </w:p>
        </w:tc>
        <w:tc>
          <w:tcPr>
            <w:tcW w:type="dxa" w:w="216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26/88</w:t>
            </w:r>
          </w:p>
        </w:tc>
        <w:tc>
          <w:tcPr>
            <w:tcW w:type="dxa" w:w="216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27</w:t>
            </w:r>
          </w:p>
        </w:tc>
        <w:tc>
          <w:tcPr>
            <w:tcW w:type="dxa" w:w="201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4</w:t>
            </w:r>
          </w:p>
        </w:tc>
        <w:tc>
          <w:tcPr>
            <w:tcW w:type="dxa" w:w="216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0.459</w:t>
            </w:r>
          </w:p>
        </w:tc>
      </w:tr>
      <w:tr>
        <w:trPr>
          <w:cantSplit/>
        </w:trPr>
        <w:tc>
          <w:tcPr>
            <w:tcW w:type="dxa" w:w="100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JP</w:t>
            </w:r>
          </w:p>
        </w:tc>
        <w:tc>
          <w:tcPr>
            <w:tcW w:type="dxa" w:w="216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21/93</w:t>
            </w:r>
          </w:p>
        </w:tc>
        <w:tc>
          <w:tcPr>
            <w:tcW w:type="dxa" w:w="216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14</w:t>
            </w:r>
          </w:p>
        </w:tc>
        <w:tc>
          <w:tcPr>
            <w:tcW w:type="dxa" w:w="201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4</w:t>
            </w:r>
          </w:p>
        </w:tc>
        <w:tc>
          <w:tcPr>
            <w:tcW w:type="dxa" w:w="216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0.529</w:t>
            </w:r>
          </w:p>
        </w:tc>
      </w:tr>
      <w:tr>
        <w:trPr>
          <w:cantSplit/>
        </w:trPr>
        <w:tc>
          <w:tcPr>
            <w:tcW w:type="dxa" w:w="100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CA</w:t>
            </w:r>
          </w:p>
        </w:tc>
        <w:tc>
          <w:tcPr>
            <w:tcW w:type="dxa" w:w="216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65/88</w:t>
            </w:r>
          </w:p>
        </w:tc>
        <w:tc>
          <w:tcPr>
            <w:tcW w:type="dxa" w:w="216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736</w:t>
            </w:r>
          </w:p>
        </w:tc>
        <w:tc>
          <w:tcPr>
            <w:tcW w:type="dxa" w:w="201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4</w:t>
            </w:r>
          </w:p>
        </w:tc>
        <w:tc>
          <w:tcPr>
            <w:tcW w:type="dxa" w:w="216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0.513</w:t>
            </w:r>
          </w:p>
        </w:tc>
      </w:tr>
      <w:tr>
        <w:trPr>
          <w:cantSplit/>
        </w:trPr>
        <w:tc>
          <w:tcPr>
            <w:tcW w:type="dxa" w:w="100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AU</w:t>
            </w:r>
          </w:p>
        </w:tc>
        <w:tc>
          <w:tcPr>
            <w:tcW w:type="dxa" w:w="216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12/115</w:t>
            </w:r>
          </w:p>
        </w:tc>
        <w:tc>
          <w:tcPr>
            <w:tcW w:type="dxa" w:w="216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3</w:t>
            </w:r>
          </w:p>
        </w:tc>
        <w:tc>
          <w:tcPr>
            <w:tcW w:type="dxa" w:w="201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2</w:t>
            </w:r>
          </w:p>
        </w:tc>
        <w:tc>
          <w:tcPr>
            <w:tcW w:type="dxa" w:w="216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val="0"/>
              <w:spacing w:after="60" w:before="60"/>
            </w:pPr>
            <w:r>
              <w:rPr>
                <w:rFonts w:ascii="Times New Roman" w:hAnsi="Times New Roman"/>
                <w:b w:val="0"/>
                <w:sz w:val="18"/>
              </w:rPr>
              <w:t>0.000</w:t>
            </w:r>
          </w:p>
        </w:tc>
      </w:tr>
    </w:tbl>
    <w:p>
      <w:pPr/>
      <w:r>
        <w:t>Note  All four stance classes enter macro-F1, with zero for a missing class. US, ECB and Australian overlap samples contain too few labels for precise local accuracy comparisons. Canada supplies 736 of 794 keys, or 92.7%; removing it leaves only 58 keys, with macro-F1 0.600. Exact-match coverage is nonrandom and can include repeated language. The published labels verify this specifically covered subset; the coverage table documents its concentration.</w:t>
      </w:r>
    </w:p>
    <w:p>
      <w:pPr>
        <w:pStyle w:val="Heading2"/>
      </w:pPr>
      <w:r>
        <w:t>G 2 Chronological recursive valuation and fixed positions</w:t>
      </w:r>
    </w:p>
    <w:p>
      <w:pPr/>
      <w:r>
        <w:t>The recursive sensitivity measures how estimated valuation gaps and fixed-rule positions change when historical observations receive alternative calendar-block weights. It retains the augmented ten-year model, 65 signal months, six-market rules, three-market bond-return sample and all three transaction-cost assumptions. In each of 999 draws, independent unit-mean exponential weights are constant within nonoverlapping six-month calendar blocks; a uniformly random offset from zero to five changes the block origin. Each date has the same weight across markets, and the observed sequence of yield levels is preserved.</w:t>
      </w:r>
    </w:p>
    <w:p>
      <w:pPr/>
      <w:r>
        <w:t>At each signal month, strictly earlier weights are normalized to the original training count. Weighted stance means and sample standard deviations are re-estimated, followed by the weighted first principal component, common/local projections and weighted yield regression. Current and previous stance states use that same training transformation. Fixed zero thresholds and ranking rules then regenerate positions. Every training window ends before its signal month. Uniform weights reproduce the original valuation gaps within 0.000000001 bp and all original rule means within 0.00000001 bp.</w:t>
      </w:r>
    </w:p>
    <w:p>
      <w:pPr/>
      <w:r>
        <w:t>We report two evaluations of those regenerated positions: equal weight on the original holding months, and the same common block weights applied to holding-month performance. A matched fixed-signal path receives the identical evaluation weights. The first view isolates model and position sensitivity along the observed price path; the second also perturbs the contribution of observed holding months. Costs include the original opening and closing treatment, with three-market synthetic bonds purchased and liquidated each month. Classifier parameters, revised histories, curve-implied cash flows, funding benchmarks and currency treatment remain fixed.</w:t>
      </w:r>
    </w:p>
    <w:p>
      <w:pPr>
        <w:pStyle w:val="Caption"/>
        <w:keepNext/>
      </w:pPr>
      <w:r>
        <w:t>Table G3 Gate minus cheap performance under recursive reestimation</w:t>
      </w:r>
    </w:p>
    <w:tbl>
      <w:tblPr>
        <w:tblW w:type="auto" w:w="0"/>
        <w:jc w:val="center"/>
        <w:tblLayout w:type="fixed"/>
        <w:tblLook w:firstColumn="1" w:firstRow="1" w:lastColumn="0" w:lastRow="0" w:noHBand="0" w:noVBand="1" w:val="04A0"/>
      </w:tblPr>
      <w:tblGrid>
        <w:gridCol w:w="1901"/>
        <w:gridCol w:w="1901"/>
        <w:gridCol w:w="1901"/>
        <w:gridCol w:w="1901"/>
        <w:gridCol w:w="1901"/>
      </w:tblGrid>
      <w:tr>
        <w:trPr>
          <w:cantSplit/>
          <w:tblHeader/>
        </w:trPr>
        <w:tc>
          <w:tcPr>
            <w:tcW w:type="dxa" w:w="187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60" w:before="60"/>
            </w:pPr>
            <w:r>
              <w:rPr>
                <w:rFonts w:ascii="Times New Roman" w:hAnsi="Times New Roman"/>
                <w:b/>
                <w:sz w:val="18"/>
              </w:rPr>
              <w:t>Outcome sample</w:t>
            </w:r>
          </w:p>
        </w:tc>
        <w:tc>
          <w:tcPr>
            <w:tcW w:type="dxa" w:w="273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60" w:before="60"/>
            </w:pPr>
            <w:r>
              <w:rPr>
                <w:rFonts w:ascii="Times New Roman" w:hAnsi="Times New Roman"/>
                <w:b/>
                <w:sz w:val="18"/>
              </w:rPr>
              <w:t>Perturbation</w:t>
            </w:r>
          </w:p>
        </w:tc>
        <w:tc>
          <w:tcPr>
            <w:tcW w:type="dxa" w:w="115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60" w:before="60"/>
            </w:pPr>
            <w:r>
              <w:rPr>
                <w:rFonts w:ascii="Times New Roman" w:hAnsi="Times New Roman"/>
                <w:b/>
                <w:sz w:val="18"/>
              </w:rPr>
              <w:t>Original bp</w:t>
            </w:r>
          </w:p>
        </w:tc>
        <w:tc>
          <w:tcPr>
            <w:tcW w:type="dxa" w:w="144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60" w:before="60"/>
            </w:pPr>
            <w:r>
              <w:rPr>
                <w:rFonts w:ascii="Times New Roman" w:hAnsi="Times New Roman"/>
                <w:b/>
                <w:sz w:val="18"/>
              </w:rPr>
              <w:t>Draw mean bp</w:t>
            </w:r>
          </w:p>
        </w:tc>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9EDF1"/>
          </w:tcPr>
          <w:p>
            <w:pPr>
              <w:keepNext/>
              <w:spacing w:after="60" w:before="60"/>
            </w:pPr>
            <w:r>
              <w:rPr>
                <w:rFonts w:ascii="Times New Roman" w:hAnsi="Times New Roman"/>
                <w:b/>
                <w:sz w:val="18"/>
              </w:rPr>
              <w:t>Central 95% range</w:t>
            </w:r>
          </w:p>
        </w:tc>
      </w:tr>
      <w:tr>
        <w:trPr>
          <w:cantSplit/>
        </w:trPr>
        <w:tc>
          <w:tcPr>
            <w:tcW w:type="dxa" w:w="187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Six-market proxy</w:t>
            </w:r>
          </w:p>
        </w:tc>
        <w:tc>
          <w:tcPr>
            <w:tcW w:type="dxa" w:w="273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Fixed signals and date weights</w:t>
            </w:r>
          </w:p>
        </w:tc>
        <w:tc>
          <w:tcPr>
            <w:tcW w:type="dxa" w:w="115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1.29</w:t>
            </w:r>
          </w:p>
        </w:tc>
        <w:tc>
          <w:tcPr>
            <w:tcW w:type="dxa" w:w="144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1.32</w:t>
            </w:r>
          </w:p>
        </w:tc>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[-0.59, 3.37]</w:t>
            </w:r>
          </w:p>
        </w:tc>
      </w:tr>
      <w:tr>
        <w:trPr>
          <w:cantSplit/>
        </w:trPr>
        <w:tc>
          <w:tcPr>
            <w:tcW w:type="dxa" w:w="187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Six-market proxy</w:t>
            </w:r>
          </w:p>
        </w:tc>
        <w:tc>
          <w:tcPr>
            <w:tcW w:type="dxa" w:w="273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Refit signals only</w:t>
            </w:r>
          </w:p>
        </w:tc>
        <w:tc>
          <w:tcPr>
            <w:tcW w:type="dxa" w:w="115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1.29</w:t>
            </w:r>
          </w:p>
        </w:tc>
        <w:tc>
          <w:tcPr>
            <w:tcW w:type="dxa" w:w="144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1.29</w:t>
            </w:r>
          </w:p>
        </w:tc>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[0.68, 1.83]</w:t>
            </w:r>
          </w:p>
        </w:tc>
      </w:tr>
      <w:tr>
        <w:trPr>
          <w:cantSplit/>
        </w:trPr>
        <w:tc>
          <w:tcPr>
            <w:tcW w:type="dxa" w:w="187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Six-market proxy</w:t>
            </w:r>
          </w:p>
        </w:tc>
        <w:tc>
          <w:tcPr>
            <w:tcW w:type="dxa" w:w="273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Refit signals and date weights</w:t>
            </w:r>
          </w:p>
        </w:tc>
        <w:tc>
          <w:tcPr>
            <w:tcW w:type="dxa" w:w="115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1.29</w:t>
            </w:r>
          </w:p>
        </w:tc>
        <w:tc>
          <w:tcPr>
            <w:tcW w:type="dxa" w:w="144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1.33</w:t>
            </w:r>
          </w:p>
        </w:tc>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[-0.54, 3.45]</w:t>
            </w:r>
          </w:p>
        </w:tc>
      </w:tr>
      <w:tr>
        <w:trPr>
          <w:cantSplit/>
        </w:trPr>
        <w:tc>
          <w:tcPr>
            <w:tcW w:type="dxa" w:w="187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Three-market funded</w:t>
            </w:r>
          </w:p>
        </w:tc>
        <w:tc>
          <w:tcPr>
            <w:tcW w:type="dxa" w:w="273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Fixed signals and date weights</w:t>
            </w:r>
          </w:p>
        </w:tc>
        <w:tc>
          <w:tcPr>
            <w:tcW w:type="dxa" w:w="115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19.14</w:t>
            </w:r>
          </w:p>
        </w:tc>
        <w:tc>
          <w:tcPr>
            <w:tcW w:type="dxa" w:w="144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19.38</w:t>
            </w:r>
          </w:p>
        </w:tc>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[-1.14, 45.23]</w:t>
            </w:r>
          </w:p>
        </w:tc>
      </w:tr>
      <w:tr>
        <w:trPr>
          <w:cantSplit/>
        </w:trPr>
        <w:tc>
          <w:tcPr>
            <w:tcW w:type="dxa" w:w="187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Three-market funded</w:t>
            </w:r>
          </w:p>
        </w:tc>
        <w:tc>
          <w:tcPr>
            <w:tcW w:type="dxa" w:w="273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Refit signals only</w:t>
            </w:r>
          </w:p>
        </w:tc>
        <w:tc>
          <w:tcPr>
            <w:tcW w:type="dxa" w:w="115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19.14</w:t>
            </w:r>
          </w:p>
        </w:tc>
        <w:tc>
          <w:tcPr>
            <w:tcW w:type="dxa" w:w="144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17.54</w:t>
            </w:r>
          </w:p>
        </w:tc>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[10.31, 24.67]</w:t>
            </w:r>
          </w:p>
        </w:tc>
      </w:tr>
      <w:tr>
        <w:trPr>
          <w:cantSplit/>
        </w:trPr>
        <w:tc>
          <w:tcPr>
            <w:tcW w:type="dxa" w:w="187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Three-market funded</w:t>
            </w:r>
          </w:p>
        </w:tc>
        <w:tc>
          <w:tcPr>
            <w:tcW w:type="dxa" w:w="273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Refit signals and date weights</w:t>
            </w:r>
          </w:p>
        </w:tc>
        <w:tc>
          <w:tcPr>
            <w:tcW w:type="dxa" w:w="115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19.14</w:t>
            </w:r>
          </w:p>
        </w:tc>
        <w:tc>
          <w:tcPr>
            <w:tcW w:type="dxa" w:w="144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spacing w:after="60" w:before="60"/>
            </w:pPr>
            <w:r>
              <w:rPr>
                <w:rFonts w:ascii="Times New Roman" w:hAnsi="Times New Roman"/>
                <w:b w:val="0"/>
                <w:sz w:val="18"/>
              </w:rPr>
              <w:t>17.90</w:t>
            </w:r>
          </w:p>
        </w:tc>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keepNext w:val="0"/>
              <w:spacing w:after="60" w:before="60"/>
            </w:pPr>
            <w:r>
              <w:rPr>
                <w:rFonts w:ascii="Times New Roman" w:hAnsi="Times New Roman"/>
                <w:b w:val="0"/>
                <w:sz w:val="18"/>
              </w:rPr>
              <w:t>[-4.07, 42.80]</w:t>
            </w:r>
          </w:p>
        </w:tc>
      </w:tr>
    </w:tbl>
    <w:p>
      <w:pPr/>
      <w:r>
        <w:t>Note  Cost is 0.5 yield bp under the original cost conventions. Proxy bp are DV01-normalized yield-price units; funded bp are basis points of capital excess return. The central 95% ranges describe sensitivity to the stated block-weight perturbation; the original block intervals provide the reported confidence statements. Existing block confidence intervals remain in the main tables. All fixed-rule means, exposures, gap paths, positive date weights and gate decisions are retained for 999 draws and costs 0, 0.5 and 1.</w:t>
      </w:r>
    </w:p>
    <w:p>
      <w:pPr/>
      <w:r>
        <w:t>An independent numerical audit checks 54 weighted signals using a weighted covariance eigendecomposition and a separate least-squares implementation. The largest gap difference is below 0.000000001 bp. It also verifies all 65 training endpoints, the published-label metrics, exact linkage counts, and the invariance of fixed-signal performance when evaluation weights remain uniform. The diagnostic measures recursive model uncertainty alongside the original conditional valuation and strategy estimates.</w:t>
      </w:r>
    </w:p>
    <w:p>
      <w:pPr>
        <w:pStyle w:val="Heading2"/>
        <w:widowControl/>
      </w:pPr>
      <w:r>
        <w:t>Replication records</w:t>
      </w:r>
    </w:p>
    <w:p>
      <w:pPr>
        <w:widowControl/>
      </w:pPr>
      <w:r>
        <w:t>The accompanying archive preserves official documents, source versions and licenses, model designs, parsing and accounting audits, all alternative specifications, generated-factor bootstrap arrays, valuation signals, strategy positions, cash-flow-based holding returns, balanced quarterly demand inputs, multiplier draws, data dictionaries and SHA-256 checksums. Original and updated estimates are retained separately. Source links identify the author-owned research papers. The empirical framework measures communication and economic drivers, estimates conditional valuations, tests subsequent price adjustment and evaluates fixed entry rules.</w:t>
      </w:r>
    </w:p>
    <w:sectPr>
      <w:footerReference w:type="default" r:id="rId9"/>
      <w:pgSz w:w="12240" w:h="15840"/>
      <w:pgMar w:top="1224" w:right="1368" w:bottom="1224" w:left="13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20"/>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ascii="Times New Roman" w:hAnsi="Times New Roman"/>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before="240"/>
      <w:contextualSpacing/>
    </w:pPr>
    <w:rPr>
      <w:rFonts w:asciiTheme="majorHAnsi" w:eastAsiaTheme="majorEastAsia" w:hAnsiTheme="majorHAnsi" w:cstheme="majorBidi" w:ascii="Times New Roman" w:hAnsi="Times New Roman"/>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Times New Roman" w:hAnsi="Times New Roman"/>
      <w:b/>
      <w:bCs/>
      <w:color w:val="000000"/>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newyorkfed.org/research/staff_reports/sr340.html" TargetMode="External"/><Relationship Id="rId11" Type="http://schemas.openxmlformats.org/officeDocument/2006/relationships/hyperlink" Target="https://github.com/lzanotti1999/treasury-policy-shocks" TargetMode="External"/><Relationship Id="rId12" Type="http://schemas.openxmlformats.org/officeDocument/2006/relationships/hyperlink" Target="https://doi.org/10.1257/mac.20180090" TargetMode="External"/><Relationship Id="rId13" Type="http://schemas.openxmlformats.org/officeDocument/2006/relationships/hyperlink" Target="https://www.federalreserve.gov/econresdata/researchdata/feds200533.html" TargetMode="External"/><Relationship Id="rId14" Type="http://schemas.openxmlformats.org/officeDocument/2006/relationships/hyperlink" Target="https://proceedings.nips.cc/paper_files/paper/2025/hash/76a1a2855fa00a865e84efacadf84e88-Abstract-Datasets_and_Benchmarks_Track.html" TargetMode="External"/><Relationship Id="rId15" Type="http://schemas.openxmlformats.org/officeDocument/2006/relationships/hyperlink" Target="https://daojingzhai.github.io/papers/JMP_DaojingZhai.pdf" TargetMode="External"/><Relationship Id="rId16" Type="http://schemas.openxmlformats.org/officeDocument/2006/relationships/hyperlink" Target="https://doi.org/10.24148/wp2025-30" TargetMode="External"/><Relationship Id="rId17" Type="http://schemas.openxmlformats.org/officeDocument/2006/relationships/hyperlink" Target="https://doi.org/10.1016/j.jfineco.2013.04.009" TargetMode="External"/><Relationship Id="rId18" Type="http://schemas.openxmlformats.org/officeDocument/2006/relationships/hyperlink" Target="https://data.bis.org/topics/EER" TargetMode="External"/><Relationship Id="rId19" Type="http://schemas.openxmlformats.org/officeDocument/2006/relationships/hyperlink" Target="https://www.bankofengland.co.uk/statistics/yield-curves" TargetMode="External"/><Relationship Id="rId20" Type="http://schemas.openxmlformats.org/officeDocument/2006/relationships/hyperlink" Target="https://doi.org/10.1257/aer.20201220" TargetMode="External"/><Relationship Id="rId21" Type="http://schemas.openxmlformats.org/officeDocument/2006/relationships/hyperlink" Target="https://doi.org/10.1257/jel.46.4.910" TargetMode="External"/><Relationship Id="rId22" Type="http://schemas.openxmlformats.org/officeDocument/2006/relationships/hyperlink" Target="https://doi.org/10.1257/0002828053828581" TargetMode="External"/><Relationship Id="rId23" Type="http://schemas.openxmlformats.org/officeDocument/2006/relationships/hyperlink" Target="https://doi.org/10.1016/j.jfineco.2012.11.007" TargetMode="External"/><Relationship Id="rId24" Type="http://schemas.openxmlformats.org/officeDocument/2006/relationships/hyperlink" Target="https://doi.org/10.1016/j.jeconom.2008.08.017" TargetMode="External"/><Relationship Id="rId25" Type="http://schemas.openxmlformats.org/officeDocument/2006/relationships/hyperlink" Target="https://www.chicagofed.org/research/data/nfci/about" TargetMode="External"/><Relationship Id="rId26" Type="http://schemas.openxmlformats.org/officeDocument/2006/relationships/hyperlink" Target="https://www.newyorkfed.org/research/policy/gscpi" TargetMode="External"/><Relationship Id="rId27" Type="http://schemas.openxmlformats.org/officeDocument/2006/relationships/hyperlink" Target="https://doi.org/10.1093/rfs/hht133" TargetMode="External"/><Relationship Id="rId28" Type="http://schemas.openxmlformats.org/officeDocument/2006/relationships/hyperlink" Target="https://www.ijcb.org/journal/ijcb05q2a2.htm" TargetMode="External"/><Relationship Id="rId29" Type="http://schemas.openxmlformats.org/officeDocument/2006/relationships/hyperlink" Target="https://doi.org/10.1016/j.jmoneco.2007.06.029" TargetMode="External"/><Relationship Id="rId30" Type="http://schemas.openxmlformats.org/officeDocument/2006/relationships/hyperlink" Target="https://doi.org/10.1016/j.jinteco.2015.12.008" TargetMode="External"/><Relationship Id="rId31" Type="http://schemas.openxmlformats.org/officeDocument/2006/relationships/hyperlink" Target="https://doi.org/10.1093/qje/qjx045" TargetMode="External"/><Relationship Id="rId32" Type="http://schemas.openxmlformats.org/officeDocument/2006/relationships/hyperlink" Target="https://doi.org/10.1016/j.jfineco.2014.11.001" TargetMode="External"/><Relationship Id="rId33" Type="http://schemas.openxmlformats.org/officeDocument/2006/relationships/hyperlink" Target="https://www.jstor.org/stable/4615733" TargetMode="External"/><Relationship Id="rId34" Type="http://schemas.openxmlformats.org/officeDocument/2006/relationships/hyperlink" Target="https://doi.org/10.1016/j.jfineco.2014.09.004" TargetMode="External"/><Relationship Id="rId35" Type="http://schemas.openxmlformats.org/officeDocument/2006/relationships/hyperlink" Target="https://www.federalreserve.gov/pubs/feds/2005/200533/200533abs.html" TargetMode="External"/><Relationship Id="rId36" Type="http://schemas.openxmlformats.org/officeDocument/2006/relationships/hyperlink" Target="https://doi.org/10.1007/978-1-4757-3803-2" TargetMode="External"/><Relationship Id="rId37" Type="http://schemas.openxmlformats.org/officeDocument/2006/relationships/hyperlink" Target="https://doi.org/10.1093/restud/rdaa019" TargetMode="External"/><Relationship Id="rId38" Type="http://schemas.openxmlformats.org/officeDocument/2006/relationships/hyperlink" Target="https://doi.org/10.2307/1913610" TargetMode="External"/><Relationship Id="rId39" Type="http://schemas.openxmlformats.org/officeDocument/2006/relationships/hyperlink" Target="https://fred.stlouisfed.org/series/SPASTT01USM661N" TargetMode="External"/><Relationship Id="rId40" Type="http://schemas.openxmlformats.org/officeDocument/2006/relationships/hyperlink" Target="https://fred.stlouisfed.org/series/NAEXKP04USQ657S" TargetMode="External"/><Relationship Id="rId41" Type="http://schemas.openxmlformats.org/officeDocument/2006/relationships/hyperlink" Target="https://www.bundesbank.de/resource/blob/622394/ab816caf466eeea7dd2fef26d0fbfc30/mL/1997-10-01-dkp-04-data.pdf" TargetMode="External"/><Relationship Id="rId42" Type="http://schemas.openxmlformats.org/officeDocument/2006/relationships/hyperlink" Target="https://doi.org/10.1198/jasa.2009.tm08744" TargetMode="External"/><Relationship Id="rId43" Type="http://schemas.openxmlformats.org/officeDocument/2006/relationships/hyperlink" Target="https://fred.stlouisfed.org/series/PNFIC1" TargetMode="External"/><Relationship Id="rId44" Type="http://schemas.openxmlformats.org/officeDocument/2006/relationships/hyperlink" Target="https://doi.org/10.3982/ECTA17440" TargetMode="External"/><Relationship Id="rId45" Type="http://schemas.openxmlformats.org/officeDocument/2006/relationships/hyperlink" Target="https://doi.org/10.5281/zenodo.236317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 Policy Communication and Sovereign Yield Curves</dc:title>
</cp:coreProperties>
</file>