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828" w:rsidRPr="00C31DC8" w:rsidRDefault="00C31DC8" w:rsidP="00C31DC8">
      <w:pPr>
        <w:jc w:val="center"/>
        <w:rPr>
          <w:b/>
          <w:sz w:val="32"/>
          <w:szCs w:val="32"/>
        </w:rPr>
      </w:pPr>
      <w:r w:rsidRPr="00C31DC8">
        <w:rPr>
          <w:b/>
          <w:sz w:val="32"/>
          <w:szCs w:val="32"/>
        </w:rPr>
        <w:t>Supplementary Materials</w:t>
      </w:r>
    </w:p>
    <w:p w:rsidR="00C31DC8" w:rsidRDefault="00C31DC8"/>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8"/>
        <w:gridCol w:w="1181"/>
        <w:gridCol w:w="1180"/>
        <w:gridCol w:w="1182"/>
        <w:gridCol w:w="1181"/>
        <w:gridCol w:w="1182"/>
        <w:gridCol w:w="1182"/>
      </w:tblGrid>
      <w:tr w:rsidR="00C31DC8" w:rsidTr="00C31DC8">
        <w:tc>
          <w:tcPr>
            <w:tcW w:w="8296" w:type="dxa"/>
            <w:gridSpan w:val="7"/>
            <w:tcBorders>
              <w:bottom w:val="single" w:sz="12" w:space="0" w:color="auto"/>
            </w:tcBorders>
          </w:tcPr>
          <w:p w:rsidR="00C31DC8" w:rsidRPr="00C31DC8" w:rsidRDefault="00C31DC8">
            <w:pPr>
              <w:rPr>
                <w:b/>
              </w:rPr>
            </w:pPr>
            <w:r w:rsidRPr="00C31DC8">
              <w:rPr>
                <w:b/>
              </w:rPr>
              <w:t>Supplementary Table 1</w:t>
            </w:r>
            <w:r w:rsidRPr="00C31DC8">
              <w:rPr>
                <w:rFonts w:hint="eastAsia"/>
                <w:b/>
              </w:rPr>
              <w:t>. Cox regression for all-cause mortality at 28, 90 and 365 days</w:t>
            </w:r>
          </w:p>
        </w:tc>
      </w:tr>
      <w:tr w:rsidR="00C31DC8" w:rsidTr="00C31DC8">
        <w:tc>
          <w:tcPr>
            <w:tcW w:w="1218"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Variable</w:t>
            </w:r>
          </w:p>
        </w:tc>
        <w:tc>
          <w:tcPr>
            <w:tcW w:w="1180"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28-day HR (95% CI)</w:t>
            </w:r>
          </w:p>
        </w:tc>
        <w:tc>
          <w:tcPr>
            <w:tcW w:w="1179"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P (28-day)</w:t>
            </w:r>
          </w:p>
        </w:tc>
        <w:tc>
          <w:tcPr>
            <w:tcW w:w="1180"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90-day HR (95% CI)</w:t>
            </w:r>
          </w:p>
        </w:tc>
        <w:tc>
          <w:tcPr>
            <w:tcW w:w="1179"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P (90-day)</w:t>
            </w:r>
          </w:p>
        </w:tc>
        <w:tc>
          <w:tcPr>
            <w:tcW w:w="1180"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365-day HR (95% CI)</w:t>
            </w:r>
          </w:p>
        </w:tc>
        <w:tc>
          <w:tcPr>
            <w:tcW w:w="1180"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P (365-day)</w:t>
            </w:r>
          </w:p>
        </w:tc>
      </w:tr>
      <w:tr w:rsidR="00C31DC8" w:rsidTr="00C31DC8">
        <w:tc>
          <w:tcPr>
            <w:tcW w:w="1185" w:type="dxa"/>
            <w:tcBorders>
              <w:top w:val="single" w:sz="12" w:space="0" w:color="auto"/>
            </w:tcBorders>
            <w:vAlign w:val="center"/>
          </w:tcPr>
          <w:p w:rsidR="00C31DC8" w:rsidRPr="00C31DC8" w:rsidRDefault="00C31DC8" w:rsidP="00C31DC8">
            <w:pPr>
              <w:rPr>
                <w:rFonts w:hint="eastAsia"/>
              </w:rPr>
            </w:pPr>
            <w:r w:rsidRPr="00C31DC8">
              <w:t>log2 EASIX (per doubling)</w:t>
            </w:r>
          </w:p>
        </w:tc>
        <w:tc>
          <w:tcPr>
            <w:tcW w:w="1185" w:type="dxa"/>
            <w:tcBorders>
              <w:top w:val="single" w:sz="12" w:space="0" w:color="auto"/>
            </w:tcBorders>
            <w:vAlign w:val="center"/>
          </w:tcPr>
          <w:p w:rsidR="00C31DC8" w:rsidRPr="00C31DC8" w:rsidRDefault="00C31DC8" w:rsidP="00C31DC8">
            <w:pPr>
              <w:rPr>
                <w:rFonts w:hint="eastAsia"/>
              </w:rPr>
            </w:pPr>
            <w:r w:rsidRPr="00C31DC8">
              <w:t>1.169 (1.070–1.277)</w:t>
            </w:r>
          </w:p>
        </w:tc>
        <w:tc>
          <w:tcPr>
            <w:tcW w:w="1185" w:type="dxa"/>
            <w:tcBorders>
              <w:top w:val="single" w:sz="12" w:space="0" w:color="auto"/>
            </w:tcBorders>
            <w:vAlign w:val="center"/>
          </w:tcPr>
          <w:p w:rsidR="00C31DC8" w:rsidRPr="00C31DC8" w:rsidRDefault="00C31DC8" w:rsidP="00C31DC8">
            <w:pPr>
              <w:rPr>
                <w:rFonts w:hint="eastAsia"/>
              </w:rPr>
            </w:pPr>
            <w:r w:rsidRPr="00C31DC8">
              <w:t>&lt;0.001</w:t>
            </w:r>
          </w:p>
        </w:tc>
        <w:tc>
          <w:tcPr>
            <w:tcW w:w="1185" w:type="dxa"/>
            <w:tcBorders>
              <w:top w:val="single" w:sz="12" w:space="0" w:color="auto"/>
            </w:tcBorders>
            <w:vAlign w:val="center"/>
          </w:tcPr>
          <w:p w:rsidR="00C31DC8" w:rsidRPr="00C31DC8" w:rsidRDefault="00C31DC8" w:rsidP="00C31DC8">
            <w:pPr>
              <w:rPr>
                <w:rFonts w:hint="eastAsia"/>
              </w:rPr>
            </w:pPr>
            <w:r w:rsidRPr="00C31DC8">
              <w:t>1.180 (1.084–1.284)</w:t>
            </w:r>
          </w:p>
        </w:tc>
        <w:tc>
          <w:tcPr>
            <w:tcW w:w="1185" w:type="dxa"/>
            <w:tcBorders>
              <w:top w:val="single" w:sz="12" w:space="0" w:color="auto"/>
            </w:tcBorders>
            <w:vAlign w:val="center"/>
          </w:tcPr>
          <w:p w:rsidR="00C31DC8" w:rsidRPr="00C31DC8" w:rsidRDefault="00C31DC8" w:rsidP="00C31DC8">
            <w:pPr>
              <w:rPr>
                <w:rFonts w:hint="eastAsia"/>
              </w:rPr>
            </w:pPr>
            <w:r w:rsidRPr="00C31DC8">
              <w:t>&lt;0.001</w:t>
            </w:r>
          </w:p>
        </w:tc>
        <w:tc>
          <w:tcPr>
            <w:tcW w:w="1185" w:type="dxa"/>
            <w:tcBorders>
              <w:top w:val="single" w:sz="12" w:space="0" w:color="auto"/>
            </w:tcBorders>
            <w:vAlign w:val="center"/>
          </w:tcPr>
          <w:p w:rsidR="00C31DC8" w:rsidRPr="00C31DC8" w:rsidRDefault="00C31DC8" w:rsidP="00C31DC8">
            <w:pPr>
              <w:rPr>
                <w:rFonts w:hint="eastAsia"/>
              </w:rPr>
            </w:pPr>
            <w:r w:rsidRPr="00C31DC8">
              <w:t>1.182 (1.087–1.285)</w:t>
            </w:r>
          </w:p>
        </w:tc>
        <w:tc>
          <w:tcPr>
            <w:tcW w:w="1186" w:type="dxa"/>
            <w:tcBorders>
              <w:top w:val="single" w:sz="12" w:space="0" w:color="auto"/>
            </w:tcBorders>
            <w:vAlign w:val="center"/>
          </w:tcPr>
          <w:p w:rsidR="00C31DC8" w:rsidRPr="00C31DC8" w:rsidRDefault="00C31DC8" w:rsidP="00C31DC8">
            <w:pPr>
              <w:rPr>
                <w:rFonts w:hint="eastAsia"/>
              </w:rPr>
            </w:pPr>
            <w:r w:rsidRPr="00C31DC8">
              <w:t>&lt;0.001</w:t>
            </w:r>
          </w:p>
        </w:tc>
      </w:tr>
      <w:tr w:rsidR="00C31DC8" w:rsidTr="00C31DC8">
        <w:tc>
          <w:tcPr>
            <w:tcW w:w="1185" w:type="dxa"/>
            <w:vAlign w:val="center"/>
          </w:tcPr>
          <w:p w:rsidR="00C31DC8" w:rsidRPr="00C31DC8" w:rsidRDefault="00C31DC8" w:rsidP="00C31DC8">
            <w:pPr>
              <w:rPr>
                <w:rFonts w:hint="eastAsia"/>
              </w:rPr>
            </w:pPr>
            <w:r w:rsidRPr="00C31DC8">
              <w:t>Age (per year)</w:t>
            </w:r>
          </w:p>
        </w:tc>
        <w:tc>
          <w:tcPr>
            <w:tcW w:w="1185" w:type="dxa"/>
            <w:vAlign w:val="center"/>
          </w:tcPr>
          <w:p w:rsidR="00C31DC8" w:rsidRPr="00C31DC8" w:rsidRDefault="00C31DC8" w:rsidP="00C31DC8">
            <w:pPr>
              <w:rPr>
                <w:rFonts w:hint="eastAsia"/>
              </w:rPr>
            </w:pPr>
            <w:r w:rsidRPr="00C31DC8">
              <w:t>1.003 (0.987–1.020)</w:t>
            </w:r>
          </w:p>
        </w:tc>
        <w:tc>
          <w:tcPr>
            <w:tcW w:w="1185" w:type="dxa"/>
            <w:vAlign w:val="center"/>
          </w:tcPr>
          <w:p w:rsidR="00C31DC8" w:rsidRPr="00C31DC8" w:rsidRDefault="00C31DC8" w:rsidP="00C31DC8">
            <w:pPr>
              <w:rPr>
                <w:rFonts w:hint="eastAsia"/>
              </w:rPr>
            </w:pPr>
            <w:r w:rsidRPr="00C31DC8">
              <w:t>0.706</w:t>
            </w:r>
          </w:p>
        </w:tc>
        <w:tc>
          <w:tcPr>
            <w:tcW w:w="1185" w:type="dxa"/>
            <w:vAlign w:val="center"/>
          </w:tcPr>
          <w:p w:rsidR="00C31DC8" w:rsidRPr="00C31DC8" w:rsidRDefault="00C31DC8" w:rsidP="00C31DC8">
            <w:pPr>
              <w:rPr>
                <w:rFonts w:hint="eastAsia"/>
              </w:rPr>
            </w:pPr>
            <w:r w:rsidRPr="00C31DC8">
              <w:t>1.006 (0.991–1.022)</w:t>
            </w:r>
          </w:p>
        </w:tc>
        <w:tc>
          <w:tcPr>
            <w:tcW w:w="1185" w:type="dxa"/>
            <w:vAlign w:val="center"/>
          </w:tcPr>
          <w:p w:rsidR="00C31DC8" w:rsidRPr="00C31DC8" w:rsidRDefault="00C31DC8" w:rsidP="00C31DC8">
            <w:pPr>
              <w:rPr>
                <w:rFonts w:hint="eastAsia"/>
              </w:rPr>
            </w:pPr>
            <w:r w:rsidRPr="00C31DC8">
              <w:t>0.417</w:t>
            </w:r>
          </w:p>
        </w:tc>
        <w:tc>
          <w:tcPr>
            <w:tcW w:w="1185" w:type="dxa"/>
            <w:vAlign w:val="center"/>
          </w:tcPr>
          <w:p w:rsidR="00C31DC8" w:rsidRPr="00C31DC8" w:rsidRDefault="00C31DC8" w:rsidP="00C31DC8">
            <w:pPr>
              <w:rPr>
                <w:rFonts w:hint="eastAsia"/>
              </w:rPr>
            </w:pPr>
            <w:r w:rsidRPr="00C31DC8">
              <w:t>1.006 (0.991–1.021)</w:t>
            </w:r>
          </w:p>
        </w:tc>
        <w:tc>
          <w:tcPr>
            <w:tcW w:w="1186" w:type="dxa"/>
            <w:vAlign w:val="center"/>
          </w:tcPr>
          <w:p w:rsidR="00C31DC8" w:rsidRPr="00C31DC8" w:rsidRDefault="00C31DC8" w:rsidP="00C31DC8">
            <w:pPr>
              <w:rPr>
                <w:rFonts w:hint="eastAsia"/>
              </w:rPr>
            </w:pPr>
            <w:r w:rsidRPr="00C31DC8">
              <w:t>0.457</w:t>
            </w:r>
          </w:p>
        </w:tc>
      </w:tr>
      <w:tr w:rsidR="00C31DC8" w:rsidTr="00C31DC8">
        <w:tc>
          <w:tcPr>
            <w:tcW w:w="1185" w:type="dxa"/>
            <w:vAlign w:val="center"/>
          </w:tcPr>
          <w:p w:rsidR="00C31DC8" w:rsidRPr="00C31DC8" w:rsidRDefault="00C31DC8" w:rsidP="00C31DC8">
            <w:pPr>
              <w:rPr>
                <w:rFonts w:hint="eastAsia"/>
              </w:rPr>
            </w:pPr>
            <w:r w:rsidRPr="00C31DC8">
              <w:t>Male sex</w:t>
            </w:r>
          </w:p>
        </w:tc>
        <w:tc>
          <w:tcPr>
            <w:tcW w:w="1185" w:type="dxa"/>
            <w:vAlign w:val="center"/>
          </w:tcPr>
          <w:p w:rsidR="00C31DC8" w:rsidRPr="00C31DC8" w:rsidRDefault="00C31DC8" w:rsidP="00C31DC8">
            <w:pPr>
              <w:rPr>
                <w:rFonts w:hint="eastAsia"/>
              </w:rPr>
            </w:pPr>
            <w:r w:rsidRPr="00C31DC8">
              <w:t>0.552 (0.347–0.878)</w:t>
            </w:r>
          </w:p>
        </w:tc>
        <w:tc>
          <w:tcPr>
            <w:tcW w:w="1185" w:type="dxa"/>
            <w:vAlign w:val="center"/>
          </w:tcPr>
          <w:p w:rsidR="00C31DC8" w:rsidRPr="00C31DC8" w:rsidRDefault="00C31DC8" w:rsidP="00C31DC8">
            <w:pPr>
              <w:rPr>
                <w:rFonts w:hint="eastAsia"/>
              </w:rPr>
            </w:pPr>
            <w:r w:rsidRPr="00C31DC8">
              <w:t>0.012</w:t>
            </w:r>
          </w:p>
        </w:tc>
        <w:tc>
          <w:tcPr>
            <w:tcW w:w="1185" w:type="dxa"/>
            <w:vAlign w:val="center"/>
          </w:tcPr>
          <w:p w:rsidR="00C31DC8" w:rsidRPr="00C31DC8" w:rsidRDefault="00C31DC8" w:rsidP="00C31DC8">
            <w:pPr>
              <w:rPr>
                <w:rFonts w:hint="eastAsia"/>
              </w:rPr>
            </w:pPr>
            <w:r w:rsidRPr="00C31DC8">
              <w:t>0.559 (0.361–0.867)</w:t>
            </w:r>
          </w:p>
        </w:tc>
        <w:tc>
          <w:tcPr>
            <w:tcW w:w="1185" w:type="dxa"/>
            <w:vAlign w:val="center"/>
          </w:tcPr>
          <w:p w:rsidR="00C31DC8" w:rsidRPr="00C31DC8" w:rsidRDefault="00C31DC8" w:rsidP="00C31DC8">
            <w:pPr>
              <w:rPr>
                <w:rFonts w:hint="eastAsia"/>
              </w:rPr>
            </w:pPr>
            <w:r w:rsidRPr="00C31DC8">
              <w:t>0.009</w:t>
            </w:r>
          </w:p>
        </w:tc>
        <w:tc>
          <w:tcPr>
            <w:tcW w:w="1185" w:type="dxa"/>
            <w:vAlign w:val="center"/>
          </w:tcPr>
          <w:p w:rsidR="00C31DC8" w:rsidRPr="00C31DC8" w:rsidRDefault="00C31DC8" w:rsidP="00C31DC8">
            <w:pPr>
              <w:rPr>
                <w:rFonts w:hint="eastAsia"/>
              </w:rPr>
            </w:pPr>
            <w:r w:rsidRPr="00C31DC8">
              <w:t>0.587 (0.381–0.905)</w:t>
            </w:r>
          </w:p>
        </w:tc>
        <w:tc>
          <w:tcPr>
            <w:tcW w:w="1186" w:type="dxa"/>
            <w:vAlign w:val="center"/>
          </w:tcPr>
          <w:p w:rsidR="00C31DC8" w:rsidRPr="00C31DC8" w:rsidRDefault="00C31DC8" w:rsidP="00C31DC8">
            <w:pPr>
              <w:rPr>
                <w:rFonts w:hint="eastAsia"/>
              </w:rPr>
            </w:pPr>
            <w:r w:rsidRPr="00C31DC8">
              <w:t>0.016</w:t>
            </w:r>
          </w:p>
        </w:tc>
      </w:tr>
      <w:tr w:rsidR="00C31DC8" w:rsidTr="00C31DC8">
        <w:tc>
          <w:tcPr>
            <w:tcW w:w="1185" w:type="dxa"/>
            <w:vAlign w:val="center"/>
          </w:tcPr>
          <w:p w:rsidR="00C31DC8" w:rsidRPr="00C31DC8" w:rsidRDefault="00C31DC8" w:rsidP="00C31DC8">
            <w:pPr>
              <w:rPr>
                <w:rFonts w:hint="eastAsia"/>
              </w:rPr>
            </w:pPr>
            <w:r w:rsidRPr="00C31DC8">
              <w:t>Charlson index (per point)</w:t>
            </w:r>
          </w:p>
        </w:tc>
        <w:tc>
          <w:tcPr>
            <w:tcW w:w="1185" w:type="dxa"/>
            <w:vAlign w:val="center"/>
          </w:tcPr>
          <w:p w:rsidR="00C31DC8" w:rsidRPr="00C31DC8" w:rsidRDefault="00C31DC8" w:rsidP="00C31DC8">
            <w:pPr>
              <w:rPr>
                <w:rFonts w:hint="eastAsia"/>
              </w:rPr>
            </w:pPr>
            <w:r w:rsidRPr="00C31DC8">
              <w:t>1.077 (0.964–1.203)</w:t>
            </w:r>
          </w:p>
        </w:tc>
        <w:tc>
          <w:tcPr>
            <w:tcW w:w="1185" w:type="dxa"/>
            <w:vAlign w:val="center"/>
          </w:tcPr>
          <w:p w:rsidR="00C31DC8" w:rsidRPr="00C31DC8" w:rsidRDefault="00C31DC8" w:rsidP="00C31DC8">
            <w:pPr>
              <w:rPr>
                <w:rFonts w:hint="eastAsia"/>
              </w:rPr>
            </w:pPr>
            <w:r w:rsidRPr="00C31DC8">
              <w:t>0.191</w:t>
            </w:r>
          </w:p>
        </w:tc>
        <w:tc>
          <w:tcPr>
            <w:tcW w:w="1185" w:type="dxa"/>
            <w:vAlign w:val="center"/>
          </w:tcPr>
          <w:p w:rsidR="00C31DC8" w:rsidRPr="00C31DC8" w:rsidRDefault="00C31DC8" w:rsidP="00C31DC8">
            <w:pPr>
              <w:rPr>
                <w:rFonts w:hint="eastAsia"/>
              </w:rPr>
            </w:pPr>
            <w:r w:rsidRPr="00C31DC8">
              <w:t>1.071 (0.965–1.188)</w:t>
            </w:r>
          </w:p>
        </w:tc>
        <w:tc>
          <w:tcPr>
            <w:tcW w:w="1185" w:type="dxa"/>
            <w:vAlign w:val="center"/>
          </w:tcPr>
          <w:p w:rsidR="00C31DC8" w:rsidRPr="00C31DC8" w:rsidRDefault="00C31DC8" w:rsidP="00C31DC8">
            <w:pPr>
              <w:rPr>
                <w:rFonts w:hint="eastAsia"/>
              </w:rPr>
            </w:pPr>
            <w:r w:rsidRPr="00C31DC8">
              <w:t>0.199</w:t>
            </w:r>
          </w:p>
        </w:tc>
        <w:tc>
          <w:tcPr>
            <w:tcW w:w="1185" w:type="dxa"/>
            <w:vAlign w:val="center"/>
          </w:tcPr>
          <w:p w:rsidR="00C31DC8" w:rsidRPr="00C31DC8" w:rsidRDefault="00C31DC8" w:rsidP="00C31DC8">
            <w:pPr>
              <w:rPr>
                <w:rFonts w:hint="eastAsia"/>
              </w:rPr>
            </w:pPr>
            <w:r w:rsidRPr="00C31DC8">
              <w:t>1.074 (0.970–1.190)</w:t>
            </w:r>
          </w:p>
        </w:tc>
        <w:tc>
          <w:tcPr>
            <w:tcW w:w="1186" w:type="dxa"/>
            <w:vAlign w:val="center"/>
          </w:tcPr>
          <w:p w:rsidR="00C31DC8" w:rsidRPr="00C31DC8" w:rsidRDefault="00C31DC8" w:rsidP="00C31DC8">
            <w:pPr>
              <w:rPr>
                <w:rFonts w:hint="eastAsia"/>
              </w:rPr>
            </w:pPr>
            <w:r w:rsidRPr="00C31DC8">
              <w:t>0.168</w:t>
            </w:r>
          </w:p>
        </w:tc>
      </w:tr>
      <w:tr w:rsidR="00C31DC8" w:rsidTr="00C31DC8">
        <w:tc>
          <w:tcPr>
            <w:tcW w:w="1185" w:type="dxa"/>
            <w:vAlign w:val="center"/>
          </w:tcPr>
          <w:p w:rsidR="00C31DC8" w:rsidRPr="00C31DC8" w:rsidRDefault="00C31DC8" w:rsidP="00C31DC8">
            <w:pPr>
              <w:rPr>
                <w:rFonts w:hint="eastAsia"/>
              </w:rPr>
            </w:pPr>
            <w:r w:rsidRPr="00C31DC8">
              <w:t>ECMO mode: VV (vs VA)</w:t>
            </w:r>
          </w:p>
        </w:tc>
        <w:tc>
          <w:tcPr>
            <w:tcW w:w="1185" w:type="dxa"/>
            <w:vAlign w:val="center"/>
          </w:tcPr>
          <w:p w:rsidR="00C31DC8" w:rsidRPr="00C31DC8" w:rsidRDefault="00C31DC8" w:rsidP="00C31DC8">
            <w:pPr>
              <w:rPr>
                <w:rFonts w:hint="eastAsia"/>
              </w:rPr>
            </w:pPr>
            <w:r w:rsidRPr="00C31DC8">
              <w:t>0.788 (0.323–1.925)</w:t>
            </w:r>
          </w:p>
        </w:tc>
        <w:tc>
          <w:tcPr>
            <w:tcW w:w="1185" w:type="dxa"/>
            <w:vAlign w:val="center"/>
          </w:tcPr>
          <w:p w:rsidR="00C31DC8" w:rsidRPr="00C31DC8" w:rsidRDefault="00C31DC8" w:rsidP="00C31DC8">
            <w:pPr>
              <w:rPr>
                <w:rFonts w:hint="eastAsia"/>
              </w:rPr>
            </w:pPr>
            <w:r w:rsidRPr="00C31DC8">
              <w:t>0.601</w:t>
            </w:r>
          </w:p>
        </w:tc>
        <w:tc>
          <w:tcPr>
            <w:tcW w:w="1185" w:type="dxa"/>
            <w:vAlign w:val="center"/>
          </w:tcPr>
          <w:p w:rsidR="00C31DC8" w:rsidRPr="00C31DC8" w:rsidRDefault="00C31DC8" w:rsidP="00C31DC8">
            <w:pPr>
              <w:rPr>
                <w:rFonts w:hint="eastAsia"/>
              </w:rPr>
            </w:pPr>
            <w:r w:rsidRPr="00C31DC8">
              <w:t>1.460 (0.671–3.177)</w:t>
            </w:r>
          </w:p>
        </w:tc>
        <w:tc>
          <w:tcPr>
            <w:tcW w:w="1185" w:type="dxa"/>
            <w:vAlign w:val="center"/>
          </w:tcPr>
          <w:p w:rsidR="00C31DC8" w:rsidRPr="00C31DC8" w:rsidRDefault="00C31DC8" w:rsidP="00C31DC8">
            <w:pPr>
              <w:rPr>
                <w:rFonts w:hint="eastAsia"/>
              </w:rPr>
            </w:pPr>
            <w:r w:rsidRPr="00C31DC8">
              <w:t>0.340</w:t>
            </w:r>
          </w:p>
        </w:tc>
        <w:tc>
          <w:tcPr>
            <w:tcW w:w="1185" w:type="dxa"/>
            <w:vAlign w:val="center"/>
          </w:tcPr>
          <w:p w:rsidR="00C31DC8" w:rsidRPr="00C31DC8" w:rsidRDefault="00C31DC8" w:rsidP="00C31DC8">
            <w:pPr>
              <w:rPr>
                <w:rFonts w:hint="eastAsia"/>
              </w:rPr>
            </w:pPr>
            <w:r w:rsidRPr="00C31DC8">
              <w:t>1.532 (0.718–3.271)</w:t>
            </w:r>
          </w:p>
        </w:tc>
        <w:tc>
          <w:tcPr>
            <w:tcW w:w="1186" w:type="dxa"/>
            <w:vAlign w:val="center"/>
          </w:tcPr>
          <w:p w:rsidR="00C31DC8" w:rsidRPr="00C31DC8" w:rsidRDefault="00C31DC8" w:rsidP="00C31DC8">
            <w:pPr>
              <w:rPr>
                <w:rFonts w:hint="eastAsia"/>
              </w:rPr>
            </w:pPr>
            <w:r w:rsidRPr="00C31DC8">
              <w:t>0.270</w:t>
            </w:r>
          </w:p>
        </w:tc>
      </w:tr>
      <w:tr w:rsidR="00C31DC8" w:rsidTr="00C31DC8">
        <w:tc>
          <w:tcPr>
            <w:tcW w:w="1185" w:type="dxa"/>
            <w:vAlign w:val="center"/>
          </w:tcPr>
          <w:p w:rsidR="00C31DC8" w:rsidRPr="00C31DC8" w:rsidRDefault="00C31DC8" w:rsidP="00C31DC8">
            <w:pPr>
              <w:rPr>
                <w:rFonts w:hint="eastAsia"/>
              </w:rPr>
            </w:pPr>
            <w:r w:rsidRPr="00C31DC8">
              <w:t>ECMO mode: other (vs VA)</w:t>
            </w:r>
          </w:p>
        </w:tc>
        <w:tc>
          <w:tcPr>
            <w:tcW w:w="1185" w:type="dxa"/>
            <w:vAlign w:val="center"/>
          </w:tcPr>
          <w:p w:rsidR="00C31DC8" w:rsidRPr="00C31DC8" w:rsidRDefault="00C31DC8" w:rsidP="00C31DC8">
            <w:pPr>
              <w:rPr>
                <w:rFonts w:hint="eastAsia"/>
              </w:rPr>
            </w:pPr>
            <w:r w:rsidRPr="00C31DC8">
              <w:t>0.952 (0.569–1.592)</w:t>
            </w:r>
          </w:p>
        </w:tc>
        <w:tc>
          <w:tcPr>
            <w:tcW w:w="1185" w:type="dxa"/>
            <w:vAlign w:val="center"/>
          </w:tcPr>
          <w:p w:rsidR="00C31DC8" w:rsidRPr="00C31DC8" w:rsidRDefault="00C31DC8" w:rsidP="00C31DC8">
            <w:pPr>
              <w:rPr>
                <w:rFonts w:hint="eastAsia"/>
              </w:rPr>
            </w:pPr>
            <w:r w:rsidRPr="00C31DC8">
              <w:t>0.850</w:t>
            </w:r>
          </w:p>
        </w:tc>
        <w:tc>
          <w:tcPr>
            <w:tcW w:w="1185" w:type="dxa"/>
            <w:vAlign w:val="center"/>
          </w:tcPr>
          <w:p w:rsidR="00C31DC8" w:rsidRPr="00C31DC8" w:rsidRDefault="00C31DC8" w:rsidP="00C31DC8">
            <w:pPr>
              <w:rPr>
                <w:rFonts w:hint="eastAsia"/>
              </w:rPr>
            </w:pPr>
            <w:r w:rsidRPr="00C31DC8">
              <w:t>1.031 (0.625–1.702)</w:t>
            </w:r>
          </w:p>
        </w:tc>
        <w:tc>
          <w:tcPr>
            <w:tcW w:w="1185" w:type="dxa"/>
            <w:vAlign w:val="center"/>
          </w:tcPr>
          <w:p w:rsidR="00C31DC8" w:rsidRPr="00C31DC8" w:rsidRDefault="00C31DC8" w:rsidP="00C31DC8">
            <w:pPr>
              <w:rPr>
                <w:rFonts w:hint="eastAsia"/>
              </w:rPr>
            </w:pPr>
            <w:r w:rsidRPr="00C31DC8">
              <w:t>0.904</w:t>
            </w:r>
          </w:p>
        </w:tc>
        <w:tc>
          <w:tcPr>
            <w:tcW w:w="1185" w:type="dxa"/>
            <w:vAlign w:val="center"/>
          </w:tcPr>
          <w:p w:rsidR="00C31DC8" w:rsidRPr="00C31DC8" w:rsidRDefault="00C31DC8" w:rsidP="00C31DC8">
            <w:pPr>
              <w:rPr>
                <w:rFonts w:hint="eastAsia"/>
              </w:rPr>
            </w:pPr>
            <w:r w:rsidRPr="00C31DC8">
              <w:t>0.999 (0.614–1.627)</w:t>
            </w:r>
          </w:p>
        </w:tc>
        <w:tc>
          <w:tcPr>
            <w:tcW w:w="1186" w:type="dxa"/>
            <w:vAlign w:val="center"/>
          </w:tcPr>
          <w:p w:rsidR="00C31DC8" w:rsidRPr="00C31DC8" w:rsidRDefault="00C31DC8" w:rsidP="00C31DC8">
            <w:pPr>
              <w:rPr>
                <w:rFonts w:hint="eastAsia"/>
              </w:rPr>
            </w:pPr>
            <w:r w:rsidRPr="00C31DC8">
              <w:t>0.998</w:t>
            </w:r>
          </w:p>
        </w:tc>
      </w:tr>
      <w:tr w:rsidR="00C31DC8" w:rsidTr="00C31DC8">
        <w:tc>
          <w:tcPr>
            <w:tcW w:w="1185" w:type="dxa"/>
            <w:vAlign w:val="center"/>
          </w:tcPr>
          <w:p w:rsidR="00C31DC8" w:rsidRPr="00C31DC8" w:rsidRDefault="00C31DC8" w:rsidP="00C31DC8">
            <w:pPr>
              <w:rPr>
                <w:rFonts w:hint="eastAsia"/>
              </w:rPr>
            </w:pPr>
            <w:r w:rsidRPr="00C31DC8">
              <w:t>Cardiogenic shock</w:t>
            </w:r>
          </w:p>
        </w:tc>
        <w:tc>
          <w:tcPr>
            <w:tcW w:w="1185" w:type="dxa"/>
            <w:vAlign w:val="center"/>
          </w:tcPr>
          <w:p w:rsidR="00C31DC8" w:rsidRPr="00C31DC8" w:rsidRDefault="00C31DC8" w:rsidP="00C31DC8">
            <w:pPr>
              <w:rPr>
                <w:rFonts w:hint="eastAsia"/>
              </w:rPr>
            </w:pPr>
            <w:r w:rsidRPr="00C31DC8">
              <w:t>0.988 (0.591–1.653)</w:t>
            </w:r>
          </w:p>
        </w:tc>
        <w:tc>
          <w:tcPr>
            <w:tcW w:w="1185" w:type="dxa"/>
            <w:vAlign w:val="center"/>
          </w:tcPr>
          <w:p w:rsidR="00C31DC8" w:rsidRPr="00C31DC8" w:rsidRDefault="00C31DC8" w:rsidP="00C31DC8">
            <w:pPr>
              <w:rPr>
                <w:rFonts w:hint="eastAsia"/>
              </w:rPr>
            </w:pPr>
            <w:r w:rsidRPr="00C31DC8">
              <w:t>0.963</w:t>
            </w:r>
          </w:p>
        </w:tc>
        <w:tc>
          <w:tcPr>
            <w:tcW w:w="1185" w:type="dxa"/>
            <w:vAlign w:val="center"/>
          </w:tcPr>
          <w:p w:rsidR="00C31DC8" w:rsidRPr="00C31DC8" w:rsidRDefault="00C31DC8" w:rsidP="00C31DC8">
            <w:pPr>
              <w:rPr>
                <w:rFonts w:hint="eastAsia"/>
              </w:rPr>
            </w:pPr>
            <w:r w:rsidRPr="00C31DC8">
              <w:t>1.044 (0.635–1.716)</w:t>
            </w:r>
          </w:p>
        </w:tc>
        <w:tc>
          <w:tcPr>
            <w:tcW w:w="1185" w:type="dxa"/>
            <w:vAlign w:val="center"/>
          </w:tcPr>
          <w:p w:rsidR="00C31DC8" w:rsidRPr="00C31DC8" w:rsidRDefault="00C31DC8" w:rsidP="00C31DC8">
            <w:pPr>
              <w:rPr>
                <w:rFonts w:hint="eastAsia"/>
              </w:rPr>
            </w:pPr>
            <w:r w:rsidRPr="00C31DC8">
              <w:t>0.864</w:t>
            </w:r>
          </w:p>
        </w:tc>
        <w:tc>
          <w:tcPr>
            <w:tcW w:w="1185" w:type="dxa"/>
            <w:vAlign w:val="center"/>
          </w:tcPr>
          <w:p w:rsidR="00C31DC8" w:rsidRPr="00C31DC8" w:rsidRDefault="00C31DC8" w:rsidP="00C31DC8">
            <w:pPr>
              <w:rPr>
                <w:rFonts w:hint="eastAsia"/>
              </w:rPr>
            </w:pPr>
            <w:r w:rsidRPr="00C31DC8">
              <w:t>1.096 (0.671–1.791)</w:t>
            </w:r>
          </w:p>
        </w:tc>
        <w:tc>
          <w:tcPr>
            <w:tcW w:w="1186" w:type="dxa"/>
            <w:vAlign w:val="center"/>
          </w:tcPr>
          <w:p w:rsidR="00C31DC8" w:rsidRPr="00C31DC8" w:rsidRDefault="00C31DC8" w:rsidP="00C31DC8">
            <w:pPr>
              <w:rPr>
                <w:rFonts w:hint="eastAsia"/>
              </w:rPr>
            </w:pPr>
            <w:r w:rsidRPr="00C31DC8">
              <w:t>0.715</w:t>
            </w:r>
          </w:p>
        </w:tc>
      </w:tr>
      <w:tr w:rsidR="00C31DC8" w:rsidTr="00C31DC8">
        <w:tc>
          <w:tcPr>
            <w:tcW w:w="1185" w:type="dxa"/>
            <w:tcBorders>
              <w:bottom w:val="single" w:sz="12" w:space="0" w:color="auto"/>
            </w:tcBorders>
            <w:vAlign w:val="center"/>
          </w:tcPr>
          <w:p w:rsidR="00C31DC8" w:rsidRPr="00C31DC8" w:rsidRDefault="00C31DC8" w:rsidP="00C31DC8">
            <w:pPr>
              <w:rPr>
                <w:rFonts w:hint="eastAsia"/>
              </w:rPr>
            </w:pPr>
            <w:r w:rsidRPr="00C31DC8">
              <w:t>Cardiac arrest</w:t>
            </w:r>
          </w:p>
        </w:tc>
        <w:tc>
          <w:tcPr>
            <w:tcW w:w="1185" w:type="dxa"/>
            <w:tcBorders>
              <w:bottom w:val="single" w:sz="12" w:space="0" w:color="auto"/>
            </w:tcBorders>
            <w:vAlign w:val="center"/>
          </w:tcPr>
          <w:p w:rsidR="00C31DC8" w:rsidRPr="00C31DC8" w:rsidRDefault="00C31DC8" w:rsidP="00C31DC8">
            <w:pPr>
              <w:rPr>
                <w:rFonts w:hint="eastAsia"/>
              </w:rPr>
            </w:pPr>
            <w:r w:rsidRPr="00C31DC8">
              <w:t>1.779 (1.092–2.899)</w:t>
            </w:r>
          </w:p>
        </w:tc>
        <w:tc>
          <w:tcPr>
            <w:tcW w:w="1185" w:type="dxa"/>
            <w:tcBorders>
              <w:bottom w:val="single" w:sz="12" w:space="0" w:color="auto"/>
            </w:tcBorders>
            <w:vAlign w:val="center"/>
          </w:tcPr>
          <w:p w:rsidR="00C31DC8" w:rsidRPr="00C31DC8" w:rsidRDefault="00C31DC8" w:rsidP="00C31DC8">
            <w:pPr>
              <w:rPr>
                <w:rFonts w:hint="eastAsia"/>
              </w:rPr>
            </w:pPr>
            <w:r w:rsidRPr="00C31DC8">
              <w:t>0.021</w:t>
            </w:r>
          </w:p>
        </w:tc>
        <w:tc>
          <w:tcPr>
            <w:tcW w:w="1185" w:type="dxa"/>
            <w:tcBorders>
              <w:bottom w:val="single" w:sz="12" w:space="0" w:color="auto"/>
            </w:tcBorders>
            <w:vAlign w:val="center"/>
          </w:tcPr>
          <w:p w:rsidR="00C31DC8" w:rsidRPr="00C31DC8" w:rsidRDefault="00C31DC8" w:rsidP="00C31DC8">
            <w:pPr>
              <w:rPr>
                <w:rFonts w:hint="eastAsia"/>
              </w:rPr>
            </w:pPr>
            <w:r w:rsidRPr="00C31DC8">
              <w:t>1.953 (1.227–3.109)</w:t>
            </w:r>
          </w:p>
        </w:tc>
        <w:tc>
          <w:tcPr>
            <w:tcW w:w="1185" w:type="dxa"/>
            <w:tcBorders>
              <w:bottom w:val="single" w:sz="12" w:space="0" w:color="auto"/>
            </w:tcBorders>
            <w:vAlign w:val="center"/>
          </w:tcPr>
          <w:p w:rsidR="00C31DC8" w:rsidRPr="00C31DC8" w:rsidRDefault="00C31DC8" w:rsidP="00C31DC8">
            <w:pPr>
              <w:rPr>
                <w:rFonts w:hint="eastAsia"/>
              </w:rPr>
            </w:pPr>
            <w:r w:rsidRPr="00C31DC8">
              <w:t>0.005</w:t>
            </w:r>
          </w:p>
        </w:tc>
        <w:tc>
          <w:tcPr>
            <w:tcW w:w="1185" w:type="dxa"/>
            <w:tcBorders>
              <w:bottom w:val="single" w:sz="12" w:space="0" w:color="auto"/>
            </w:tcBorders>
            <w:vAlign w:val="center"/>
          </w:tcPr>
          <w:p w:rsidR="00C31DC8" w:rsidRPr="00C31DC8" w:rsidRDefault="00C31DC8" w:rsidP="00C31DC8">
            <w:pPr>
              <w:rPr>
                <w:rFonts w:hint="eastAsia"/>
              </w:rPr>
            </w:pPr>
            <w:r w:rsidRPr="00C31DC8">
              <w:t>1.977 (1.253–3.119)</w:t>
            </w:r>
          </w:p>
        </w:tc>
        <w:tc>
          <w:tcPr>
            <w:tcW w:w="1186" w:type="dxa"/>
            <w:tcBorders>
              <w:bottom w:val="single" w:sz="12" w:space="0" w:color="auto"/>
            </w:tcBorders>
            <w:vAlign w:val="center"/>
          </w:tcPr>
          <w:p w:rsidR="00C31DC8" w:rsidRPr="00C31DC8" w:rsidRDefault="00C31DC8" w:rsidP="00C31DC8">
            <w:pPr>
              <w:rPr>
                <w:rFonts w:hint="eastAsia"/>
              </w:rPr>
            </w:pPr>
            <w:r w:rsidRPr="00C31DC8">
              <w:t>0.003</w:t>
            </w:r>
          </w:p>
        </w:tc>
      </w:tr>
      <w:tr w:rsidR="00C31DC8" w:rsidTr="00C31DC8">
        <w:tc>
          <w:tcPr>
            <w:tcW w:w="8296" w:type="dxa"/>
            <w:gridSpan w:val="7"/>
          </w:tcPr>
          <w:p w:rsidR="00C31DC8" w:rsidRDefault="00C31DC8" w:rsidP="00C31DC8">
            <w:r w:rsidRPr="00C31DC8">
              <w:rPr>
                <w:rFonts w:hint="eastAsia"/>
              </w:rPr>
              <w:t>All three endpoints are fitted with the same eight-parameter model M3</w:t>
            </w:r>
            <w:r w:rsidRPr="00C31DC8">
              <w:rPr>
                <w:rFonts w:hint="eastAsia"/>
              </w:rPr>
              <w:t>′</w:t>
            </w:r>
            <w:r w:rsidRPr="00C31DC8">
              <w:rPr>
                <w:rFonts w:hint="eastAsia"/>
              </w:rPr>
              <w:t xml:space="preserve"> (events per variable 80/8 = 10.0) on the same 155 patients, so the three columns are directly comparable; 28 days is the prespecified primary endpoint and 90 and 365 days are secondary.</w:t>
            </w:r>
            <w:r w:rsidRPr="00C31DC8">
              <w:t xml:space="preserve"> Time zero is ICU admission of the index stay. Age, male sex and the Charlson index are per unit; ECMO mode is entered as two indicators with VA as reference.</w:t>
            </w:r>
          </w:p>
        </w:tc>
      </w:tr>
    </w:tbl>
    <w:p w:rsidR="00C31DC8" w:rsidRDefault="00C31DC8"/>
    <w:p w:rsidR="00C31DC8" w:rsidRDefault="00C31DC8">
      <w:pPr>
        <w:rPr>
          <w:rFonts w:hint="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C31DC8" w:rsidTr="00C31DC8">
        <w:tc>
          <w:tcPr>
            <w:tcW w:w="8296" w:type="dxa"/>
            <w:gridSpan w:val="5"/>
          </w:tcPr>
          <w:p w:rsidR="00C31DC8" w:rsidRPr="00C31DC8" w:rsidRDefault="00C31DC8" w:rsidP="00C31DC8">
            <w:pPr>
              <w:rPr>
                <w:b/>
                <w:bCs/>
              </w:rPr>
            </w:pPr>
            <w:r>
              <w:rPr>
                <w:b/>
                <w:bCs/>
              </w:rPr>
              <w:t>Supplementary Table 2</w:t>
            </w:r>
            <w:r w:rsidRPr="00C31DC8">
              <w:rPr>
                <w:b/>
                <w:bCs/>
              </w:rPr>
              <w:t>. EASIX tertiles and 28-day all-cause mortality</w:t>
            </w:r>
          </w:p>
        </w:tc>
      </w:tr>
      <w:tr w:rsidR="00C31DC8" w:rsidTr="00C31DC8">
        <w:tc>
          <w:tcPr>
            <w:tcW w:w="1659" w:type="dxa"/>
            <w:tcBorders>
              <w:top w:val="single" w:sz="12" w:space="0" w:color="auto"/>
              <w:bottom w:val="single" w:sz="12" w:space="0" w:color="auto"/>
            </w:tcBorders>
            <w:vAlign w:val="center"/>
          </w:tcPr>
          <w:p w:rsidR="00C31DC8" w:rsidRPr="00C31DC8" w:rsidRDefault="00C31DC8" w:rsidP="00C31DC8">
            <w:pPr>
              <w:rPr>
                <w:rFonts w:hint="eastAsia"/>
                <w:b/>
              </w:rPr>
            </w:pPr>
            <w:r w:rsidRPr="00C31DC8">
              <w:rPr>
                <w:b/>
                <w:bCs/>
              </w:rPr>
              <w:t>Tertile of EASIX</w:t>
            </w:r>
          </w:p>
        </w:tc>
        <w:tc>
          <w:tcPr>
            <w:tcW w:w="1659" w:type="dxa"/>
            <w:tcBorders>
              <w:top w:val="single" w:sz="12" w:space="0" w:color="auto"/>
              <w:bottom w:val="single" w:sz="12" w:space="0" w:color="auto"/>
            </w:tcBorders>
            <w:vAlign w:val="center"/>
          </w:tcPr>
          <w:p w:rsidR="00C31DC8" w:rsidRPr="00C31DC8" w:rsidRDefault="00C31DC8" w:rsidP="00C31DC8">
            <w:pPr>
              <w:rPr>
                <w:rFonts w:hint="eastAsia"/>
                <w:b/>
              </w:rPr>
            </w:pPr>
            <w:r w:rsidRPr="00C31DC8">
              <w:rPr>
                <w:b/>
                <w:bCs/>
              </w:rPr>
              <w:t>n</w:t>
            </w:r>
          </w:p>
        </w:tc>
        <w:tc>
          <w:tcPr>
            <w:tcW w:w="1659" w:type="dxa"/>
            <w:tcBorders>
              <w:top w:val="single" w:sz="12" w:space="0" w:color="auto"/>
              <w:bottom w:val="single" w:sz="12" w:space="0" w:color="auto"/>
            </w:tcBorders>
            <w:vAlign w:val="center"/>
          </w:tcPr>
          <w:p w:rsidR="00C31DC8" w:rsidRPr="00C31DC8" w:rsidRDefault="00C31DC8" w:rsidP="00C31DC8">
            <w:pPr>
              <w:rPr>
                <w:rFonts w:hint="eastAsia"/>
                <w:b/>
              </w:rPr>
            </w:pPr>
            <w:r w:rsidRPr="00C31DC8">
              <w:rPr>
                <w:b/>
                <w:bCs/>
              </w:rPr>
              <w:t>28-day death, n (%)</w:t>
            </w:r>
          </w:p>
        </w:tc>
        <w:tc>
          <w:tcPr>
            <w:tcW w:w="1659" w:type="dxa"/>
            <w:tcBorders>
              <w:top w:val="single" w:sz="12" w:space="0" w:color="auto"/>
              <w:bottom w:val="single" w:sz="12" w:space="0" w:color="auto"/>
            </w:tcBorders>
            <w:vAlign w:val="center"/>
          </w:tcPr>
          <w:p w:rsidR="00C31DC8" w:rsidRPr="00C31DC8" w:rsidRDefault="00C31DC8" w:rsidP="00C31DC8">
            <w:pPr>
              <w:rPr>
                <w:rFonts w:hint="eastAsia"/>
                <w:b/>
              </w:rPr>
            </w:pPr>
            <w:r w:rsidRPr="00C31DC8">
              <w:rPr>
                <w:b/>
                <w:bCs/>
              </w:rPr>
              <w:t>Model M3′ HR (95% CI)</w:t>
            </w:r>
          </w:p>
        </w:tc>
        <w:tc>
          <w:tcPr>
            <w:tcW w:w="1660" w:type="dxa"/>
            <w:tcBorders>
              <w:top w:val="single" w:sz="12" w:space="0" w:color="auto"/>
              <w:bottom w:val="single" w:sz="12" w:space="0" w:color="auto"/>
            </w:tcBorders>
            <w:vAlign w:val="center"/>
          </w:tcPr>
          <w:p w:rsidR="00C31DC8" w:rsidRPr="00C31DC8" w:rsidRDefault="00C31DC8" w:rsidP="00C31DC8">
            <w:pPr>
              <w:rPr>
                <w:rFonts w:hint="eastAsia"/>
                <w:b/>
              </w:rPr>
            </w:pPr>
            <w:r w:rsidRPr="00C31DC8">
              <w:rPr>
                <w:b/>
                <w:bCs/>
              </w:rPr>
              <w:t>P</w:t>
            </w:r>
          </w:p>
        </w:tc>
      </w:tr>
      <w:tr w:rsidR="00C31DC8" w:rsidTr="00C31DC8">
        <w:tc>
          <w:tcPr>
            <w:tcW w:w="1659" w:type="dxa"/>
            <w:tcBorders>
              <w:top w:val="single" w:sz="12" w:space="0" w:color="auto"/>
            </w:tcBorders>
            <w:vAlign w:val="center"/>
          </w:tcPr>
          <w:p w:rsidR="00C31DC8" w:rsidRPr="00C31DC8" w:rsidRDefault="00C31DC8" w:rsidP="00C31DC8">
            <w:pPr>
              <w:rPr>
                <w:rFonts w:hint="eastAsia"/>
              </w:rPr>
            </w:pPr>
            <w:r w:rsidRPr="00C31DC8">
              <w:t>T1 &lt;5.598</w:t>
            </w:r>
          </w:p>
        </w:tc>
        <w:tc>
          <w:tcPr>
            <w:tcW w:w="1659" w:type="dxa"/>
            <w:tcBorders>
              <w:top w:val="single" w:sz="12" w:space="0" w:color="auto"/>
            </w:tcBorders>
            <w:vAlign w:val="center"/>
          </w:tcPr>
          <w:p w:rsidR="00C31DC8" w:rsidRPr="00C31DC8" w:rsidRDefault="00C31DC8" w:rsidP="00C31DC8">
            <w:pPr>
              <w:rPr>
                <w:rFonts w:hint="eastAsia"/>
              </w:rPr>
            </w:pPr>
            <w:r w:rsidRPr="00C31DC8">
              <w:t>52</w:t>
            </w:r>
          </w:p>
        </w:tc>
        <w:tc>
          <w:tcPr>
            <w:tcW w:w="1659" w:type="dxa"/>
            <w:tcBorders>
              <w:top w:val="single" w:sz="12" w:space="0" w:color="auto"/>
            </w:tcBorders>
            <w:vAlign w:val="center"/>
          </w:tcPr>
          <w:p w:rsidR="00C31DC8" w:rsidRPr="00C31DC8" w:rsidRDefault="00C31DC8" w:rsidP="00C31DC8">
            <w:pPr>
              <w:rPr>
                <w:rFonts w:hint="eastAsia"/>
              </w:rPr>
            </w:pPr>
            <w:r w:rsidRPr="00C31DC8">
              <w:t>17 (32.7)</w:t>
            </w:r>
          </w:p>
        </w:tc>
        <w:tc>
          <w:tcPr>
            <w:tcW w:w="1659" w:type="dxa"/>
            <w:tcBorders>
              <w:top w:val="single" w:sz="12" w:space="0" w:color="auto"/>
            </w:tcBorders>
            <w:vAlign w:val="center"/>
          </w:tcPr>
          <w:p w:rsidR="00C31DC8" w:rsidRPr="00C31DC8" w:rsidRDefault="00C31DC8" w:rsidP="00C31DC8">
            <w:pPr>
              <w:rPr>
                <w:rFonts w:hint="eastAsia"/>
              </w:rPr>
            </w:pPr>
            <w:r w:rsidRPr="00C31DC8">
              <w:t>Reference</w:t>
            </w:r>
          </w:p>
        </w:tc>
        <w:tc>
          <w:tcPr>
            <w:tcW w:w="1660" w:type="dxa"/>
            <w:tcBorders>
              <w:top w:val="single" w:sz="12" w:space="0" w:color="auto"/>
            </w:tcBorders>
            <w:vAlign w:val="center"/>
          </w:tcPr>
          <w:p w:rsidR="00C31DC8" w:rsidRPr="00C31DC8" w:rsidRDefault="00C31DC8" w:rsidP="00C31DC8">
            <w:pPr>
              <w:rPr>
                <w:rFonts w:hint="eastAsia"/>
              </w:rPr>
            </w:pPr>
            <w:r w:rsidRPr="00C31DC8">
              <w:t>—</w:t>
            </w:r>
          </w:p>
        </w:tc>
      </w:tr>
      <w:tr w:rsidR="00C31DC8" w:rsidTr="00C31DC8">
        <w:tc>
          <w:tcPr>
            <w:tcW w:w="1659" w:type="dxa"/>
            <w:vAlign w:val="center"/>
          </w:tcPr>
          <w:p w:rsidR="00C31DC8" w:rsidRPr="00C31DC8" w:rsidRDefault="00C31DC8" w:rsidP="00C31DC8">
            <w:pPr>
              <w:rPr>
                <w:rFonts w:hint="eastAsia"/>
              </w:rPr>
            </w:pPr>
            <w:r w:rsidRPr="00C31DC8">
              <w:t>T2 5.598–38.521</w:t>
            </w:r>
          </w:p>
        </w:tc>
        <w:tc>
          <w:tcPr>
            <w:tcW w:w="1659" w:type="dxa"/>
            <w:vAlign w:val="center"/>
          </w:tcPr>
          <w:p w:rsidR="00C31DC8" w:rsidRPr="00C31DC8" w:rsidRDefault="00C31DC8" w:rsidP="00C31DC8">
            <w:pPr>
              <w:rPr>
                <w:rFonts w:hint="eastAsia"/>
              </w:rPr>
            </w:pPr>
            <w:r w:rsidRPr="00C31DC8">
              <w:t>51</w:t>
            </w:r>
          </w:p>
        </w:tc>
        <w:tc>
          <w:tcPr>
            <w:tcW w:w="1659" w:type="dxa"/>
            <w:vAlign w:val="center"/>
          </w:tcPr>
          <w:p w:rsidR="00C31DC8" w:rsidRPr="00C31DC8" w:rsidRDefault="00C31DC8" w:rsidP="00C31DC8">
            <w:pPr>
              <w:rPr>
                <w:rFonts w:hint="eastAsia"/>
              </w:rPr>
            </w:pPr>
            <w:r w:rsidRPr="00C31DC8">
              <w:t>28 (54.9)</w:t>
            </w:r>
          </w:p>
        </w:tc>
        <w:tc>
          <w:tcPr>
            <w:tcW w:w="1659" w:type="dxa"/>
            <w:vAlign w:val="center"/>
          </w:tcPr>
          <w:p w:rsidR="00C31DC8" w:rsidRPr="00C31DC8" w:rsidRDefault="00C31DC8" w:rsidP="00C31DC8">
            <w:pPr>
              <w:rPr>
                <w:rFonts w:hint="eastAsia"/>
              </w:rPr>
            </w:pPr>
            <w:r w:rsidRPr="00C31DC8">
              <w:t>2.044 (1.080–</w:t>
            </w:r>
            <w:r w:rsidRPr="00C31DC8">
              <w:lastRenderedPageBreak/>
              <w:t>3.871)</w:t>
            </w:r>
          </w:p>
        </w:tc>
        <w:tc>
          <w:tcPr>
            <w:tcW w:w="1660" w:type="dxa"/>
            <w:vAlign w:val="center"/>
          </w:tcPr>
          <w:p w:rsidR="00C31DC8" w:rsidRPr="00C31DC8" w:rsidRDefault="00C31DC8" w:rsidP="00C31DC8">
            <w:pPr>
              <w:rPr>
                <w:rFonts w:hint="eastAsia"/>
              </w:rPr>
            </w:pPr>
            <w:r w:rsidRPr="00C31DC8">
              <w:lastRenderedPageBreak/>
              <w:t>0.028</w:t>
            </w:r>
          </w:p>
        </w:tc>
      </w:tr>
      <w:tr w:rsidR="00C31DC8" w:rsidTr="00C31DC8">
        <w:tc>
          <w:tcPr>
            <w:tcW w:w="1659" w:type="dxa"/>
            <w:vAlign w:val="center"/>
          </w:tcPr>
          <w:p w:rsidR="00C31DC8" w:rsidRPr="00C31DC8" w:rsidRDefault="00C31DC8" w:rsidP="00C31DC8">
            <w:pPr>
              <w:rPr>
                <w:rFonts w:hint="eastAsia"/>
              </w:rPr>
            </w:pPr>
            <w:r w:rsidRPr="00C31DC8">
              <w:lastRenderedPageBreak/>
              <w:t>T3 &gt;38.521</w:t>
            </w:r>
          </w:p>
        </w:tc>
        <w:tc>
          <w:tcPr>
            <w:tcW w:w="1659" w:type="dxa"/>
            <w:vAlign w:val="center"/>
          </w:tcPr>
          <w:p w:rsidR="00C31DC8" w:rsidRPr="00C31DC8" w:rsidRDefault="00C31DC8" w:rsidP="00C31DC8">
            <w:pPr>
              <w:rPr>
                <w:rFonts w:hint="eastAsia"/>
              </w:rPr>
            </w:pPr>
            <w:r w:rsidRPr="00C31DC8">
              <w:t>52</w:t>
            </w:r>
          </w:p>
        </w:tc>
        <w:tc>
          <w:tcPr>
            <w:tcW w:w="1659" w:type="dxa"/>
            <w:vAlign w:val="center"/>
          </w:tcPr>
          <w:p w:rsidR="00C31DC8" w:rsidRPr="00C31DC8" w:rsidRDefault="00C31DC8" w:rsidP="00C31DC8">
            <w:pPr>
              <w:rPr>
                <w:rFonts w:hint="eastAsia"/>
              </w:rPr>
            </w:pPr>
            <w:r w:rsidRPr="00C31DC8">
              <w:t>35 (67.3)</w:t>
            </w:r>
          </w:p>
        </w:tc>
        <w:tc>
          <w:tcPr>
            <w:tcW w:w="1659" w:type="dxa"/>
            <w:vAlign w:val="center"/>
          </w:tcPr>
          <w:p w:rsidR="00C31DC8" w:rsidRPr="00C31DC8" w:rsidRDefault="00C31DC8" w:rsidP="00C31DC8">
            <w:pPr>
              <w:rPr>
                <w:rFonts w:hint="eastAsia"/>
              </w:rPr>
            </w:pPr>
            <w:r w:rsidRPr="00C31DC8">
              <w:t>3.347 (1.750–6.403)</w:t>
            </w:r>
          </w:p>
        </w:tc>
        <w:tc>
          <w:tcPr>
            <w:tcW w:w="1660" w:type="dxa"/>
            <w:vAlign w:val="center"/>
          </w:tcPr>
          <w:p w:rsidR="00C31DC8" w:rsidRPr="00C31DC8" w:rsidRDefault="00C31DC8" w:rsidP="00C31DC8">
            <w:pPr>
              <w:rPr>
                <w:rFonts w:hint="eastAsia"/>
              </w:rPr>
            </w:pPr>
            <w:r w:rsidRPr="00C31DC8">
              <w:t>&lt;0.001</w:t>
            </w:r>
          </w:p>
        </w:tc>
      </w:tr>
      <w:tr w:rsidR="00C31DC8" w:rsidTr="00C31DC8">
        <w:tc>
          <w:tcPr>
            <w:tcW w:w="1659" w:type="dxa"/>
            <w:tcBorders>
              <w:bottom w:val="single" w:sz="12" w:space="0" w:color="auto"/>
            </w:tcBorders>
            <w:vAlign w:val="center"/>
          </w:tcPr>
          <w:p w:rsidR="00C31DC8" w:rsidRPr="00C31DC8" w:rsidRDefault="00C31DC8" w:rsidP="00C31DC8">
            <w:pPr>
              <w:rPr>
                <w:rFonts w:hint="eastAsia"/>
              </w:rPr>
            </w:pPr>
            <w:r w:rsidRPr="00C31DC8">
              <w:t>Per one tertile increase (trend)</w:t>
            </w:r>
          </w:p>
        </w:tc>
        <w:tc>
          <w:tcPr>
            <w:tcW w:w="1659" w:type="dxa"/>
            <w:tcBorders>
              <w:bottom w:val="single" w:sz="12" w:space="0" w:color="auto"/>
            </w:tcBorders>
            <w:vAlign w:val="center"/>
          </w:tcPr>
          <w:p w:rsidR="00C31DC8" w:rsidRPr="00C31DC8" w:rsidRDefault="00C31DC8" w:rsidP="00C31DC8">
            <w:pPr>
              <w:rPr>
                <w:rFonts w:hint="eastAsia"/>
              </w:rPr>
            </w:pPr>
            <w:r w:rsidRPr="00C31DC8">
              <w:t> </w:t>
            </w:r>
          </w:p>
        </w:tc>
        <w:tc>
          <w:tcPr>
            <w:tcW w:w="1659" w:type="dxa"/>
            <w:tcBorders>
              <w:bottom w:val="single" w:sz="12" w:space="0" w:color="auto"/>
            </w:tcBorders>
            <w:vAlign w:val="center"/>
          </w:tcPr>
          <w:p w:rsidR="00C31DC8" w:rsidRPr="00C31DC8" w:rsidRDefault="00C31DC8" w:rsidP="00C31DC8">
            <w:pPr>
              <w:rPr>
                <w:rFonts w:hint="eastAsia"/>
              </w:rPr>
            </w:pPr>
            <w:r w:rsidRPr="00C31DC8">
              <w:t> </w:t>
            </w:r>
          </w:p>
        </w:tc>
        <w:tc>
          <w:tcPr>
            <w:tcW w:w="1659" w:type="dxa"/>
            <w:tcBorders>
              <w:bottom w:val="single" w:sz="12" w:space="0" w:color="auto"/>
            </w:tcBorders>
            <w:vAlign w:val="center"/>
          </w:tcPr>
          <w:p w:rsidR="00C31DC8" w:rsidRPr="00C31DC8" w:rsidRDefault="00C31DC8" w:rsidP="00C31DC8">
            <w:pPr>
              <w:rPr>
                <w:rFonts w:hint="eastAsia"/>
              </w:rPr>
            </w:pPr>
            <w:r w:rsidRPr="00C31DC8">
              <w:t>1.805 (1.319–2.471)</w:t>
            </w:r>
          </w:p>
        </w:tc>
        <w:tc>
          <w:tcPr>
            <w:tcW w:w="1660" w:type="dxa"/>
            <w:tcBorders>
              <w:bottom w:val="single" w:sz="12" w:space="0" w:color="auto"/>
            </w:tcBorders>
            <w:vAlign w:val="center"/>
          </w:tcPr>
          <w:p w:rsidR="00C31DC8" w:rsidRPr="00C31DC8" w:rsidRDefault="00C31DC8" w:rsidP="00C31DC8">
            <w:pPr>
              <w:rPr>
                <w:rFonts w:hint="eastAsia"/>
              </w:rPr>
            </w:pPr>
            <w:r w:rsidRPr="00C31DC8">
              <w:t>&lt;0.001</w:t>
            </w:r>
          </w:p>
        </w:tc>
      </w:tr>
      <w:tr w:rsidR="00C31DC8" w:rsidTr="00C31DC8">
        <w:tc>
          <w:tcPr>
            <w:tcW w:w="8296" w:type="dxa"/>
            <w:gridSpan w:val="5"/>
          </w:tcPr>
          <w:p w:rsidR="00C31DC8" w:rsidRPr="00C31DC8" w:rsidRDefault="00C31DC8" w:rsidP="00C31DC8">
            <w:pPr>
              <w:rPr>
                <w:bCs/>
              </w:rPr>
            </w:pPr>
            <w:r w:rsidRPr="00C31DC8">
              <w:rPr>
                <w:bCs/>
              </w:rPr>
              <w:t>Cut-offs are the cohort tertiles of 5.598 and 38.521. The trend test enters tertile as an ordinal variable. Observed 28-day mortality was 32.7%, 54.9% and 67.3% across tertiles (Pearson χ² = 12.80 with 2 degrees of freedom, P = 0.002); the log-rank test for the Kaplan–Meier curves gave χ² = 16.07 with 2 degrees of freedom (P &lt; 0.001).</w:t>
            </w:r>
          </w:p>
        </w:tc>
      </w:tr>
    </w:tbl>
    <w:p w:rsidR="00C31DC8" w:rsidRDefault="00C31DC8" w:rsidP="00C31DC8">
      <w:pPr>
        <w:rPr>
          <w:b/>
          <w:bCs/>
        </w:rPr>
      </w:pPr>
    </w:p>
    <w:p w:rsidR="00C31DC8" w:rsidRDefault="00C31DC8" w:rsidP="00C31DC8">
      <w:pPr>
        <w:rPr>
          <w:b/>
          <w:bCs/>
        </w:rPr>
      </w:pPr>
    </w:p>
    <w:tbl>
      <w:tblPr>
        <w:tblStyle w:val="a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C31DC8" w:rsidTr="00C31DC8">
        <w:tc>
          <w:tcPr>
            <w:tcW w:w="8296" w:type="dxa"/>
            <w:gridSpan w:val="4"/>
            <w:tcBorders>
              <w:bottom w:val="single" w:sz="12" w:space="0" w:color="auto"/>
            </w:tcBorders>
          </w:tcPr>
          <w:p w:rsidR="00C31DC8" w:rsidRDefault="00C31DC8" w:rsidP="00C31DC8">
            <w:pPr>
              <w:rPr>
                <w:b/>
                <w:bCs/>
              </w:rPr>
            </w:pPr>
            <w:r w:rsidRPr="00C31DC8">
              <w:rPr>
                <w:b/>
                <w:bCs/>
              </w:rPr>
              <w:t xml:space="preserve">Supplementary </w:t>
            </w:r>
            <w:r>
              <w:rPr>
                <w:b/>
                <w:bCs/>
              </w:rPr>
              <w:t>Table 3</w:t>
            </w:r>
            <w:r w:rsidRPr="00C31DC8">
              <w:rPr>
                <w:b/>
                <w:bCs/>
              </w:rPr>
              <w:t>. Tests for effect modification (Wald)</w:t>
            </w:r>
          </w:p>
        </w:tc>
      </w:tr>
      <w:tr w:rsidR="00C31DC8" w:rsidTr="00C31DC8">
        <w:tc>
          <w:tcPr>
            <w:tcW w:w="2074"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Stratifying variable</w:t>
            </w:r>
          </w:p>
        </w:tc>
        <w:tc>
          <w:tcPr>
            <w:tcW w:w="2074"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Comparison</w:t>
            </w:r>
          </w:p>
        </w:tc>
        <w:tc>
          <w:tcPr>
            <w:tcW w:w="2074"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Interaction HR (95% CI)</w:t>
            </w:r>
          </w:p>
        </w:tc>
        <w:tc>
          <w:tcPr>
            <w:tcW w:w="2074" w:type="dxa"/>
            <w:tcBorders>
              <w:top w:val="single" w:sz="12" w:space="0" w:color="auto"/>
              <w:bottom w:val="single" w:sz="12" w:space="0" w:color="auto"/>
            </w:tcBorders>
            <w:vAlign w:val="center"/>
          </w:tcPr>
          <w:p w:rsidR="00C31DC8" w:rsidRPr="00C31DC8" w:rsidRDefault="00C31DC8" w:rsidP="00C31DC8">
            <w:pPr>
              <w:rPr>
                <w:rFonts w:hint="eastAsia"/>
              </w:rPr>
            </w:pPr>
            <w:r w:rsidRPr="00C31DC8">
              <w:rPr>
                <w:b/>
                <w:bCs/>
              </w:rPr>
              <w:t>P for interaction</w:t>
            </w:r>
          </w:p>
        </w:tc>
      </w:tr>
      <w:tr w:rsidR="00C31DC8" w:rsidTr="00C31DC8">
        <w:tc>
          <w:tcPr>
            <w:tcW w:w="2074" w:type="dxa"/>
            <w:tcBorders>
              <w:top w:val="single" w:sz="12" w:space="0" w:color="auto"/>
            </w:tcBorders>
            <w:vAlign w:val="center"/>
          </w:tcPr>
          <w:p w:rsidR="00C31DC8" w:rsidRPr="00C31DC8" w:rsidRDefault="00C31DC8" w:rsidP="00C31DC8">
            <w:pPr>
              <w:rPr>
                <w:rFonts w:hint="eastAsia"/>
              </w:rPr>
            </w:pPr>
            <w:r w:rsidRPr="00C31DC8">
              <w:t>Age</w:t>
            </w:r>
          </w:p>
        </w:tc>
        <w:tc>
          <w:tcPr>
            <w:tcW w:w="2074" w:type="dxa"/>
            <w:tcBorders>
              <w:top w:val="single" w:sz="12" w:space="0" w:color="auto"/>
            </w:tcBorders>
            <w:vAlign w:val="center"/>
          </w:tcPr>
          <w:p w:rsidR="00C31DC8" w:rsidRPr="00C31DC8" w:rsidRDefault="00C31DC8" w:rsidP="00C31DC8">
            <w:pPr>
              <w:rPr>
                <w:rFonts w:hint="eastAsia"/>
              </w:rPr>
            </w:pPr>
            <w:r w:rsidRPr="00C31DC8">
              <w:t>≥ 60 vs &lt; 60 years</w:t>
            </w:r>
          </w:p>
        </w:tc>
        <w:tc>
          <w:tcPr>
            <w:tcW w:w="2074" w:type="dxa"/>
            <w:tcBorders>
              <w:top w:val="single" w:sz="12" w:space="0" w:color="auto"/>
            </w:tcBorders>
            <w:vAlign w:val="center"/>
          </w:tcPr>
          <w:p w:rsidR="00C31DC8" w:rsidRPr="00C31DC8" w:rsidRDefault="00C31DC8" w:rsidP="00C31DC8">
            <w:pPr>
              <w:rPr>
                <w:rFonts w:hint="eastAsia"/>
              </w:rPr>
            </w:pPr>
            <w:r w:rsidRPr="00C31DC8">
              <w:t>0.981 (0.815–1.182)</w:t>
            </w:r>
          </w:p>
        </w:tc>
        <w:tc>
          <w:tcPr>
            <w:tcW w:w="2074" w:type="dxa"/>
            <w:tcBorders>
              <w:top w:val="single" w:sz="12" w:space="0" w:color="auto"/>
            </w:tcBorders>
            <w:vAlign w:val="center"/>
          </w:tcPr>
          <w:p w:rsidR="00C31DC8" w:rsidRPr="00C31DC8" w:rsidRDefault="00C31DC8" w:rsidP="00C31DC8">
            <w:pPr>
              <w:rPr>
                <w:rFonts w:hint="eastAsia"/>
              </w:rPr>
            </w:pPr>
            <w:r w:rsidRPr="00C31DC8">
              <w:t>0.842</w:t>
            </w:r>
          </w:p>
        </w:tc>
      </w:tr>
      <w:tr w:rsidR="00C31DC8" w:rsidTr="00C31DC8">
        <w:tc>
          <w:tcPr>
            <w:tcW w:w="2074" w:type="dxa"/>
            <w:vAlign w:val="center"/>
          </w:tcPr>
          <w:p w:rsidR="00C31DC8" w:rsidRPr="00C31DC8" w:rsidRDefault="00C31DC8" w:rsidP="00C31DC8">
            <w:pPr>
              <w:rPr>
                <w:rFonts w:hint="eastAsia"/>
              </w:rPr>
            </w:pPr>
            <w:r w:rsidRPr="00C31DC8">
              <w:t>Sex</w:t>
            </w:r>
          </w:p>
        </w:tc>
        <w:tc>
          <w:tcPr>
            <w:tcW w:w="2074" w:type="dxa"/>
            <w:vAlign w:val="center"/>
          </w:tcPr>
          <w:p w:rsidR="00C31DC8" w:rsidRPr="00C31DC8" w:rsidRDefault="00C31DC8" w:rsidP="00C31DC8">
            <w:pPr>
              <w:rPr>
                <w:rFonts w:hint="eastAsia"/>
              </w:rPr>
            </w:pPr>
            <w:r w:rsidRPr="00C31DC8">
              <w:t>Male vs female</w:t>
            </w:r>
          </w:p>
        </w:tc>
        <w:tc>
          <w:tcPr>
            <w:tcW w:w="2074" w:type="dxa"/>
            <w:vAlign w:val="center"/>
          </w:tcPr>
          <w:p w:rsidR="00C31DC8" w:rsidRPr="00C31DC8" w:rsidRDefault="00C31DC8" w:rsidP="00C31DC8">
            <w:pPr>
              <w:rPr>
                <w:rFonts w:hint="eastAsia"/>
              </w:rPr>
            </w:pPr>
            <w:r w:rsidRPr="00C31DC8">
              <w:t>1.002 (0.845–1.190)</w:t>
            </w:r>
          </w:p>
        </w:tc>
        <w:tc>
          <w:tcPr>
            <w:tcW w:w="2074" w:type="dxa"/>
            <w:vAlign w:val="center"/>
          </w:tcPr>
          <w:p w:rsidR="00C31DC8" w:rsidRPr="00C31DC8" w:rsidRDefault="00C31DC8" w:rsidP="00C31DC8">
            <w:pPr>
              <w:rPr>
                <w:rFonts w:hint="eastAsia"/>
              </w:rPr>
            </w:pPr>
            <w:r w:rsidRPr="00C31DC8">
              <w:t>0.977</w:t>
            </w:r>
          </w:p>
        </w:tc>
      </w:tr>
      <w:tr w:rsidR="00C31DC8" w:rsidTr="00C31DC8">
        <w:tc>
          <w:tcPr>
            <w:tcW w:w="2074" w:type="dxa"/>
            <w:vAlign w:val="center"/>
          </w:tcPr>
          <w:p w:rsidR="00C31DC8" w:rsidRPr="00C31DC8" w:rsidRDefault="00C31DC8" w:rsidP="00C31DC8">
            <w:pPr>
              <w:rPr>
                <w:rFonts w:hint="eastAsia"/>
              </w:rPr>
            </w:pPr>
            <w:r w:rsidRPr="00C31DC8">
              <w:t>ECMO mode</w:t>
            </w:r>
          </w:p>
        </w:tc>
        <w:tc>
          <w:tcPr>
            <w:tcW w:w="2074" w:type="dxa"/>
            <w:vAlign w:val="center"/>
          </w:tcPr>
          <w:p w:rsidR="00C31DC8" w:rsidRPr="00C31DC8" w:rsidRDefault="00C31DC8" w:rsidP="00C31DC8">
            <w:pPr>
              <w:rPr>
                <w:rFonts w:hint="eastAsia"/>
              </w:rPr>
            </w:pPr>
            <w:r w:rsidRPr="00C31DC8">
              <w:t>VV vs VA</w:t>
            </w:r>
          </w:p>
        </w:tc>
        <w:tc>
          <w:tcPr>
            <w:tcW w:w="2074" w:type="dxa"/>
            <w:vAlign w:val="center"/>
          </w:tcPr>
          <w:p w:rsidR="00C31DC8" w:rsidRPr="00C31DC8" w:rsidRDefault="00C31DC8" w:rsidP="00C31DC8">
            <w:pPr>
              <w:rPr>
                <w:rFonts w:hint="eastAsia"/>
              </w:rPr>
            </w:pPr>
            <w:r w:rsidRPr="00C31DC8">
              <w:t>0.964 (0.653–1.422)</w:t>
            </w:r>
          </w:p>
        </w:tc>
        <w:tc>
          <w:tcPr>
            <w:tcW w:w="2074" w:type="dxa"/>
            <w:vAlign w:val="center"/>
          </w:tcPr>
          <w:p w:rsidR="00C31DC8" w:rsidRPr="00C31DC8" w:rsidRDefault="00C31DC8" w:rsidP="00C31DC8">
            <w:pPr>
              <w:rPr>
                <w:rFonts w:hint="eastAsia"/>
              </w:rPr>
            </w:pPr>
            <w:r w:rsidRPr="00C31DC8">
              <w:t>0.853</w:t>
            </w:r>
          </w:p>
        </w:tc>
      </w:tr>
      <w:tr w:rsidR="00C31DC8" w:rsidTr="00C31DC8">
        <w:tc>
          <w:tcPr>
            <w:tcW w:w="2074" w:type="dxa"/>
            <w:vAlign w:val="center"/>
          </w:tcPr>
          <w:p w:rsidR="00C31DC8" w:rsidRPr="00C31DC8" w:rsidRDefault="00C31DC8" w:rsidP="00C31DC8"/>
        </w:tc>
        <w:tc>
          <w:tcPr>
            <w:tcW w:w="2074" w:type="dxa"/>
            <w:vAlign w:val="center"/>
          </w:tcPr>
          <w:p w:rsidR="00C31DC8" w:rsidRPr="00C31DC8" w:rsidRDefault="00C31DC8" w:rsidP="00C31DC8">
            <w:pPr>
              <w:rPr>
                <w:rFonts w:hint="eastAsia"/>
              </w:rPr>
            </w:pPr>
            <w:r w:rsidRPr="00C31DC8">
              <w:t>Other vs VA</w:t>
            </w:r>
          </w:p>
        </w:tc>
        <w:tc>
          <w:tcPr>
            <w:tcW w:w="2074" w:type="dxa"/>
            <w:vAlign w:val="center"/>
          </w:tcPr>
          <w:p w:rsidR="00C31DC8" w:rsidRPr="00C31DC8" w:rsidRDefault="00C31DC8" w:rsidP="00C31DC8">
            <w:pPr>
              <w:rPr>
                <w:rFonts w:hint="eastAsia"/>
              </w:rPr>
            </w:pPr>
            <w:r w:rsidRPr="00C31DC8">
              <w:t>1.091 (0.894–1.330)</w:t>
            </w:r>
          </w:p>
        </w:tc>
        <w:tc>
          <w:tcPr>
            <w:tcW w:w="2074" w:type="dxa"/>
            <w:vAlign w:val="center"/>
          </w:tcPr>
          <w:p w:rsidR="00C31DC8" w:rsidRPr="00C31DC8" w:rsidRDefault="00C31DC8" w:rsidP="00C31DC8">
            <w:pPr>
              <w:rPr>
                <w:rFonts w:hint="eastAsia"/>
              </w:rPr>
            </w:pPr>
            <w:r w:rsidRPr="00C31DC8">
              <w:t>0.391</w:t>
            </w:r>
          </w:p>
        </w:tc>
      </w:tr>
      <w:tr w:rsidR="00C31DC8" w:rsidTr="00C31DC8">
        <w:tc>
          <w:tcPr>
            <w:tcW w:w="2074" w:type="dxa"/>
            <w:vAlign w:val="center"/>
          </w:tcPr>
          <w:p w:rsidR="00C31DC8" w:rsidRPr="00C31DC8" w:rsidRDefault="00C31DC8" w:rsidP="00C31DC8">
            <w:pPr>
              <w:rPr>
                <w:rFonts w:hint="eastAsia"/>
              </w:rPr>
            </w:pPr>
            <w:r w:rsidRPr="00C31DC8">
              <w:t>Cardiogenic shock</w:t>
            </w:r>
          </w:p>
        </w:tc>
        <w:tc>
          <w:tcPr>
            <w:tcW w:w="2074" w:type="dxa"/>
            <w:vAlign w:val="center"/>
          </w:tcPr>
          <w:p w:rsidR="00C31DC8" w:rsidRPr="00C31DC8" w:rsidRDefault="00C31DC8" w:rsidP="00C31DC8">
            <w:pPr>
              <w:rPr>
                <w:rFonts w:hint="eastAsia"/>
              </w:rPr>
            </w:pPr>
            <w:r w:rsidRPr="00C31DC8">
              <w:t>Yes vs no</w:t>
            </w:r>
          </w:p>
        </w:tc>
        <w:tc>
          <w:tcPr>
            <w:tcW w:w="2074" w:type="dxa"/>
            <w:vAlign w:val="center"/>
          </w:tcPr>
          <w:p w:rsidR="00C31DC8" w:rsidRPr="00C31DC8" w:rsidRDefault="00C31DC8" w:rsidP="00C31DC8">
            <w:pPr>
              <w:rPr>
                <w:rFonts w:hint="eastAsia"/>
              </w:rPr>
            </w:pPr>
            <w:r w:rsidRPr="00C31DC8">
              <w:t>0.994 (0.833–1.187)</w:t>
            </w:r>
          </w:p>
        </w:tc>
        <w:tc>
          <w:tcPr>
            <w:tcW w:w="2074" w:type="dxa"/>
            <w:vAlign w:val="center"/>
          </w:tcPr>
          <w:p w:rsidR="00C31DC8" w:rsidRPr="00C31DC8" w:rsidRDefault="00C31DC8" w:rsidP="00C31DC8">
            <w:pPr>
              <w:rPr>
                <w:rFonts w:hint="eastAsia"/>
              </w:rPr>
            </w:pPr>
            <w:r w:rsidRPr="00C31DC8">
              <w:t>0.949</w:t>
            </w:r>
          </w:p>
        </w:tc>
      </w:tr>
      <w:tr w:rsidR="00C31DC8" w:rsidTr="00C31DC8">
        <w:tc>
          <w:tcPr>
            <w:tcW w:w="2074" w:type="dxa"/>
            <w:tcBorders>
              <w:bottom w:val="single" w:sz="12" w:space="0" w:color="auto"/>
            </w:tcBorders>
            <w:vAlign w:val="center"/>
          </w:tcPr>
          <w:p w:rsidR="00C31DC8" w:rsidRPr="00C31DC8" w:rsidRDefault="00C31DC8" w:rsidP="00C31DC8">
            <w:pPr>
              <w:rPr>
                <w:rFonts w:hint="eastAsia"/>
              </w:rPr>
            </w:pPr>
            <w:r w:rsidRPr="00C31DC8">
              <w:t>SOFA</w:t>
            </w:r>
          </w:p>
        </w:tc>
        <w:tc>
          <w:tcPr>
            <w:tcW w:w="2074" w:type="dxa"/>
            <w:tcBorders>
              <w:bottom w:val="single" w:sz="12" w:space="0" w:color="auto"/>
            </w:tcBorders>
            <w:vAlign w:val="center"/>
          </w:tcPr>
          <w:p w:rsidR="00C31DC8" w:rsidRPr="00C31DC8" w:rsidRDefault="00C31DC8" w:rsidP="00C31DC8">
            <w:pPr>
              <w:rPr>
                <w:rFonts w:hint="eastAsia"/>
              </w:rPr>
            </w:pPr>
            <w:r w:rsidRPr="00C31DC8">
              <w:t>&gt; 15 vs ≤ 15 points</w:t>
            </w:r>
          </w:p>
        </w:tc>
        <w:tc>
          <w:tcPr>
            <w:tcW w:w="2074" w:type="dxa"/>
            <w:tcBorders>
              <w:bottom w:val="single" w:sz="12" w:space="0" w:color="auto"/>
            </w:tcBorders>
            <w:vAlign w:val="center"/>
          </w:tcPr>
          <w:p w:rsidR="00C31DC8" w:rsidRPr="00C31DC8" w:rsidRDefault="00C31DC8" w:rsidP="00C31DC8">
            <w:pPr>
              <w:rPr>
                <w:rFonts w:hint="eastAsia"/>
              </w:rPr>
            </w:pPr>
            <w:r w:rsidRPr="00C31DC8">
              <w:t>0.961 (0.787–1.174)</w:t>
            </w:r>
          </w:p>
        </w:tc>
        <w:tc>
          <w:tcPr>
            <w:tcW w:w="2074" w:type="dxa"/>
            <w:tcBorders>
              <w:bottom w:val="single" w:sz="12" w:space="0" w:color="auto"/>
            </w:tcBorders>
            <w:vAlign w:val="center"/>
          </w:tcPr>
          <w:p w:rsidR="00C31DC8" w:rsidRPr="00C31DC8" w:rsidRDefault="00C31DC8" w:rsidP="00C31DC8">
            <w:pPr>
              <w:rPr>
                <w:rFonts w:hint="eastAsia"/>
              </w:rPr>
            </w:pPr>
            <w:r w:rsidRPr="00C31DC8">
              <w:t>0.698</w:t>
            </w:r>
          </w:p>
        </w:tc>
      </w:tr>
      <w:tr w:rsidR="00C31DC8" w:rsidTr="00C31DC8">
        <w:tc>
          <w:tcPr>
            <w:tcW w:w="8296" w:type="dxa"/>
            <w:gridSpan w:val="4"/>
            <w:vAlign w:val="center"/>
          </w:tcPr>
          <w:p w:rsidR="00C31DC8" w:rsidRPr="00C31DC8" w:rsidRDefault="00C31DC8" w:rsidP="00C31DC8">
            <w:pPr>
              <w:rPr>
                <w:rFonts w:hint="eastAsia"/>
              </w:rPr>
            </w:pPr>
            <w:r w:rsidRPr="00C31DC8">
              <w:rPr>
                <w:rFonts w:hint="eastAsia"/>
              </w:rPr>
              <w:t xml:space="preserve">The interaction hazard ratio is the ratio of the per-doubling hazard ratio in a given stratum to that in the reference stratum (for age, </w:t>
            </w:r>
            <w:r w:rsidRPr="00C31DC8">
              <w:rPr>
                <w:rFonts w:hint="eastAsia"/>
              </w:rPr>
              <w:t>≥</w:t>
            </w:r>
            <w:r w:rsidRPr="00C31DC8">
              <w:rPr>
                <w:rFonts w:hint="eastAsia"/>
              </w:rPr>
              <w:t xml:space="preserve"> 60 relative to &lt; 60 years); no interaction reached P &lt; 0.05. The SOFA strata use the cohort median of 15 points (99 a</w:t>
            </w:r>
            <w:r w:rsidRPr="00C31DC8">
              <w:t xml:space="preserve">nd 56 patients), the same cut-off as in Figure 5 and </w:t>
            </w:r>
            <w:r>
              <w:t>the median reported in Table 1.</w:t>
            </w:r>
          </w:p>
        </w:tc>
      </w:tr>
    </w:tbl>
    <w:p w:rsidR="00C31DC8" w:rsidRDefault="00C31DC8" w:rsidP="00C31DC8">
      <w:pPr>
        <w:rPr>
          <w:b/>
          <w:bCs/>
        </w:rPr>
      </w:pPr>
    </w:p>
    <w:p w:rsidR="00C31DC8" w:rsidRDefault="00C31DC8" w:rsidP="00C31DC8">
      <w:pPr>
        <w:rPr>
          <w:b/>
          <w:bC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C31DC8" w:rsidRPr="00C31DC8" w:rsidTr="00C31DC8">
        <w:tc>
          <w:tcPr>
            <w:tcW w:w="8296" w:type="dxa"/>
            <w:gridSpan w:val="4"/>
            <w:tcBorders>
              <w:bottom w:val="single" w:sz="12" w:space="0" w:color="auto"/>
            </w:tcBorders>
          </w:tcPr>
          <w:p w:rsidR="00C31DC8" w:rsidRPr="00C31DC8" w:rsidRDefault="00C31DC8" w:rsidP="00C31DC8">
            <w:pPr>
              <w:rPr>
                <w:b/>
                <w:bCs/>
              </w:rPr>
            </w:pPr>
            <w:r>
              <w:rPr>
                <w:b/>
                <w:bCs/>
              </w:rPr>
              <w:t>Supplementary Table 4</w:t>
            </w:r>
            <w:bookmarkStart w:id="0" w:name="_GoBack"/>
            <w:bookmarkEnd w:id="0"/>
            <w:r w:rsidRPr="00C31DC8">
              <w:rPr>
                <w:b/>
                <w:bCs/>
              </w:rPr>
              <w:t>. Sensitivity analyses</w:t>
            </w:r>
          </w:p>
        </w:tc>
      </w:tr>
      <w:tr w:rsidR="00C31DC8" w:rsidRPr="00C31DC8" w:rsidTr="00C31DC8">
        <w:tc>
          <w:tcPr>
            <w:tcW w:w="2074" w:type="dxa"/>
            <w:tcBorders>
              <w:top w:val="single" w:sz="12" w:space="0" w:color="auto"/>
              <w:bottom w:val="single" w:sz="12" w:space="0" w:color="auto"/>
            </w:tcBorders>
            <w:vAlign w:val="center"/>
          </w:tcPr>
          <w:p w:rsidR="00C31DC8" w:rsidRPr="00C31DC8" w:rsidRDefault="00C31DC8" w:rsidP="00C31DC8">
            <w:pPr>
              <w:rPr>
                <w:rFonts w:hint="eastAsia"/>
                <w:b/>
                <w:bCs/>
              </w:rPr>
            </w:pPr>
            <w:r w:rsidRPr="00C31DC8">
              <w:rPr>
                <w:b/>
                <w:bCs/>
              </w:rPr>
              <w:t>Sensitivity analysis</w:t>
            </w:r>
          </w:p>
        </w:tc>
        <w:tc>
          <w:tcPr>
            <w:tcW w:w="2074" w:type="dxa"/>
            <w:tcBorders>
              <w:top w:val="single" w:sz="12" w:space="0" w:color="auto"/>
              <w:bottom w:val="single" w:sz="12" w:space="0" w:color="auto"/>
            </w:tcBorders>
            <w:vAlign w:val="center"/>
          </w:tcPr>
          <w:p w:rsidR="00C31DC8" w:rsidRPr="00C31DC8" w:rsidRDefault="00C31DC8" w:rsidP="00C31DC8">
            <w:pPr>
              <w:rPr>
                <w:rFonts w:hint="eastAsia"/>
                <w:b/>
                <w:bCs/>
              </w:rPr>
            </w:pPr>
            <w:r w:rsidRPr="00C31DC8">
              <w:rPr>
                <w:b/>
                <w:bCs/>
              </w:rPr>
              <w:t>n / deaths</w:t>
            </w:r>
          </w:p>
        </w:tc>
        <w:tc>
          <w:tcPr>
            <w:tcW w:w="2074" w:type="dxa"/>
            <w:tcBorders>
              <w:top w:val="single" w:sz="12" w:space="0" w:color="auto"/>
              <w:bottom w:val="single" w:sz="12" w:space="0" w:color="auto"/>
            </w:tcBorders>
            <w:vAlign w:val="center"/>
          </w:tcPr>
          <w:p w:rsidR="00C31DC8" w:rsidRPr="00C31DC8" w:rsidRDefault="00C31DC8" w:rsidP="00C31DC8">
            <w:pPr>
              <w:rPr>
                <w:rFonts w:hint="eastAsia"/>
                <w:b/>
                <w:bCs/>
              </w:rPr>
            </w:pPr>
            <w:r w:rsidRPr="00C31DC8">
              <w:rPr>
                <w:b/>
                <w:bCs/>
              </w:rPr>
              <w:t>HR per doubling (95% CI)</w:t>
            </w:r>
          </w:p>
        </w:tc>
        <w:tc>
          <w:tcPr>
            <w:tcW w:w="2074" w:type="dxa"/>
            <w:tcBorders>
              <w:top w:val="single" w:sz="12" w:space="0" w:color="auto"/>
              <w:bottom w:val="single" w:sz="12" w:space="0" w:color="auto"/>
            </w:tcBorders>
            <w:vAlign w:val="center"/>
          </w:tcPr>
          <w:p w:rsidR="00C31DC8" w:rsidRPr="00C31DC8" w:rsidRDefault="00C31DC8" w:rsidP="00C31DC8">
            <w:pPr>
              <w:rPr>
                <w:rFonts w:hint="eastAsia"/>
                <w:b/>
                <w:bCs/>
              </w:rPr>
            </w:pPr>
            <w:r w:rsidRPr="00C31DC8">
              <w:rPr>
                <w:b/>
                <w:bCs/>
              </w:rPr>
              <w:t>P</w:t>
            </w:r>
          </w:p>
        </w:tc>
      </w:tr>
      <w:tr w:rsidR="00C31DC8" w:rsidRPr="00C31DC8" w:rsidTr="00C31DC8">
        <w:tc>
          <w:tcPr>
            <w:tcW w:w="2074" w:type="dxa"/>
            <w:tcBorders>
              <w:top w:val="single" w:sz="12" w:space="0" w:color="auto"/>
            </w:tcBorders>
            <w:vAlign w:val="center"/>
          </w:tcPr>
          <w:p w:rsidR="00C31DC8" w:rsidRPr="00C31DC8" w:rsidRDefault="00C31DC8" w:rsidP="00C31DC8">
            <w:pPr>
              <w:rPr>
                <w:rFonts w:hint="eastAsia"/>
                <w:bCs/>
              </w:rPr>
            </w:pPr>
            <w:r w:rsidRPr="00C31DC8">
              <w:rPr>
                <w:bCs/>
              </w:rPr>
              <w:t>Main analysis (model M3′)</w:t>
            </w:r>
          </w:p>
        </w:tc>
        <w:tc>
          <w:tcPr>
            <w:tcW w:w="2074" w:type="dxa"/>
            <w:tcBorders>
              <w:top w:val="single" w:sz="12" w:space="0" w:color="auto"/>
            </w:tcBorders>
            <w:vAlign w:val="center"/>
          </w:tcPr>
          <w:p w:rsidR="00C31DC8" w:rsidRPr="00C31DC8" w:rsidRDefault="00C31DC8" w:rsidP="00C31DC8">
            <w:pPr>
              <w:rPr>
                <w:rFonts w:hint="eastAsia"/>
                <w:bCs/>
              </w:rPr>
            </w:pPr>
            <w:r w:rsidRPr="00C31DC8">
              <w:rPr>
                <w:bCs/>
              </w:rPr>
              <w:t>155 / 80</w:t>
            </w:r>
          </w:p>
        </w:tc>
        <w:tc>
          <w:tcPr>
            <w:tcW w:w="2074" w:type="dxa"/>
            <w:tcBorders>
              <w:top w:val="single" w:sz="12" w:space="0" w:color="auto"/>
            </w:tcBorders>
            <w:vAlign w:val="center"/>
          </w:tcPr>
          <w:p w:rsidR="00C31DC8" w:rsidRPr="00C31DC8" w:rsidRDefault="00C31DC8" w:rsidP="00C31DC8">
            <w:pPr>
              <w:rPr>
                <w:rFonts w:hint="eastAsia"/>
                <w:bCs/>
              </w:rPr>
            </w:pPr>
            <w:r w:rsidRPr="00C31DC8">
              <w:rPr>
                <w:bCs/>
              </w:rPr>
              <w:t>1.169 (1.070–1.277)</w:t>
            </w:r>
          </w:p>
        </w:tc>
        <w:tc>
          <w:tcPr>
            <w:tcW w:w="2074" w:type="dxa"/>
            <w:tcBorders>
              <w:top w:val="single" w:sz="12" w:space="0" w:color="auto"/>
            </w:tcBorders>
            <w:vAlign w:val="center"/>
          </w:tcPr>
          <w:p w:rsidR="00C31DC8" w:rsidRPr="00C31DC8" w:rsidRDefault="00C31DC8" w:rsidP="00C31DC8">
            <w:pPr>
              <w:rPr>
                <w:rFonts w:hint="eastAsia"/>
                <w:bCs/>
              </w:rPr>
            </w:pPr>
            <w:r w:rsidRPr="00C31DC8">
              <w:rPr>
                <w:bCs/>
              </w:rPr>
              <w:t>0.0006</w:t>
            </w:r>
          </w:p>
        </w:tc>
      </w:tr>
      <w:tr w:rsidR="00C31DC8" w:rsidRPr="00C31DC8" w:rsidTr="00C31DC8">
        <w:tc>
          <w:tcPr>
            <w:tcW w:w="2074" w:type="dxa"/>
            <w:vAlign w:val="center"/>
          </w:tcPr>
          <w:p w:rsidR="00C31DC8" w:rsidRPr="00C31DC8" w:rsidRDefault="00C31DC8" w:rsidP="00C31DC8">
            <w:pPr>
              <w:rPr>
                <w:rFonts w:hint="eastAsia"/>
                <w:bCs/>
              </w:rPr>
            </w:pPr>
            <w:r w:rsidRPr="00C31DC8">
              <w:rPr>
                <w:bCs/>
              </w:rPr>
              <w:t>5.1 Excluding deaths within 24 h of ICU admission</w:t>
            </w:r>
          </w:p>
        </w:tc>
        <w:tc>
          <w:tcPr>
            <w:tcW w:w="2074" w:type="dxa"/>
            <w:vAlign w:val="center"/>
          </w:tcPr>
          <w:p w:rsidR="00C31DC8" w:rsidRPr="00C31DC8" w:rsidRDefault="00C31DC8" w:rsidP="00C31DC8">
            <w:pPr>
              <w:rPr>
                <w:rFonts w:hint="eastAsia"/>
                <w:bCs/>
              </w:rPr>
            </w:pPr>
            <w:r w:rsidRPr="00C31DC8">
              <w:rPr>
                <w:bCs/>
              </w:rPr>
              <w:t>145 / 70</w:t>
            </w:r>
          </w:p>
        </w:tc>
        <w:tc>
          <w:tcPr>
            <w:tcW w:w="2074" w:type="dxa"/>
            <w:vAlign w:val="center"/>
          </w:tcPr>
          <w:p w:rsidR="00C31DC8" w:rsidRPr="00C31DC8" w:rsidRDefault="00C31DC8" w:rsidP="00C31DC8">
            <w:pPr>
              <w:rPr>
                <w:rFonts w:hint="eastAsia"/>
                <w:bCs/>
              </w:rPr>
            </w:pPr>
            <w:r w:rsidRPr="00C31DC8">
              <w:rPr>
                <w:bCs/>
              </w:rPr>
              <w:t>1.170 (1.064–1.286)</w:t>
            </w:r>
          </w:p>
        </w:tc>
        <w:tc>
          <w:tcPr>
            <w:tcW w:w="2074" w:type="dxa"/>
            <w:vAlign w:val="center"/>
          </w:tcPr>
          <w:p w:rsidR="00C31DC8" w:rsidRPr="00C31DC8" w:rsidRDefault="00C31DC8" w:rsidP="00C31DC8">
            <w:pPr>
              <w:rPr>
                <w:rFonts w:hint="eastAsia"/>
                <w:bCs/>
              </w:rPr>
            </w:pPr>
            <w:r w:rsidRPr="00C31DC8">
              <w:rPr>
                <w:bCs/>
              </w:rPr>
              <w:t>0.0011</w:t>
            </w:r>
          </w:p>
        </w:tc>
      </w:tr>
      <w:tr w:rsidR="00C31DC8" w:rsidRPr="00C31DC8" w:rsidTr="00C31DC8">
        <w:tc>
          <w:tcPr>
            <w:tcW w:w="2074" w:type="dxa"/>
            <w:vAlign w:val="center"/>
          </w:tcPr>
          <w:p w:rsidR="00C31DC8" w:rsidRPr="00C31DC8" w:rsidRDefault="00C31DC8" w:rsidP="00C31DC8">
            <w:pPr>
              <w:rPr>
                <w:rFonts w:hint="eastAsia"/>
                <w:bCs/>
              </w:rPr>
            </w:pPr>
            <w:r w:rsidRPr="00C31DC8">
              <w:rPr>
                <w:bCs/>
              </w:rPr>
              <w:t>5.2 Excluding VA + VV conversion</w:t>
            </w:r>
          </w:p>
        </w:tc>
        <w:tc>
          <w:tcPr>
            <w:tcW w:w="2074" w:type="dxa"/>
            <w:vAlign w:val="center"/>
          </w:tcPr>
          <w:p w:rsidR="00C31DC8" w:rsidRPr="00C31DC8" w:rsidRDefault="00C31DC8" w:rsidP="00C31DC8">
            <w:pPr>
              <w:rPr>
                <w:rFonts w:hint="eastAsia"/>
                <w:bCs/>
              </w:rPr>
            </w:pPr>
            <w:r w:rsidRPr="00C31DC8">
              <w:rPr>
                <w:bCs/>
              </w:rPr>
              <w:t>152 / 78</w:t>
            </w:r>
          </w:p>
        </w:tc>
        <w:tc>
          <w:tcPr>
            <w:tcW w:w="2074" w:type="dxa"/>
            <w:vAlign w:val="center"/>
          </w:tcPr>
          <w:p w:rsidR="00C31DC8" w:rsidRPr="00C31DC8" w:rsidRDefault="00C31DC8" w:rsidP="00C31DC8">
            <w:pPr>
              <w:rPr>
                <w:rFonts w:hint="eastAsia"/>
                <w:bCs/>
              </w:rPr>
            </w:pPr>
            <w:r w:rsidRPr="00C31DC8">
              <w:rPr>
                <w:bCs/>
              </w:rPr>
              <w:t>1.165 (1.065–1.274)</w:t>
            </w:r>
          </w:p>
        </w:tc>
        <w:tc>
          <w:tcPr>
            <w:tcW w:w="2074" w:type="dxa"/>
            <w:vAlign w:val="center"/>
          </w:tcPr>
          <w:p w:rsidR="00C31DC8" w:rsidRPr="00C31DC8" w:rsidRDefault="00C31DC8" w:rsidP="00C31DC8">
            <w:pPr>
              <w:rPr>
                <w:rFonts w:hint="eastAsia"/>
                <w:bCs/>
              </w:rPr>
            </w:pPr>
            <w:r w:rsidRPr="00C31DC8">
              <w:rPr>
                <w:bCs/>
              </w:rPr>
              <w:t>0.0008</w:t>
            </w:r>
          </w:p>
        </w:tc>
      </w:tr>
      <w:tr w:rsidR="00C31DC8" w:rsidRPr="00C31DC8" w:rsidTr="00C31DC8">
        <w:tc>
          <w:tcPr>
            <w:tcW w:w="2074" w:type="dxa"/>
            <w:vAlign w:val="center"/>
          </w:tcPr>
          <w:p w:rsidR="00C31DC8" w:rsidRPr="00C31DC8" w:rsidRDefault="00C31DC8" w:rsidP="00C31DC8">
            <w:pPr>
              <w:rPr>
                <w:rFonts w:hint="eastAsia"/>
                <w:bCs/>
              </w:rPr>
            </w:pPr>
            <w:r w:rsidRPr="00C31DC8">
              <w:rPr>
                <w:bCs/>
              </w:rPr>
              <w:t>5.3 ECMO mode clearly defined (VA/VV/Central)</w:t>
            </w:r>
          </w:p>
        </w:tc>
        <w:tc>
          <w:tcPr>
            <w:tcW w:w="2074" w:type="dxa"/>
            <w:vAlign w:val="center"/>
          </w:tcPr>
          <w:p w:rsidR="00C31DC8" w:rsidRPr="00C31DC8" w:rsidRDefault="00C31DC8" w:rsidP="00C31DC8">
            <w:pPr>
              <w:rPr>
                <w:rFonts w:hint="eastAsia"/>
                <w:bCs/>
              </w:rPr>
            </w:pPr>
            <w:r w:rsidRPr="00C31DC8">
              <w:rPr>
                <w:bCs/>
              </w:rPr>
              <w:t>74 / 37</w:t>
            </w:r>
          </w:p>
        </w:tc>
        <w:tc>
          <w:tcPr>
            <w:tcW w:w="2074" w:type="dxa"/>
            <w:vAlign w:val="center"/>
          </w:tcPr>
          <w:p w:rsidR="00C31DC8" w:rsidRPr="00C31DC8" w:rsidRDefault="00C31DC8" w:rsidP="00C31DC8">
            <w:pPr>
              <w:rPr>
                <w:rFonts w:hint="eastAsia"/>
                <w:bCs/>
              </w:rPr>
            </w:pPr>
            <w:r w:rsidRPr="00C31DC8">
              <w:rPr>
                <w:bCs/>
              </w:rPr>
              <w:t>1.163 (0.974–1.389)</w:t>
            </w:r>
          </w:p>
        </w:tc>
        <w:tc>
          <w:tcPr>
            <w:tcW w:w="2074" w:type="dxa"/>
            <w:vAlign w:val="center"/>
          </w:tcPr>
          <w:p w:rsidR="00C31DC8" w:rsidRPr="00C31DC8" w:rsidRDefault="00C31DC8" w:rsidP="00C31DC8">
            <w:pPr>
              <w:rPr>
                <w:rFonts w:hint="eastAsia"/>
                <w:bCs/>
              </w:rPr>
            </w:pPr>
            <w:r w:rsidRPr="00C31DC8">
              <w:rPr>
                <w:bCs/>
              </w:rPr>
              <w:t>0.094</w:t>
            </w:r>
          </w:p>
        </w:tc>
      </w:tr>
      <w:tr w:rsidR="00C31DC8" w:rsidRPr="00C31DC8" w:rsidTr="00C31DC8">
        <w:tc>
          <w:tcPr>
            <w:tcW w:w="2074" w:type="dxa"/>
            <w:vAlign w:val="center"/>
          </w:tcPr>
          <w:p w:rsidR="00C31DC8" w:rsidRPr="00C31DC8" w:rsidRDefault="00C31DC8" w:rsidP="00C31DC8">
            <w:pPr>
              <w:rPr>
                <w:rFonts w:hint="eastAsia"/>
                <w:bCs/>
              </w:rPr>
            </w:pPr>
            <w:r w:rsidRPr="00C31DC8">
              <w:rPr>
                <w:bCs/>
              </w:rPr>
              <w:t>5.4 VA mode only</w:t>
            </w:r>
          </w:p>
        </w:tc>
        <w:tc>
          <w:tcPr>
            <w:tcW w:w="2074" w:type="dxa"/>
            <w:vAlign w:val="center"/>
          </w:tcPr>
          <w:p w:rsidR="00C31DC8" w:rsidRPr="00C31DC8" w:rsidRDefault="00C31DC8" w:rsidP="00C31DC8">
            <w:pPr>
              <w:rPr>
                <w:rFonts w:hint="eastAsia"/>
                <w:bCs/>
              </w:rPr>
            </w:pPr>
            <w:r w:rsidRPr="00C31DC8">
              <w:rPr>
                <w:bCs/>
              </w:rPr>
              <w:t>45 / 24</w:t>
            </w:r>
          </w:p>
        </w:tc>
        <w:tc>
          <w:tcPr>
            <w:tcW w:w="2074" w:type="dxa"/>
            <w:vAlign w:val="center"/>
          </w:tcPr>
          <w:p w:rsidR="00C31DC8" w:rsidRPr="00C31DC8" w:rsidRDefault="00C31DC8" w:rsidP="00C31DC8">
            <w:pPr>
              <w:rPr>
                <w:rFonts w:hint="eastAsia"/>
                <w:bCs/>
              </w:rPr>
            </w:pPr>
            <w:r w:rsidRPr="00C31DC8">
              <w:rPr>
                <w:bCs/>
              </w:rPr>
              <w:t>1.201 (0.970–1.487)</w:t>
            </w:r>
          </w:p>
        </w:tc>
        <w:tc>
          <w:tcPr>
            <w:tcW w:w="2074" w:type="dxa"/>
            <w:vAlign w:val="center"/>
          </w:tcPr>
          <w:p w:rsidR="00C31DC8" w:rsidRPr="00C31DC8" w:rsidRDefault="00C31DC8" w:rsidP="00C31DC8">
            <w:pPr>
              <w:rPr>
                <w:rFonts w:hint="eastAsia"/>
                <w:bCs/>
              </w:rPr>
            </w:pPr>
            <w:r w:rsidRPr="00C31DC8">
              <w:rPr>
                <w:bCs/>
              </w:rPr>
              <w:t>0.093</w:t>
            </w:r>
          </w:p>
        </w:tc>
      </w:tr>
      <w:tr w:rsidR="00C31DC8" w:rsidRPr="00C31DC8" w:rsidTr="00C31DC8">
        <w:tc>
          <w:tcPr>
            <w:tcW w:w="2074" w:type="dxa"/>
            <w:vAlign w:val="center"/>
          </w:tcPr>
          <w:p w:rsidR="00C31DC8" w:rsidRPr="00C31DC8" w:rsidRDefault="00C31DC8" w:rsidP="00C31DC8">
            <w:pPr>
              <w:rPr>
                <w:rFonts w:hint="eastAsia"/>
                <w:bCs/>
              </w:rPr>
            </w:pPr>
            <w:r w:rsidRPr="00C31DC8">
              <w:rPr>
                <w:bCs/>
              </w:rPr>
              <w:t>5.5 PH sensitivity: stratified by ECMO mode, Charlson time-varying</w:t>
            </w:r>
          </w:p>
        </w:tc>
        <w:tc>
          <w:tcPr>
            <w:tcW w:w="2074" w:type="dxa"/>
            <w:vAlign w:val="center"/>
          </w:tcPr>
          <w:p w:rsidR="00C31DC8" w:rsidRPr="00C31DC8" w:rsidRDefault="00C31DC8" w:rsidP="00C31DC8">
            <w:pPr>
              <w:rPr>
                <w:rFonts w:hint="eastAsia"/>
                <w:bCs/>
              </w:rPr>
            </w:pPr>
            <w:r w:rsidRPr="00C31DC8">
              <w:rPr>
                <w:bCs/>
              </w:rPr>
              <w:t>155 / 80</w:t>
            </w:r>
          </w:p>
        </w:tc>
        <w:tc>
          <w:tcPr>
            <w:tcW w:w="2074" w:type="dxa"/>
            <w:vAlign w:val="center"/>
          </w:tcPr>
          <w:p w:rsidR="00C31DC8" w:rsidRPr="00C31DC8" w:rsidRDefault="00C31DC8" w:rsidP="00C31DC8">
            <w:pPr>
              <w:rPr>
                <w:rFonts w:hint="eastAsia"/>
                <w:bCs/>
              </w:rPr>
            </w:pPr>
            <w:r w:rsidRPr="00C31DC8">
              <w:rPr>
                <w:bCs/>
              </w:rPr>
              <w:t>1.171 (1.070–1.281)</w:t>
            </w:r>
          </w:p>
        </w:tc>
        <w:tc>
          <w:tcPr>
            <w:tcW w:w="2074" w:type="dxa"/>
            <w:vAlign w:val="center"/>
          </w:tcPr>
          <w:p w:rsidR="00C31DC8" w:rsidRPr="00C31DC8" w:rsidRDefault="00C31DC8" w:rsidP="00C31DC8">
            <w:pPr>
              <w:rPr>
                <w:rFonts w:hint="eastAsia"/>
                <w:bCs/>
              </w:rPr>
            </w:pPr>
            <w:r w:rsidRPr="00C31DC8">
              <w:rPr>
                <w:bCs/>
              </w:rPr>
              <w:t>0.0006</w:t>
            </w:r>
          </w:p>
        </w:tc>
      </w:tr>
      <w:tr w:rsidR="00C31DC8" w:rsidRPr="00C31DC8" w:rsidTr="00C31DC8">
        <w:tc>
          <w:tcPr>
            <w:tcW w:w="2074" w:type="dxa"/>
            <w:vAlign w:val="center"/>
          </w:tcPr>
          <w:p w:rsidR="00C31DC8" w:rsidRPr="00C31DC8" w:rsidRDefault="00C31DC8" w:rsidP="00C31DC8">
            <w:pPr>
              <w:rPr>
                <w:rFonts w:hint="eastAsia"/>
                <w:bCs/>
              </w:rPr>
            </w:pPr>
            <w:r w:rsidRPr="00C31DC8">
              <w:rPr>
                <w:bCs/>
              </w:rPr>
              <w:lastRenderedPageBreak/>
              <w:t>6a Alternative exposure: 48-h window, worst value</w:t>
            </w:r>
          </w:p>
        </w:tc>
        <w:tc>
          <w:tcPr>
            <w:tcW w:w="2074" w:type="dxa"/>
            <w:vAlign w:val="center"/>
          </w:tcPr>
          <w:p w:rsidR="00C31DC8" w:rsidRPr="00C31DC8" w:rsidRDefault="00C31DC8" w:rsidP="00C31DC8">
            <w:pPr>
              <w:rPr>
                <w:rFonts w:hint="eastAsia"/>
                <w:bCs/>
              </w:rPr>
            </w:pPr>
            <w:r w:rsidRPr="00C31DC8">
              <w:rPr>
                <w:bCs/>
              </w:rPr>
              <w:t>155 / 80</w:t>
            </w:r>
          </w:p>
        </w:tc>
        <w:tc>
          <w:tcPr>
            <w:tcW w:w="2074" w:type="dxa"/>
            <w:vAlign w:val="center"/>
          </w:tcPr>
          <w:p w:rsidR="00C31DC8" w:rsidRPr="00C31DC8" w:rsidRDefault="00C31DC8" w:rsidP="00C31DC8">
            <w:pPr>
              <w:rPr>
                <w:rFonts w:hint="eastAsia"/>
                <w:bCs/>
              </w:rPr>
            </w:pPr>
            <w:r w:rsidRPr="00C31DC8">
              <w:rPr>
                <w:bCs/>
              </w:rPr>
              <w:t>1.174 (1.073–1.283)</w:t>
            </w:r>
          </w:p>
        </w:tc>
        <w:tc>
          <w:tcPr>
            <w:tcW w:w="2074" w:type="dxa"/>
            <w:vAlign w:val="center"/>
          </w:tcPr>
          <w:p w:rsidR="00C31DC8" w:rsidRPr="00C31DC8" w:rsidRDefault="00C31DC8" w:rsidP="00C31DC8">
            <w:pPr>
              <w:rPr>
                <w:rFonts w:hint="eastAsia"/>
                <w:bCs/>
              </w:rPr>
            </w:pPr>
            <w:r w:rsidRPr="00C31DC8">
              <w:rPr>
                <w:bCs/>
              </w:rPr>
              <w:t>0.0005</w:t>
            </w:r>
          </w:p>
        </w:tc>
      </w:tr>
      <w:tr w:rsidR="00C31DC8" w:rsidRPr="00C31DC8" w:rsidTr="00C31DC8">
        <w:tc>
          <w:tcPr>
            <w:tcW w:w="2074" w:type="dxa"/>
            <w:vAlign w:val="center"/>
          </w:tcPr>
          <w:p w:rsidR="00C31DC8" w:rsidRPr="00C31DC8" w:rsidRDefault="00C31DC8" w:rsidP="00C31DC8">
            <w:pPr>
              <w:rPr>
                <w:rFonts w:hint="eastAsia"/>
                <w:bCs/>
              </w:rPr>
            </w:pPr>
            <w:r w:rsidRPr="00C31DC8">
              <w:rPr>
                <w:bCs/>
              </w:rPr>
              <w:t>6b Alternative exposure: first value</w:t>
            </w:r>
          </w:p>
        </w:tc>
        <w:tc>
          <w:tcPr>
            <w:tcW w:w="2074" w:type="dxa"/>
            <w:vAlign w:val="center"/>
          </w:tcPr>
          <w:p w:rsidR="00C31DC8" w:rsidRPr="00C31DC8" w:rsidRDefault="00C31DC8" w:rsidP="00C31DC8">
            <w:pPr>
              <w:rPr>
                <w:rFonts w:hint="eastAsia"/>
                <w:bCs/>
              </w:rPr>
            </w:pPr>
            <w:r w:rsidRPr="00C31DC8">
              <w:rPr>
                <w:bCs/>
              </w:rPr>
              <w:t>152 / 79</w:t>
            </w:r>
          </w:p>
        </w:tc>
        <w:tc>
          <w:tcPr>
            <w:tcW w:w="2074" w:type="dxa"/>
            <w:vAlign w:val="center"/>
          </w:tcPr>
          <w:p w:rsidR="00C31DC8" w:rsidRPr="00C31DC8" w:rsidRDefault="00C31DC8" w:rsidP="00C31DC8">
            <w:pPr>
              <w:rPr>
                <w:rFonts w:hint="eastAsia"/>
                <w:bCs/>
              </w:rPr>
            </w:pPr>
            <w:r w:rsidRPr="00C31DC8">
              <w:rPr>
                <w:bCs/>
              </w:rPr>
              <w:t>1.112 (1.010–1.225)</w:t>
            </w:r>
          </w:p>
        </w:tc>
        <w:tc>
          <w:tcPr>
            <w:tcW w:w="2074" w:type="dxa"/>
            <w:vAlign w:val="center"/>
          </w:tcPr>
          <w:p w:rsidR="00C31DC8" w:rsidRPr="00C31DC8" w:rsidRDefault="00C31DC8" w:rsidP="00C31DC8">
            <w:pPr>
              <w:rPr>
                <w:rFonts w:hint="eastAsia"/>
                <w:bCs/>
              </w:rPr>
            </w:pPr>
            <w:r w:rsidRPr="00C31DC8">
              <w:rPr>
                <w:bCs/>
              </w:rPr>
              <w:t>0.031</w:t>
            </w:r>
          </w:p>
        </w:tc>
      </w:tr>
      <w:tr w:rsidR="00C31DC8" w:rsidRPr="00C31DC8" w:rsidTr="00C31DC8">
        <w:tc>
          <w:tcPr>
            <w:tcW w:w="2074" w:type="dxa"/>
            <w:tcBorders>
              <w:bottom w:val="single" w:sz="12" w:space="0" w:color="auto"/>
            </w:tcBorders>
            <w:vAlign w:val="center"/>
          </w:tcPr>
          <w:p w:rsidR="00C31DC8" w:rsidRPr="00C31DC8" w:rsidRDefault="00C31DC8" w:rsidP="00C31DC8">
            <w:pPr>
              <w:rPr>
                <w:rFonts w:hint="eastAsia"/>
                <w:bCs/>
              </w:rPr>
            </w:pPr>
            <w:r w:rsidRPr="00C31DC8">
              <w:rPr>
                <w:bCs/>
              </w:rPr>
              <w:t>6c Alternative exposure: simultaneous timing</w:t>
            </w:r>
          </w:p>
        </w:tc>
        <w:tc>
          <w:tcPr>
            <w:tcW w:w="2074" w:type="dxa"/>
            <w:tcBorders>
              <w:bottom w:val="single" w:sz="12" w:space="0" w:color="auto"/>
            </w:tcBorders>
            <w:vAlign w:val="center"/>
          </w:tcPr>
          <w:p w:rsidR="00C31DC8" w:rsidRPr="00C31DC8" w:rsidRDefault="00C31DC8" w:rsidP="00C31DC8">
            <w:pPr>
              <w:rPr>
                <w:rFonts w:hint="eastAsia"/>
                <w:bCs/>
              </w:rPr>
            </w:pPr>
            <w:r w:rsidRPr="00C31DC8">
              <w:rPr>
                <w:bCs/>
              </w:rPr>
              <w:t>148 / 77</w:t>
            </w:r>
          </w:p>
        </w:tc>
        <w:tc>
          <w:tcPr>
            <w:tcW w:w="2074" w:type="dxa"/>
            <w:tcBorders>
              <w:bottom w:val="single" w:sz="12" w:space="0" w:color="auto"/>
            </w:tcBorders>
            <w:vAlign w:val="center"/>
          </w:tcPr>
          <w:p w:rsidR="00C31DC8" w:rsidRPr="00C31DC8" w:rsidRDefault="00C31DC8" w:rsidP="00C31DC8">
            <w:pPr>
              <w:rPr>
                <w:rFonts w:hint="eastAsia"/>
                <w:bCs/>
              </w:rPr>
            </w:pPr>
            <w:r w:rsidRPr="00C31DC8">
              <w:rPr>
                <w:bCs/>
              </w:rPr>
              <w:t>1.111 (1.008–1.225)</w:t>
            </w:r>
          </w:p>
        </w:tc>
        <w:tc>
          <w:tcPr>
            <w:tcW w:w="2074" w:type="dxa"/>
            <w:tcBorders>
              <w:bottom w:val="single" w:sz="12" w:space="0" w:color="auto"/>
            </w:tcBorders>
            <w:vAlign w:val="center"/>
          </w:tcPr>
          <w:p w:rsidR="00C31DC8" w:rsidRPr="00C31DC8" w:rsidRDefault="00C31DC8" w:rsidP="00C31DC8">
            <w:pPr>
              <w:rPr>
                <w:rFonts w:hint="eastAsia"/>
                <w:bCs/>
              </w:rPr>
            </w:pPr>
            <w:r w:rsidRPr="00C31DC8">
              <w:rPr>
                <w:bCs/>
              </w:rPr>
              <w:t>0.034</w:t>
            </w:r>
          </w:p>
        </w:tc>
      </w:tr>
      <w:tr w:rsidR="00C31DC8" w:rsidRPr="00C31DC8" w:rsidTr="00C31DC8">
        <w:tc>
          <w:tcPr>
            <w:tcW w:w="8296" w:type="dxa"/>
            <w:gridSpan w:val="4"/>
          </w:tcPr>
          <w:p w:rsidR="00C31DC8" w:rsidRPr="00C31DC8" w:rsidRDefault="00C31DC8" w:rsidP="00C31DC8">
            <w:pPr>
              <w:rPr>
                <w:bCs/>
              </w:rPr>
            </w:pPr>
            <w:r w:rsidRPr="00C31DC8">
              <w:rPr>
                <w:rFonts w:hint="eastAsia"/>
                <w:bCs/>
              </w:rPr>
              <w:t>Every row uses the same eight-parameter model M3</w:t>
            </w:r>
            <w:r w:rsidRPr="00C31DC8">
              <w:rPr>
                <w:rFonts w:hint="eastAsia"/>
                <w:bCs/>
              </w:rPr>
              <w:t>′</w:t>
            </w:r>
            <w:r w:rsidRPr="00C31DC8">
              <w:rPr>
                <w:rFonts w:hint="eastAsia"/>
                <w:bCs/>
              </w:rPr>
              <w:t>; only the analysis sample or the exposure definition changes. Rows 6a</w:t>
            </w:r>
            <w:r w:rsidRPr="00C31DC8">
              <w:rPr>
                <w:rFonts w:hint="eastAsia"/>
                <w:bCs/>
              </w:rPr>
              <w:t>–</w:t>
            </w:r>
            <w:r w:rsidRPr="00C31DC8">
              <w:rPr>
                <w:rFonts w:hint="eastAsia"/>
                <w:bCs/>
              </w:rPr>
              <w:t xml:space="preserve">6c re-derive EASIX in the same patients under a different sampling rule (48-h window, first measured value, or values drawn at a single </w:t>
            </w:r>
            <w:r w:rsidRPr="00C31DC8">
              <w:rPr>
                <w:bCs/>
              </w:rPr>
              <w:t>matched time point). The first-value and simultaneous-timing definitions could be constructed in 152 and 148 patients respectively, so those two models are fitted on those patients only and no exposure value was imputed. Because neither rule depends on window length, their 48-h and 24-h versions are numerically identical by construction, and only the 24-h version is shown. In 5.3, “ECMO mode clearly defined” comprises VA (45), VV (25) and Central (4), that is 74 patients, and excludes the 4 unclassified and 74 unknown cases. 5.4 (VA only, 45 patients) is a subset of 5.3, so the two are not interchangeable.</w:t>
            </w:r>
          </w:p>
        </w:tc>
      </w:tr>
    </w:tbl>
    <w:p w:rsidR="00C31DC8" w:rsidRDefault="00C31DC8" w:rsidP="00C31DC8">
      <w:pPr>
        <w:rPr>
          <w:b/>
          <w:bCs/>
        </w:rPr>
      </w:pPr>
    </w:p>
    <w:p w:rsidR="00C31DC8" w:rsidRDefault="00C31DC8" w:rsidP="00C31DC8">
      <w:pPr>
        <w:rPr>
          <w:b/>
          <w:bCs/>
        </w:rPr>
      </w:pPr>
    </w:p>
    <w:p w:rsidR="00C31DC8" w:rsidRDefault="00C31DC8" w:rsidP="00C31DC8">
      <w:pPr>
        <w:rPr>
          <w:b/>
          <w:bCs/>
        </w:rPr>
      </w:pPr>
    </w:p>
    <w:p w:rsidR="00C31DC8" w:rsidRDefault="00C31DC8" w:rsidP="00C31DC8">
      <w:pPr>
        <w:rPr>
          <w:rFonts w:hint="eastAsia"/>
          <w:b/>
          <w:bCs/>
        </w:rPr>
      </w:pPr>
    </w:p>
    <w:sectPr w:rsidR="00C31D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E3E" w:rsidRDefault="00870E3E" w:rsidP="00C31DC8">
      <w:r>
        <w:separator/>
      </w:r>
    </w:p>
  </w:endnote>
  <w:endnote w:type="continuationSeparator" w:id="0">
    <w:p w:rsidR="00870E3E" w:rsidRDefault="00870E3E" w:rsidP="00C31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E3E" w:rsidRDefault="00870E3E" w:rsidP="00C31DC8">
      <w:r>
        <w:separator/>
      </w:r>
    </w:p>
  </w:footnote>
  <w:footnote w:type="continuationSeparator" w:id="0">
    <w:p w:rsidR="00870E3E" w:rsidRDefault="00870E3E" w:rsidP="00C31D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1E0"/>
    <w:rsid w:val="000669F4"/>
    <w:rsid w:val="006E41E0"/>
    <w:rsid w:val="00870E3E"/>
    <w:rsid w:val="00C31DC8"/>
    <w:rsid w:val="00CC7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01BD68-8389-4363-BAAD-7EB95762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1D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31DC8"/>
    <w:rPr>
      <w:sz w:val="18"/>
      <w:szCs w:val="18"/>
    </w:rPr>
  </w:style>
  <w:style w:type="paragraph" w:styleId="a4">
    <w:name w:val="footer"/>
    <w:basedOn w:val="a"/>
    <w:link w:val="Char0"/>
    <w:uiPriority w:val="99"/>
    <w:unhideWhenUsed/>
    <w:rsid w:val="00C31DC8"/>
    <w:pPr>
      <w:tabs>
        <w:tab w:val="center" w:pos="4153"/>
        <w:tab w:val="right" w:pos="8306"/>
      </w:tabs>
      <w:snapToGrid w:val="0"/>
      <w:jc w:val="left"/>
    </w:pPr>
    <w:rPr>
      <w:sz w:val="18"/>
      <w:szCs w:val="18"/>
    </w:rPr>
  </w:style>
  <w:style w:type="character" w:customStyle="1" w:styleId="Char0">
    <w:name w:val="页脚 Char"/>
    <w:basedOn w:val="a0"/>
    <w:link w:val="a4"/>
    <w:uiPriority w:val="99"/>
    <w:rsid w:val="00C31DC8"/>
    <w:rPr>
      <w:sz w:val="18"/>
      <w:szCs w:val="18"/>
    </w:rPr>
  </w:style>
  <w:style w:type="table" w:styleId="a5">
    <w:name w:val="Table Grid"/>
    <w:basedOn w:val="a1"/>
    <w:uiPriority w:val="39"/>
    <w:rsid w:val="00C31D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62883">
      <w:bodyDiv w:val="1"/>
      <w:marLeft w:val="0"/>
      <w:marRight w:val="0"/>
      <w:marTop w:val="0"/>
      <w:marBottom w:val="0"/>
      <w:divBdr>
        <w:top w:val="none" w:sz="0" w:space="0" w:color="auto"/>
        <w:left w:val="none" w:sz="0" w:space="0" w:color="auto"/>
        <w:bottom w:val="none" w:sz="0" w:space="0" w:color="auto"/>
        <w:right w:val="none" w:sz="0" w:space="0" w:color="auto"/>
      </w:divBdr>
      <w:divsChild>
        <w:div w:id="1995912716">
          <w:marLeft w:val="0"/>
          <w:marRight w:val="0"/>
          <w:marTop w:val="0"/>
          <w:marBottom w:val="0"/>
          <w:divBdr>
            <w:top w:val="none" w:sz="0" w:space="0" w:color="auto"/>
            <w:left w:val="none" w:sz="0" w:space="0" w:color="auto"/>
            <w:bottom w:val="none" w:sz="0" w:space="0" w:color="auto"/>
            <w:right w:val="none" w:sz="0" w:space="0" w:color="auto"/>
          </w:divBdr>
          <w:divsChild>
            <w:div w:id="180407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13854">
      <w:bodyDiv w:val="1"/>
      <w:marLeft w:val="0"/>
      <w:marRight w:val="0"/>
      <w:marTop w:val="0"/>
      <w:marBottom w:val="0"/>
      <w:divBdr>
        <w:top w:val="none" w:sz="0" w:space="0" w:color="auto"/>
        <w:left w:val="none" w:sz="0" w:space="0" w:color="auto"/>
        <w:bottom w:val="none" w:sz="0" w:space="0" w:color="auto"/>
        <w:right w:val="none" w:sz="0" w:space="0" w:color="auto"/>
      </w:divBdr>
      <w:divsChild>
        <w:div w:id="645860854">
          <w:marLeft w:val="0"/>
          <w:marRight w:val="0"/>
          <w:marTop w:val="0"/>
          <w:marBottom w:val="0"/>
          <w:divBdr>
            <w:top w:val="none" w:sz="0" w:space="0" w:color="auto"/>
            <w:left w:val="none" w:sz="0" w:space="0" w:color="auto"/>
            <w:bottom w:val="none" w:sz="0" w:space="0" w:color="auto"/>
            <w:right w:val="none" w:sz="0" w:space="0" w:color="auto"/>
          </w:divBdr>
          <w:divsChild>
            <w:div w:id="13560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59461">
      <w:bodyDiv w:val="1"/>
      <w:marLeft w:val="0"/>
      <w:marRight w:val="0"/>
      <w:marTop w:val="0"/>
      <w:marBottom w:val="0"/>
      <w:divBdr>
        <w:top w:val="none" w:sz="0" w:space="0" w:color="auto"/>
        <w:left w:val="none" w:sz="0" w:space="0" w:color="auto"/>
        <w:bottom w:val="none" w:sz="0" w:space="0" w:color="auto"/>
        <w:right w:val="none" w:sz="0" w:space="0" w:color="auto"/>
      </w:divBdr>
      <w:divsChild>
        <w:div w:id="689457790">
          <w:marLeft w:val="0"/>
          <w:marRight w:val="0"/>
          <w:marTop w:val="0"/>
          <w:marBottom w:val="0"/>
          <w:divBdr>
            <w:top w:val="none" w:sz="0" w:space="0" w:color="auto"/>
            <w:left w:val="none" w:sz="0" w:space="0" w:color="auto"/>
            <w:bottom w:val="none" w:sz="0" w:space="0" w:color="auto"/>
            <w:right w:val="none" w:sz="0" w:space="0" w:color="auto"/>
          </w:divBdr>
          <w:divsChild>
            <w:div w:id="637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31666">
      <w:bodyDiv w:val="1"/>
      <w:marLeft w:val="0"/>
      <w:marRight w:val="0"/>
      <w:marTop w:val="0"/>
      <w:marBottom w:val="0"/>
      <w:divBdr>
        <w:top w:val="none" w:sz="0" w:space="0" w:color="auto"/>
        <w:left w:val="none" w:sz="0" w:space="0" w:color="auto"/>
        <w:bottom w:val="none" w:sz="0" w:space="0" w:color="auto"/>
        <w:right w:val="none" w:sz="0" w:space="0" w:color="auto"/>
      </w:divBdr>
      <w:divsChild>
        <w:div w:id="310333181">
          <w:marLeft w:val="0"/>
          <w:marRight w:val="0"/>
          <w:marTop w:val="0"/>
          <w:marBottom w:val="0"/>
          <w:divBdr>
            <w:top w:val="none" w:sz="0" w:space="0" w:color="auto"/>
            <w:left w:val="none" w:sz="0" w:space="0" w:color="auto"/>
            <w:bottom w:val="none" w:sz="0" w:space="0" w:color="auto"/>
            <w:right w:val="none" w:sz="0" w:space="0" w:color="auto"/>
          </w:divBdr>
          <w:divsChild>
            <w:div w:id="129066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LQL</dc:creator>
  <cp:keywords/>
  <dc:description/>
  <cp:lastModifiedBy>LQL</cp:lastModifiedBy>
  <cp:revision>2</cp:revision>
  <dcterms:created xsi:type="dcterms:W3CDTF">2026-10-31T02:59:00Z</dcterms:created>
  <dcterms:modified xsi:type="dcterms:W3CDTF">2026-10-31T03:13:00Z</dcterms:modified>
</cp:coreProperties>
</file>