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A8AE" w14:textId="77777777" w:rsidR="00415049" w:rsidRDefault="00415049" w:rsidP="00415049">
      <w:pPr>
        <w:pStyle w:val="Acknowledgements"/>
        <w:spacing w:line="480" w:lineRule="auto"/>
        <w:rPr>
          <w:i/>
        </w:rPr>
      </w:pPr>
      <w:r w:rsidRPr="008755BA">
        <w:rPr>
          <w:b/>
        </w:rPr>
        <w:t>Supporting Information</w:t>
      </w:r>
      <w:r>
        <w:rPr>
          <w:rFonts w:hint="eastAsia"/>
          <w:i/>
        </w:rPr>
        <w:t xml:space="preserve"> </w:t>
      </w:r>
    </w:p>
    <w:p w14:paraId="76B7F5DF" w14:textId="77777777" w:rsidR="00415049" w:rsidRPr="0062717E" w:rsidRDefault="00415049" w:rsidP="00415049">
      <w:pPr>
        <w:pStyle w:val="Acknowledgements"/>
        <w:spacing w:line="480" w:lineRule="auto"/>
        <w:rPr>
          <w:i/>
        </w:rPr>
      </w:pPr>
      <w:r w:rsidRPr="008755BA">
        <w:t>Supporting Information is available from the Wiley Online Library or from the author.</w:t>
      </w:r>
    </w:p>
    <w:p w14:paraId="0A6063FA" w14:textId="77777777" w:rsidR="00415049" w:rsidRDefault="00415049" w:rsidP="00415049">
      <w:pPr>
        <w:spacing w:line="480" w:lineRule="auto"/>
        <w:rPr>
          <w:b/>
          <w:bCs/>
        </w:rPr>
      </w:pPr>
    </w:p>
    <w:p w14:paraId="2EE819F4" w14:textId="77777777" w:rsidR="00415049" w:rsidRPr="008755BA" w:rsidRDefault="00415049" w:rsidP="00415049">
      <w:pPr>
        <w:spacing w:line="480" w:lineRule="auto"/>
        <w:rPr>
          <w:b/>
          <w:color w:val="FF0000"/>
        </w:rPr>
      </w:pPr>
      <w:r w:rsidRPr="00A07701">
        <w:rPr>
          <w:b/>
          <w:bCs/>
        </w:rPr>
        <w:t>Title</w:t>
      </w:r>
      <w:r w:rsidRPr="008755BA">
        <w:t xml:space="preserve"> </w:t>
      </w:r>
      <w:r w:rsidRPr="008755BA">
        <w:rPr>
          <w:color w:val="000000" w:themeColor="text1"/>
        </w:rPr>
        <w:t>Pulse Physiology Engine to simulate transient oxygen changes and closed-loop, autonomous pump control during venovenous extracorporeal membrane oxygenation</w:t>
      </w:r>
    </w:p>
    <w:p w14:paraId="19387EF5" w14:textId="77777777" w:rsidR="00415049" w:rsidRDefault="00415049" w:rsidP="00415049">
      <w:pPr>
        <w:spacing w:line="480" w:lineRule="auto"/>
        <w:rPr>
          <w:i/>
          <w:iCs/>
        </w:rPr>
      </w:pPr>
    </w:p>
    <w:p w14:paraId="276B4443" w14:textId="77777777" w:rsidR="00415049" w:rsidRPr="008755BA" w:rsidRDefault="00415049" w:rsidP="00415049">
      <w:pPr>
        <w:spacing w:line="480" w:lineRule="auto"/>
        <w:rPr>
          <w:i/>
          <w:iCs/>
        </w:rPr>
      </w:pPr>
      <w:r w:rsidRPr="008755BA">
        <w:rPr>
          <w:i/>
          <w:iCs/>
        </w:rPr>
        <w:t>Rei Ukita</w:t>
      </w:r>
      <w:r w:rsidRPr="008755BA">
        <w:rPr>
          <w:i/>
          <w:iCs/>
          <w:vertAlign w:val="superscript"/>
        </w:rPr>
        <w:t>1, 2, *</w:t>
      </w:r>
      <w:r w:rsidRPr="008755BA">
        <w:rPr>
          <w:i/>
          <w:iCs/>
        </w:rPr>
        <w:t>, Sriya Bapatla</w:t>
      </w:r>
      <w:r w:rsidRPr="008755BA">
        <w:rPr>
          <w:i/>
          <w:iCs/>
          <w:vertAlign w:val="superscript"/>
        </w:rPr>
        <w:t>2</w:t>
      </w:r>
      <w:r w:rsidRPr="008755BA">
        <w:rPr>
          <w:i/>
          <w:iCs/>
        </w:rPr>
        <w:t>, Jeffrey Webb</w:t>
      </w:r>
      <w:r w:rsidRPr="008755BA">
        <w:rPr>
          <w:i/>
          <w:iCs/>
          <w:vertAlign w:val="superscript"/>
        </w:rPr>
        <w:t>3</w:t>
      </w:r>
      <w:r w:rsidRPr="008755BA">
        <w:rPr>
          <w:i/>
          <w:iCs/>
        </w:rPr>
        <w:t>, Aaron Bray</w:t>
      </w:r>
      <w:r w:rsidRPr="008755BA">
        <w:rPr>
          <w:i/>
          <w:iCs/>
          <w:vertAlign w:val="superscript"/>
        </w:rPr>
        <w:t>3</w:t>
      </w:r>
      <w:r w:rsidRPr="008755BA">
        <w:rPr>
          <w:i/>
          <w:iCs/>
        </w:rPr>
        <w:t>, Yerin Woo</w:t>
      </w:r>
      <w:r w:rsidRPr="008755BA">
        <w:rPr>
          <w:i/>
          <w:iCs/>
          <w:vertAlign w:val="superscript"/>
        </w:rPr>
        <w:t>1</w:t>
      </w:r>
      <w:r w:rsidRPr="008755BA">
        <w:rPr>
          <w:i/>
          <w:iCs/>
        </w:rPr>
        <w:t>, Andrew Kumpfbeck</w:t>
      </w:r>
      <w:r w:rsidRPr="008755BA">
        <w:rPr>
          <w:i/>
          <w:iCs/>
          <w:vertAlign w:val="superscript"/>
        </w:rPr>
        <w:t>1</w:t>
      </w:r>
      <w:r w:rsidRPr="008755BA">
        <w:rPr>
          <w:i/>
          <w:iCs/>
        </w:rPr>
        <w:t>, Steve P Keller</w:t>
      </w:r>
      <w:r w:rsidRPr="008755BA">
        <w:rPr>
          <w:i/>
          <w:iCs/>
          <w:vertAlign w:val="superscript"/>
        </w:rPr>
        <w:t>4</w:t>
      </w:r>
      <w:r w:rsidRPr="008755BA">
        <w:rPr>
          <w:i/>
          <w:iCs/>
        </w:rPr>
        <w:t>, Rachel Clipp</w:t>
      </w:r>
      <w:r w:rsidRPr="008755BA">
        <w:rPr>
          <w:i/>
          <w:iCs/>
          <w:vertAlign w:val="superscript"/>
        </w:rPr>
        <w:t>3</w:t>
      </w:r>
    </w:p>
    <w:p w14:paraId="59268E36" w14:textId="77777777" w:rsidR="00415049" w:rsidRPr="008755BA" w:rsidRDefault="00415049" w:rsidP="00415049">
      <w:pPr>
        <w:numPr>
          <w:ilvl w:val="0"/>
          <w:numId w:val="1"/>
        </w:numPr>
        <w:tabs>
          <w:tab w:val="clear" w:pos="360"/>
          <w:tab w:val="num" w:pos="720"/>
        </w:tabs>
        <w:spacing w:after="160" w:line="480" w:lineRule="auto"/>
      </w:pPr>
      <w:r w:rsidRPr="008755BA">
        <w:t>Department of Cardiac Surgery, Vanderbilt University Medical Center,  Nashville, USA</w:t>
      </w:r>
    </w:p>
    <w:p w14:paraId="372A9F95" w14:textId="77777777" w:rsidR="00415049" w:rsidRPr="008755BA" w:rsidRDefault="00415049" w:rsidP="00415049">
      <w:pPr>
        <w:numPr>
          <w:ilvl w:val="0"/>
          <w:numId w:val="1"/>
        </w:numPr>
        <w:tabs>
          <w:tab w:val="clear" w:pos="360"/>
          <w:tab w:val="num" w:pos="720"/>
        </w:tabs>
        <w:spacing w:after="160" w:line="480" w:lineRule="auto"/>
      </w:pPr>
      <w:r w:rsidRPr="008755BA">
        <w:t>Department of Biomedical Engineering, Vanderbilt University, Nashville, USA</w:t>
      </w:r>
    </w:p>
    <w:p w14:paraId="7938FB88" w14:textId="77777777" w:rsidR="00415049" w:rsidRPr="008755BA" w:rsidRDefault="00415049" w:rsidP="00415049">
      <w:pPr>
        <w:numPr>
          <w:ilvl w:val="0"/>
          <w:numId w:val="1"/>
        </w:numPr>
        <w:tabs>
          <w:tab w:val="clear" w:pos="360"/>
          <w:tab w:val="num" w:pos="720"/>
        </w:tabs>
        <w:spacing w:after="160" w:line="480" w:lineRule="auto"/>
      </w:pPr>
      <w:r w:rsidRPr="008755BA">
        <w:t>Kitware Inc, Carrboro, 27510, USA</w:t>
      </w:r>
    </w:p>
    <w:p w14:paraId="1A167989" w14:textId="77777777" w:rsidR="00415049" w:rsidRPr="008755BA" w:rsidRDefault="00415049" w:rsidP="00415049">
      <w:pPr>
        <w:numPr>
          <w:ilvl w:val="0"/>
          <w:numId w:val="1"/>
        </w:numPr>
        <w:tabs>
          <w:tab w:val="clear" w:pos="360"/>
          <w:tab w:val="num" w:pos="720"/>
        </w:tabs>
        <w:spacing w:after="160" w:line="480" w:lineRule="auto"/>
      </w:pPr>
      <w:r w:rsidRPr="008755BA">
        <w:t>Department of Medicine, Johns Hopkins University, Division of Pulmonary and Critical Care Medicine, Baltimore, 21287, USA</w:t>
      </w:r>
    </w:p>
    <w:p w14:paraId="6B412A40" w14:textId="77777777" w:rsidR="00415049" w:rsidRDefault="00415049" w:rsidP="00415049">
      <w:pPr>
        <w:spacing w:line="480" w:lineRule="auto"/>
      </w:pPr>
      <w:r w:rsidRPr="008755BA">
        <w:t xml:space="preserve">*Corresponding Author: </w:t>
      </w:r>
      <w:r>
        <w:fldChar w:fldCharType="begin"/>
      </w:r>
      <w:r>
        <w:instrText>HYPERLINK "mailto:rei.ukita@vumc.org"</w:instrText>
      </w:r>
      <w:r>
        <w:fldChar w:fldCharType="separate"/>
      </w:r>
      <w:r w:rsidRPr="008755BA">
        <w:rPr>
          <w:rStyle w:val="Hyperlink"/>
        </w:rPr>
        <w:t>rei.ukita@vumc.org</w:t>
      </w:r>
      <w:r>
        <w:fldChar w:fldCharType="end"/>
      </w:r>
    </w:p>
    <w:p w14:paraId="3DFEBCE8" w14:textId="77777777" w:rsidR="00415049" w:rsidRDefault="00415049" w:rsidP="00415049">
      <w:r>
        <w:br w:type="page"/>
      </w:r>
    </w:p>
    <w:p w14:paraId="70A1DA3C" w14:textId="77777777" w:rsidR="00415049" w:rsidRDefault="00415049" w:rsidP="00415049">
      <w:pPr>
        <w:rPr>
          <w:color w:val="000000" w:themeColor="text1"/>
          <w:sz w:val="22"/>
          <w:szCs w:val="22"/>
        </w:rPr>
      </w:pPr>
      <w:r>
        <w:rPr>
          <w:rFonts w:hint="eastAsia"/>
          <w:b/>
          <w:bCs/>
          <w:color w:val="000000" w:themeColor="text1"/>
          <w:sz w:val="22"/>
          <w:szCs w:val="22"/>
        </w:rPr>
        <w:lastRenderedPageBreak/>
        <w:t xml:space="preserve">Table S1: </w:t>
      </w:r>
      <w:r>
        <w:rPr>
          <w:rFonts w:hint="eastAsia"/>
          <w:color w:val="000000" w:themeColor="text1"/>
          <w:sz w:val="22"/>
          <w:szCs w:val="22"/>
        </w:rPr>
        <w:t>C</w:t>
      </w:r>
      <w:r w:rsidRPr="00672687">
        <w:rPr>
          <w:color w:val="000000" w:themeColor="text1"/>
          <w:sz w:val="22"/>
          <w:szCs w:val="22"/>
        </w:rPr>
        <w:t>ircuit parameters represented in the Pulse digital twin model.</w:t>
      </w:r>
      <w:r>
        <w:rPr>
          <w:rFonts w:hint="eastAsia"/>
          <w:color w:val="000000" w:themeColor="text1"/>
          <w:sz w:val="22"/>
          <w:szCs w:val="22"/>
        </w:rPr>
        <w:t xml:space="preserve"> Labels correspond to Figure 1A in the manuscript.</w:t>
      </w:r>
    </w:p>
    <w:p w14:paraId="0C3E145B" w14:textId="77777777" w:rsidR="00415049" w:rsidRDefault="00415049" w:rsidP="00415049">
      <w:pPr>
        <w:rPr>
          <w:color w:val="000000" w:themeColor="text1"/>
          <w:sz w:val="22"/>
          <w:szCs w:val="22"/>
        </w:rPr>
      </w:pPr>
    </w:p>
    <w:tbl>
      <w:tblPr>
        <w:tblW w:w="876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5451"/>
        <w:gridCol w:w="2504"/>
      </w:tblGrid>
      <w:tr w:rsidR="00415049" w:rsidRPr="00D63D88" w14:paraId="1D2BAFF2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9F918B" w14:textId="77777777" w:rsidR="00415049" w:rsidRPr="00D63D88" w:rsidRDefault="00415049" w:rsidP="004E6F13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Label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9F5AF6" w14:textId="77777777" w:rsidR="00415049" w:rsidRPr="00D63D88" w:rsidRDefault="00415049" w:rsidP="004E6F13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71648F" w14:textId="77777777" w:rsidR="00415049" w:rsidRPr="00D63D88" w:rsidRDefault="00415049" w:rsidP="004E6F13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Component</w:t>
            </w:r>
          </w:p>
        </w:tc>
      </w:tr>
      <w:tr w:rsidR="00415049" w:rsidRPr="00D63D88" w14:paraId="25E6B4B8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09A344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C9450F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Inlet Location</w:t>
            </w:r>
          </w:p>
        </w:tc>
        <w:tc>
          <w:tcPr>
            <w:tcW w:w="0" w:type="auto"/>
            <w:vMerge w:val="restart"/>
            <w:tcBorders>
              <w:top w:val="single" w:sz="6" w:space="0" w:color="E6E6E6"/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506B5D17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Cannulas</w:t>
            </w:r>
          </w:p>
          <w:p w14:paraId="41DF12F2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4A73751A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AFB26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5C4F7E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Outlet Location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51627D73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098567D5" w14:textId="77777777" w:rsidTr="004E6F13">
        <w:trPr>
          <w:trHeight w:val="21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0357F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F114D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Drainage Cannula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26B85AF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445AB578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ED042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C5720F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Return Cannula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79B5892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6C453B36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08772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890BDD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Drainage Cannula Resistance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0898E2E6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52A016C8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FD868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1E788E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gramStart"/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Return</w:t>
            </w:r>
            <w:proofErr w:type="gramEnd"/>
            <w:r w:rsidRPr="00D63D88">
              <w:rPr>
                <w:color w:val="000000" w:themeColor="text1"/>
                <w:sz w:val="22"/>
                <w:szCs w:val="22"/>
                <w:lang w:val="en-US"/>
              </w:rPr>
              <w:t xml:space="preserve"> Cannula Resistance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3AA1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732D1717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6D0DE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D7C92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Pump Flow</w:t>
            </w:r>
          </w:p>
        </w:tc>
        <w:tc>
          <w:tcPr>
            <w:tcW w:w="0" w:type="auto"/>
            <w:vMerge w:val="restart"/>
            <w:tcBorders>
              <w:top w:val="single" w:sz="6" w:space="0" w:color="E6E6E6"/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474D150B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Pump</w:t>
            </w:r>
          </w:p>
        </w:tc>
      </w:tr>
      <w:tr w:rsidR="00415049" w:rsidRPr="00D63D88" w14:paraId="0874D971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DBD43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698D1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Pump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57556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30BA975E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6894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D891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Sweep Gas Flow</w:t>
            </w:r>
          </w:p>
        </w:tc>
        <w:tc>
          <w:tcPr>
            <w:tcW w:w="0" w:type="auto"/>
            <w:vMerge w:val="restart"/>
            <w:tcBorders>
              <w:top w:val="single" w:sz="6" w:space="0" w:color="E6E6E6"/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4CD018F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Oxygenator</w:t>
            </w:r>
          </w:p>
          <w:p w14:paraId="665A494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79A5A1E9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4DB1D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AB490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Sweep Gas Pressure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721DBB4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1F40A622" w14:textId="77777777" w:rsidTr="004E6F13">
        <w:trPr>
          <w:trHeight w:val="21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416273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6ACAE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Fraction of Sweep Gas Oxygen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78F662FE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23BA5654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322F1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12a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4606F6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Oxygen Membrane Diffusing Capacity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3785D147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1D688DF6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8E9D92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12b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FC7B4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Carbon Dioxide Membrane Diffusing Capacity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29DCF9D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0F776808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1ADFB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058F6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Oxygenator Liquid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515A478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3D53616A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EA7C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D7C2A7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Oxygenator Gas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0A536B98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246DCE07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CCE604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0FE5F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Oxygenator Resistance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4B50F6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5D66D28B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85A22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AABA8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Bag Compound</w:t>
            </w:r>
          </w:p>
        </w:tc>
        <w:tc>
          <w:tcPr>
            <w:tcW w:w="0" w:type="auto"/>
            <w:vMerge w:val="restart"/>
            <w:tcBorders>
              <w:top w:val="single" w:sz="6" w:space="0" w:color="E6E6E6"/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28C30A17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Fluid Administration</w:t>
            </w:r>
          </w:p>
        </w:tc>
      </w:tr>
      <w:tr w:rsidR="00415049" w:rsidRPr="00D63D88" w14:paraId="4C9C745C" w14:textId="77777777" w:rsidTr="004E6F13">
        <w:trPr>
          <w:trHeight w:val="21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A8158F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4FDA7A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Bag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7D7D57C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4AD426E0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28C0F8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7FB1E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Infuser Rate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0CD7B8AB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0B21755D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E44667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6DADE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Infuser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B4E0D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3297BA63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A0368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9507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Drainage Limb Volume</w:t>
            </w:r>
          </w:p>
        </w:tc>
        <w:tc>
          <w:tcPr>
            <w:tcW w:w="0" w:type="auto"/>
            <w:vMerge w:val="restart"/>
            <w:tcBorders>
              <w:top w:val="single" w:sz="6" w:space="0" w:color="E6E6E6"/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4B7069CD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Peripherals</w:t>
            </w:r>
          </w:p>
        </w:tc>
      </w:tr>
      <w:tr w:rsidR="00415049" w:rsidRPr="00D63D88" w14:paraId="1AB4BC25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D6247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40803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Return Limb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3883287B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06B3A1BC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A29988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E8B1D3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Inlet Probe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43FAC711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1F94CFB1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505282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7A1B53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Outlet Probe Volume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4F76E75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5EC5592E" w14:textId="77777777" w:rsidTr="004E6F13">
        <w:trPr>
          <w:trHeight w:val="21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F074C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BD7220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Drainage Limb Resistance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right w:val="single" w:sz="6" w:space="0" w:color="E6E6E6"/>
            </w:tcBorders>
            <w:vAlign w:val="center"/>
            <w:hideMark/>
          </w:tcPr>
          <w:p w14:paraId="2FD0226C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15049" w:rsidRPr="00D63D88" w14:paraId="3347C981" w14:textId="77777777" w:rsidTr="004E6F13">
        <w:trPr>
          <w:trHeight w:val="2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FB32A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2C439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63D88">
              <w:rPr>
                <w:color w:val="000000" w:themeColor="text1"/>
                <w:sz w:val="22"/>
                <w:szCs w:val="22"/>
                <w:lang w:val="en-US"/>
              </w:rPr>
              <w:t>Return Limb Resistance</w:t>
            </w:r>
          </w:p>
        </w:tc>
        <w:tc>
          <w:tcPr>
            <w:tcW w:w="0" w:type="auto"/>
            <w:vMerge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BEA835" w14:textId="77777777" w:rsidR="00415049" w:rsidRPr="00D63D88" w:rsidRDefault="00415049" w:rsidP="004E6F13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640A21F1" w14:textId="77777777" w:rsidR="00415049" w:rsidRDefault="00415049" w:rsidP="00415049">
      <w:pPr>
        <w:rPr>
          <w:color w:val="000000" w:themeColor="text1"/>
          <w:sz w:val="22"/>
          <w:szCs w:val="22"/>
        </w:rPr>
      </w:pPr>
    </w:p>
    <w:p w14:paraId="73C510B6" w14:textId="77777777" w:rsidR="00415049" w:rsidRDefault="00415049" w:rsidP="00415049">
      <w:pPr>
        <w:rPr>
          <w:lang w:val="en-US"/>
        </w:rPr>
      </w:pPr>
    </w:p>
    <w:p w14:paraId="6A1F011D" w14:textId="77777777" w:rsidR="00415049" w:rsidRDefault="00415049" w:rsidP="00415049">
      <w:pPr>
        <w:rPr>
          <w:lang w:val="en-US"/>
        </w:rPr>
      </w:pPr>
      <w:r>
        <w:rPr>
          <w:lang w:val="en-US"/>
        </w:rPr>
        <w:br w:type="page"/>
      </w:r>
    </w:p>
    <w:p w14:paraId="427A9E0F" w14:textId="77777777" w:rsidR="00415049" w:rsidRDefault="00415049" w:rsidP="00415049">
      <w:pPr>
        <w:spacing w:line="480" w:lineRule="auto"/>
        <w:rPr>
          <w:lang w:val="en-US"/>
        </w:rPr>
        <w:sectPr w:rsidR="00415049" w:rsidSect="0041504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50E8E32" w14:textId="77777777" w:rsidR="00415049" w:rsidRDefault="00415049" w:rsidP="00415049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lastRenderedPageBreak/>
        <w:t>Table S</w:t>
      </w:r>
      <w:r>
        <w:rPr>
          <w:rFonts w:hint="eastAsia"/>
          <w:b/>
          <w:bCs/>
          <w:color w:val="000000" w:themeColor="text1"/>
          <w:sz w:val="22"/>
          <w:szCs w:val="22"/>
        </w:rPr>
        <w:t>2</w:t>
      </w:r>
      <w:r>
        <w:rPr>
          <w:b/>
          <w:bCs/>
          <w:color w:val="000000" w:themeColor="text1"/>
          <w:sz w:val="22"/>
          <w:szCs w:val="22"/>
        </w:rPr>
        <w:t xml:space="preserve">: </w:t>
      </w:r>
      <w:r w:rsidRPr="00493E38">
        <w:rPr>
          <w:color w:val="000000" w:themeColor="text1"/>
          <w:sz w:val="22"/>
          <w:szCs w:val="22"/>
        </w:rPr>
        <w:t>Summary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493E38">
        <w:rPr>
          <w:color w:val="000000" w:themeColor="text1"/>
          <w:sz w:val="22"/>
          <w:szCs w:val="22"/>
        </w:rPr>
        <w:t>of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783EFB">
        <w:rPr>
          <w:color w:val="000000" w:themeColor="text1"/>
          <w:sz w:val="22"/>
          <w:szCs w:val="22"/>
        </w:rPr>
        <w:t>extracorporeal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circuit </w:t>
      </w:r>
      <w:r w:rsidRPr="00493E38">
        <w:rPr>
          <w:color w:val="000000" w:themeColor="text1"/>
          <w:sz w:val="22"/>
          <w:szCs w:val="22"/>
        </w:rPr>
        <w:t>parameters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493E38">
        <w:rPr>
          <w:color w:val="000000" w:themeColor="text1"/>
          <w:sz w:val="22"/>
          <w:szCs w:val="22"/>
        </w:rPr>
        <w:t xml:space="preserve">used </w:t>
      </w:r>
      <w:r>
        <w:rPr>
          <w:color w:val="000000" w:themeColor="text1"/>
          <w:sz w:val="22"/>
          <w:szCs w:val="22"/>
        </w:rPr>
        <w:t xml:space="preserve">in the Pulse </w:t>
      </w:r>
      <w:r w:rsidRPr="00357981">
        <w:rPr>
          <w:color w:val="000000" w:themeColor="text1"/>
          <w:sz w:val="22"/>
          <w:szCs w:val="22"/>
        </w:rPr>
        <w:t>simulations</w:t>
      </w:r>
      <w:r>
        <w:rPr>
          <w:b/>
          <w:bCs/>
          <w:color w:val="000000" w:themeColor="text1"/>
          <w:sz w:val="22"/>
          <w:szCs w:val="22"/>
        </w:rPr>
        <w:t xml:space="preserve"> </w:t>
      </w:r>
    </w:p>
    <w:tbl>
      <w:tblPr>
        <w:tblW w:w="14281" w:type="dxa"/>
        <w:tblLook w:val="04A0" w:firstRow="1" w:lastRow="0" w:firstColumn="1" w:lastColumn="0" w:noHBand="0" w:noVBand="1"/>
      </w:tblPr>
      <w:tblGrid>
        <w:gridCol w:w="1705"/>
        <w:gridCol w:w="3960"/>
        <w:gridCol w:w="2250"/>
        <w:gridCol w:w="6366"/>
      </w:tblGrid>
      <w:tr w:rsidR="00415049" w:rsidRPr="007D1988" w14:paraId="7A587718" w14:textId="77777777" w:rsidTr="004E6F13">
        <w:trPr>
          <w:trHeight w:val="364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211D2" w14:textId="77777777" w:rsidR="00415049" w:rsidRPr="007D1988" w:rsidRDefault="00415049" w:rsidP="004E6F1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Subsystem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2704C" w14:textId="77777777" w:rsidR="00415049" w:rsidRPr="007D1988" w:rsidRDefault="00415049" w:rsidP="004E6F1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AC044" w14:textId="77777777" w:rsidR="00415049" w:rsidRPr="007D1988" w:rsidRDefault="00415049" w:rsidP="004E6F1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Value</w:t>
            </w:r>
          </w:p>
        </w:tc>
        <w:tc>
          <w:tcPr>
            <w:tcW w:w="6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ED46F" w14:textId="77777777" w:rsidR="00415049" w:rsidRPr="007D1988" w:rsidRDefault="00415049" w:rsidP="004E6F1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Specification Basis</w:t>
            </w:r>
          </w:p>
        </w:tc>
      </w:tr>
      <w:tr w:rsidR="00415049" w:rsidRPr="007D1988" w14:paraId="30EC246A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DCC9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232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Inlet Location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783C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Inferior Vena Cava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6753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Drain cannulation</w:t>
            </w:r>
          </w:p>
        </w:tc>
      </w:tr>
      <w:tr w:rsidR="00415049" w:rsidRPr="007D1988" w14:paraId="266E10A4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DB12D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2EDCE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Outlet Location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9C56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Right Atrium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640B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Return cannulation</w:t>
            </w:r>
          </w:p>
        </w:tc>
      </w:tr>
      <w:tr w:rsidR="00415049" w:rsidRPr="007D1988" w14:paraId="11E64354" w14:textId="77777777" w:rsidTr="004E6F13">
        <w:trPr>
          <w:trHeight w:val="842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11AB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B1F6B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Drainage Cannula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14181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7 – 18 mL </w:t>
            </w:r>
          </w:p>
          <w:p w14:paraId="7FDAF8CE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for 20-31 French 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7FC4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The cross-sectional areas of Avalon drainage and return lumens have an approximate ratio of 2:1. Drainage and return lumen volumes are calculated as 2/3 or 1/3 of the total volume, respectively. Total volume is approximated as a cylinder with a diameter equal to French size and a length of 31 cm </w:t>
            </w:r>
          </w:p>
        </w:tc>
      </w:tr>
      <w:tr w:rsidR="00415049" w:rsidRPr="007D1988" w14:paraId="501715F1" w14:textId="77777777" w:rsidTr="004E6F13">
        <w:trPr>
          <w:trHeight w:val="364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1B9F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736E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Return Cannula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137E5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3 – 9 mL for 20-31 Fr 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A241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See above</w:t>
            </w:r>
          </w:p>
        </w:tc>
      </w:tr>
      <w:tr w:rsidR="00415049" w:rsidRPr="007D1988" w14:paraId="7DC3BB02" w14:textId="77777777" w:rsidTr="004E6F13">
        <w:trPr>
          <w:trHeight w:val="283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19000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E147C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Drainage Cannula Resistance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4B3A4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Varies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C3ED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Based on Avalon dual-lumen cannulas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’ pressure-flow curves shown in prior publications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begin"/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&lt;EndNote&gt;&lt;Cite&gt;&lt;Author&gt;Wang&lt;/Author&gt;&lt;Year&gt;2019&lt;/Year&gt;&lt;RecNum&gt;188&lt;/RecNum&gt;&lt;DisplayText&gt;&lt;style face="superscript"&gt;19&lt;/style&gt;&lt;/DisplayText&gt;&lt;record&gt;&lt;rec-number&gt;188&lt;/rec-number&gt;&lt;foreign-keys&gt;&lt;key app="EN" db-id="vpvwwesevd5wa1er2d5x9apvfp0xservaxtf" timestamp="1777924640" guid="09530097-f4b1-4b0f-8e9f-f130b6dc4827"&gt;188&lt;/key&gt;&lt;/foreign-keys&gt;&lt;ref-type name="Journal Article"&gt;17&lt;/ref-type&gt;&lt;contributors&gt;&lt;authors&gt;&lt;author&gt;Wang, Shigang&lt;/author&gt;&lt;author&gt;Force, Madison&lt;/author&gt;&lt;author&gt;Kunselman, Allen R.&lt;/author&gt;&lt;author&gt;Palanzo, David&lt;/author&gt;&lt;author&gt;Brehm, Christoph&lt;/author&gt;&lt;author&gt;Ündar, Akif&lt;/author&gt;&lt;/authors&gt;&lt;/contributors&gt;&lt;titles&gt;&lt;title&gt;Hemodynamic Evaluation of Avalon Elite Bi-Caval Dual Lumen Cannulas and Femoral Arterial Cannulas&lt;/title&gt;&lt;secondary-title&gt;Artificial Organs&lt;/secondary-title&gt;&lt;/titles&gt;&lt;periodical&gt;&lt;full-title&gt;Artificial Organs&lt;/full-title&gt;&lt;abbr-1&gt;Artif Organs&lt;/abbr-1&gt;&lt;/periodical&gt;&lt;pages&gt;41-53&lt;/pages&gt;&lt;volume&gt;43&lt;/volume&gt;&lt;number&gt;1&lt;/number&gt;&lt;keywords&gt;&lt;keyword&gt;Adult&lt;/keyword&gt;&lt;keyword&gt;Hemodynamics&lt;/keyword&gt;&lt;keyword&gt;Extracorporeal life support&lt;/keyword&gt;&lt;keyword&gt;Avalon cannula&lt;/keyword&gt;&lt;keyword&gt;Femoral arterial cannula&lt;/keyword&gt;&lt;/keywords&gt;&lt;dates&gt;&lt;year&gt;2019&lt;/year&gt;&lt;pub-dates&gt;&lt;date&gt;2019&lt;/date&gt;&lt;/pub-dates&gt;&lt;/dates&gt;&lt;isbn&gt;1525-1594&lt;/isbn&gt;&lt;urls&gt;&lt;related-urls&gt;&lt;url&gt;https://onlinelibrary.wiley.com/doi/abs/10.1111/aor.13318&lt;/url&gt;&lt;url&gt;files/5160/aor.html&lt;/url&gt;&lt;/related-urls&gt;&lt;/urls&gt;&lt;electronic-resource-num&gt;10.1111/aor.13318&lt;/electronic-resource-num&gt;&lt;remote-database-provider&gt;Wiley Online Library&lt;/remote-database-provider&gt;&lt;language&gt;en&lt;/language&gt;&lt;access-date&gt;2023/02/10/04:01:39&lt;/access-date&gt;&lt;/record&gt;&lt;/Cite&gt;&lt;/EndNote&gt;</w:instrTex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separate"/>
            </w:r>
            <w:r w:rsidRPr="00862985">
              <w:rPr>
                <w:rFonts w:eastAsia="Times New Roman"/>
                <w:noProof/>
                <w:color w:val="000000"/>
                <w:sz w:val="20"/>
                <w:szCs w:val="20"/>
                <w:vertAlign w:val="superscript"/>
                <w:lang w:val="en-US"/>
              </w:rPr>
              <w:t>19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  <w:tr w:rsidR="00415049" w:rsidRPr="007D1988" w14:paraId="090C48AB" w14:textId="77777777" w:rsidTr="004E6F13">
        <w:trPr>
          <w:trHeight w:val="355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340F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Cannulation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C18DD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Return</w:t>
            </w:r>
            <w:proofErr w:type="gramEnd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Cannula Resistance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2A1F7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Varies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C45BE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See above</w:t>
            </w:r>
          </w:p>
        </w:tc>
      </w:tr>
      <w:tr w:rsidR="00415049" w:rsidRPr="007D1988" w14:paraId="2B5FD591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75E7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3F816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 Flow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1D50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Varies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E5E2E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Calculated based on patient’s circuit and pump characteristics</w:t>
            </w: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taken from prior publications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begin"/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&lt;EndNote&gt;&lt;Cite&gt;&lt;Author&gt;Ganushchak&lt;/Author&gt;&lt;Year&gt;2006&lt;/Year&gt;&lt;RecNum&gt;167&lt;/RecNum&gt;&lt;DisplayText&gt;&lt;style face="superscript"&gt;17&lt;/style&gt;&lt;/DisplayText&gt;&lt;record&gt;&lt;rec-number&gt;167&lt;/rec-number&gt;&lt;foreign-keys&gt;&lt;key app="EN" db-id="vpvwwesevd5wa1er2d5x9apvfp0xservaxtf" timestamp="1777924639" guid="1ae635be-d275-4624-b9dc-40d509539f50"&gt;167&lt;/key&gt;&lt;/foreign-keys&gt;&lt;ref-type name="Journal Article"&gt;17&lt;/ref-type&gt;&lt;contributors&gt;&lt;authors&gt;&lt;author&gt;Ganushchak, Y.&lt;/author&gt;&lt;author&gt;van Marken Lichtenbelt, W.&lt;/author&gt;&lt;author&gt;van der Nagel, T.&lt;/author&gt;&lt;author&gt;de Jong, D. S.&lt;/author&gt;&lt;/authors&gt;&lt;/contributors&gt;&lt;titles&gt;&lt;title&gt;Hydrodynamic performance and heat generation by centrifugal pumps&lt;/title&gt;&lt;secondary-title&gt;Perfusion&lt;/secondary-title&gt;&lt;alt-title&gt;Perfusion&lt;/alt-title&gt;&lt;/titles&gt;&lt;periodical&gt;&lt;full-title&gt;Perfusion&lt;/full-title&gt;&lt;/periodical&gt;&lt;alt-periodical&gt;&lt;full-title&gt;Perfusion&lt;/full-title&gt;&lt;/alt-periodical&gt;&lt;pages&gt;373-379&lt;/pages&gt;&lt;volume&gt;21&lt;/volume&gt;&lt;number&gt;6&lt;/number&gt;&lt;dates&gt;&lt;year&gt;2006&lt;/year&gt;&lt;pub-dates&gt;&lt;date&gt;2006/11//&lt;/date&gt;&lt;/pub-dates&gt;&lt;/dates&gt;&lt;isbn&gt;0267-6591, 1477-111X&lt;/isbn&gt;&lt;urls&gt;&lt;related-urls&gt;&lt;url&gt;http://journals.sagepub.com/doi/10.1177/0267659106074003&lt;/url&gt;&lt;url&gt;https://journals.sagepub.com/doi/10.1177/0267659106074003?url_ver=Z39.88-2003&amp;amp;rfr_id=ori:rid:crossref.org&amp;amp;rfr_dat=cr_pub  0pubmed&lt;/url&gt;&lt;/related-urls&gt;&lt;/urls&gt;&lt;electronic-resource-num&gt;10.1177/0267659106074003&lt;/electronic-resource-num&gt;&lt;remote-database-provider&gt;DOI.org (Crossref)&lt;/remote-database-provider&gt;&lt;language&gt;en&lt;/language&gt;&lt;access-date&gt;2022/09/26/15:05:54&lt;/access-date&gt;&lt;/record&gt;&lt;/Cite&gt;&lt;/EndNote&gt;</w:instrTex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separate"/>
            </w:r>
            <w:r w:rsidRPr="00862985">
              <w:rPr>
                <w:rFonts w:eastAsia="Times New Roman"/>
                <w:noProof/>
                <w:color w:val="000000"/>
                <w:sz w:val="20"/>
                <w:szCs w:val="20"/>
                <w:vertAlign w:val="superscript"/>
                <w:lang w:val="en-US"/>
              </w:rPr>
              <w:t>17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  <w:tr w:rsidR="00415049" w:rsidRPr="007D1988" w14:paraId="05EBD242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0E0C3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B5E73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331CE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32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A5F0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Rotaflow</w:t>
            </w:r>
            <w:proofErr w:type="spellEnd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pump</w:t>
            </w:r>
          </w:p>
        </w:tc>
      </w:tr>
      <w:tr w:rsidR="00415049" w:rsidRPr="007D1988" w14:paraId="1780D7A0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DE21F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8962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 Minimum Speed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57936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500 RPM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B7F00C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Rotaflow</w:t>
            </w:r>
            <w:proofErr w:type="spellEnd"/>
          </w:p>
        </w:tc>
      </w:tr>
      <w:tr w:rsidR="00415049" w:rsidRPr="007D1988" w14:paraId="2630AD72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CD1BE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73DD6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Pump Maximum Speed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BC3673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4000 RPM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1AF58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Rotaflow</w:t>
            </w:r>
            <w:proofErr w:type="spellEnd"/>
          </w:p>
        </w:tc>
      </w:tr>
      <w:tr w:rsidR="00415049" w:rsidRPr="007D1988" w14:paraId="57E529DF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AA62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Sweep Gas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55220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Sweep Gas Flow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C90A8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Varies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6609D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Scenario specific</w:t>
            </w:r>
          </w:p>
        </w:tc>
      </w:tr>
      <w:tr w:rsidR="00415049" w:rsidRPr="007D1988" w14:paraId="3DDB481A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42AC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Sweep Gas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8E05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Fraction of Sweep Gas Oxygen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251BA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21-100%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61F4B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Scenario specific</w:t>
            </w:r>
          </w:p>
        </w:tc>
      </w:tr>
      <w:tr w:rsidR="00415049" w:rsidRPr="007D1988" w14:paraId="28ABC9D4" w14:textId="77777777" w:rsidTr="004E6F13">
        <w:trPr>
          <w:trHeight w:val="274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9EEB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74064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 Membrane Diffusing Capacity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DFD5E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0.53 mL/min/mmHg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DCC1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Quadrox</w:t>
            </w:r>
            <w:proofErr w:type="spellEnd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PLS</w:t>
            </w:r>
          </w:p>
        </w:tc>
      </w:tr>
      <w:tr w:rsidR="00415049" w:rsidRPr="007D1988" w14:paraId="690AAE62" w14:textId="77777777" w:rsidTr="004E6F13">
        <w:trPr>
          <w:trHeight w:val="561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A8F53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93DA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Carbon Dioxide Membrane Diffusing Capacity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F8CC9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14 mL/min/mmHg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8AF52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Quadrox</w:t>
            </w:r>
            <w:proofErr w:type="spellEnd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PLS</w:t>
            </w:r>
          </w:p>
        </w:tc>
      </w:tr>
      <w:tr w:rsidR="00415049" w:rsidRPr="007D1988" w14:paraId="60E28458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0DE62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04E50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 Liquid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91E70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250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1A48D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Quadrox</w:t>
            </w:r>
            <w:proofErr w:type="spellEnd"/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PLS</w:t>
            </w:r>
          </w:p>
        </w:tc>
      </w:tr>
      <w:tr w:rsidR="00415049" w:rsidRPr="007D1988" w14:paraId="28779AFB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1CF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08A13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 Gas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DBA12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215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7FCBD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Typical</w:t>
            </w:r>
          </w:p>
        </w:tc>
      </w:tr>
      <w:tr w:rsidR="00415049" w:rsidRPr="007D1988" w14:paraId="39528A1C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4B21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BF073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Oxygenator Resistance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46636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5.5 </w:t>
            </w:r>
            <w:proofErr w:type="spellStart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mmHg·min</w:t>
            </w:r>
            <w:proofErr w:type="spellEnd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/L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1F7F6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Prior publication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begin"/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&lt;EndNote&gt;&lt;Cite&gt;&lt;Author&gt;Sabetta&lt;/Author&gt;&lt;Year&gt;2026&lt;/Year&gt;&lt;RecNum&gt;452&lt;/RecNum&gt;&lt;DisplayText&gt;&lt;style face="superscript"&gt;20&lt;/style&gt;&lt;/DisplayText&gt;&lt;record&gt;&lt;rec-number&gt;452&lt;/rec-number&gt;&lt;foreign-keys&gt;&lt;key app="EN" db-id="vpvwwesevd5wa1er2d5x9apvfp0xservaxtf" timestamp="1787626024" guid="d4a25b4a-3d3b-4de2-ba59-0dbff4e9853c"&gt;452&lt;/key&gt;&lt;/foreign-keys&gt;&lt;ref-type name="Journal Article"&gt;17&lt;/ref-type&gt;&lt;contributors&gt;&lt;authors&gt;&lt;author&gt;Giancarlo Sabetta&lt;/author&gt;&lt;author&gt;Xiaoyue Zhang&lt;/author&gt;&lt;author&gt;Jie Yang&lt;/author&gt;&lt;author&gt;Saleem Zaidi&lt;/author&gt;&lt;author&gt;Jonathon Schwartz&lt;/author&gt;&lt;/authors&gt;&lt;/contributors&gt;&lt;titles&gt;&lt;title&gt;Determinants of Baseline Membrane Lung Resistance in Extracorporeal Membrane Oxygenation&lt;/title&gt;&lt;secondary-title&gt;Artificial Organs&lt;/secondary-title&gt;&lt;/titles&gt;&lt;periodical&gt;&lt;full-title&gt;Artificial Organs&lt;/full-title&gt;&lt;abbr-1&gt;Artif Organs&lt;/abbr-1&gt;&lt;/periodical&gt;&lt;dates&gt;&lt;year&gt;2026&lt;/year&gt;&lt;/dates&gt;&lt;isbn&gt;1525-1594&lt;/isbn&gt;&lt;urls&gt;&lt;related-urls&gt;&lt;url&gt;https://onlinelibrary.wiley.com/doi/10.1111/aor.70210&lt;/url&gt;&lt;url&gt;https://onlinelibrary.wiley.com/doi/pdfdirect/10.1111/aor.70210?download=true&lt;/url&gt;&lt;/related-urls&gt;&lt;/urls&gt;&lt;electronic-resource-num&gt;10.1111/aor.70210&lt;/electronic-resource-num&gt;&lt;/record&gt;&lt;/Cite&gt;&lt;/EndNote&gt;</w:instrTex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separate"/>
            </w:r>
            <w:r w:rsidRPr="00862985">
              <w:rPr>
                <w:rFonts w:eastAsia="Times New Roman"/>
                <w:noProof/>
                <w:color w:val="000000"/>
                <w:sz w:val="20"/>
                <w:szCs w:val="20"/>
                <w:vertAlign w:val="superscript"/>
                <w:lang w:val="en-US"/>
              </w:rPr>
              <w:t>20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  <w:tr w:rsidR="00415049" w:rsidRPr="007D1988" w14:paraId="5443A9F6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23D2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00C5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Drainage Limb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A319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71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BDE15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3/8" ID tubing</w:t>
            </w:r>
          </w:p>
        </w:tc>
      </w:tr>
      <w:tr w:rsidR="00415049" w:rsidRPr="007D1988" w14:paraId="7507F37B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3682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3E189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Return Limb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0031D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71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427CE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3/8" ID tubing</w:t>
            </w:r>
          </w:p>
        </w:tc>
      </w:tr>
      <w:tr w:rsidR="00415049" w:rsidRPr="007D1988" w14:paraId="5D083DA0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4BA3B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94FB6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Drainage Limb Resistance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3D0A2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1.5 </w:t>
            </w:r>
            <w:proofErr w:type="spellStart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mmHg·min</w:t>
            </w:r>
            <w:proofErr w:type="spellEnd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/L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7B6AF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3/8" ID tubing</w:t>
            </w:r>
          </w:p>
        </w:tc>
      </w:tr>
      <w:tr w:rsidR="00415049" w:rsidRPr="007D1988" w14:paraId="1B6425E4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10C1A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A0748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Return Limb Resistance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613B8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1.5 </w:t>
            </w:r>
            <w:proofErr w:type="spellStart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mmHg·min</w:t>
            </w:r>
            <w:proofErr w:type="spellEnd"/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/L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F6D62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3/8" ID tubing</w:t>
            </w:r>
          </w:p>
        </w:tc>
      </w:tr>
      <w:tr w:rsidR="00415049" w:rsidRPr="007D1988" w14:paraId="4CD22313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E54C5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70B90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Inlet Probe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39935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5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976E0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Typical</w:t>
            </w:r>
          </w:p>
        </w:tc>
      </w:tr>
      <w:tr w:rsidR="00415049" w:rsidRPr="007D1988" w14:paraId="30DD19B2" w14:textId="77777777" w:rsidTr="004E6F13">
        <w:trPr>
          <w:trHeight w:val="290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8767B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Circuit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619B5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>Outlet Probe Volume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52A76" w14:textId="77777777" w:rsidR="00415049" w:rsidRPr="004A426A" w:rsidRDefault="00415049" w:rsidP="004E6F1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</w:pPr>
            <w:r w:rsidRPr="004A426A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5 mL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AFEC8" w14:textId="77777777" w:rsidR="00415049" w:rsidRPr="007D1988" w:rsidRDefault="00415049" w:rsidP="004E6F1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7D1988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Typical </w:t>
            </w:r>
          </w:p>
        </w:tc>
      </w:tr>
    </w:tbl>
    <w:p w14:paraId="2D2F8FBE" w14:textId="77777777" w:rsidR="00415049" w:rsidRPr="00D619DE" w:rsidRDefault="00415049" w:rsidP="00415049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D619D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lastRenderedPageBreak/>
        <w:t>Table S</w:t>
      </w:r>
      <w:r w:rsidRPr="00D619DE">
        <w:rPr>
          <w:rFonts w:ascii="Times New Roman" w:hAnsi="Times New Roman" w:cs="Times New Roman" w:hint="eastAsia"/>
          <w:b/>
          <w:bCs/>
          <w:i w:val="0"/>
          <w:iCs w:val="0"/>
          <w:color w:val="000000" w:themeColor="text1"/>
          <w:sz w:val="22"/>
          <w:szCs w:val="22"/>
        </w:rPr>
        <w:t>3</w:t>
      </w:r>
      <w:r w:rsidRPr="00D619D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:</w:t>
      </w:r>
      <w:r w:rsidRPr="00D619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Summary of proportional integral performance based on cannula sizes (Fr) and gain coefficients (</w:t>
      </w:r>
      <w:proofErr w:type="spellStart"/>
      <w:r w:rsidRPr="00D619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Kp</w:t>
      </w:r>
      <w:proofErr w:type="spellEnd"/>
      <w:r w:rsidRPr="00D619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and Ti)</w:t>
      </w:r>
    </w:p>
    <w:tbl>
      <w:tblPr>
        <w:tblStyle w:val="GridTable1Light"/>
        <w:tblW w:w="13691" w:type="dxa"/>
        <w:tblLook w:val="04A0" w:firstRow="1" w:lastRow="0" w:firstColumn="1" w:lastColumn="0" w:noHBand="0" w:noVBand="1"/>
      </w:tblPr>
      <w:tblGrid>
        <w:gridCol w:w="705"/>
        <w:gridCol w:w="1063"/>
        <w:gridCol w:w="705"/>
        <w:gridCol w:w="1957"/>
        <w:gridCol w:w="2963"/>
        <w:gridCol w:w="2855"/>
        <w:gridCol w:w="3443"/>
      </w:tblGrid>
      <w:tr w:rsidR="00415049" w:rsidRPr="000B34DD" w14:paraId="16DFEFC9" w14:textId="77777777" w:rsidTr="004E6F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14AA29D8" w14:textId="77777777" w:rsidR="00415049" w:rsidRPr="00C73D11" w:rsidRDefault="00415049" w:rsidP="004E6F13">
            <w:pPr>
              <w:jc w:val="center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Fr</w:t>
            </w:r>
          </w:p>
        </w:tc>
        <w:tc>
          <w:tcPr>
            <w:tcW w:w="1063" w:type="dxa"/>
            <w:noWrap/>
            <w:hideMark/>
          </w:tcPr>
          <w:p w14:paraId="5F13F153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proofErr w:type="spellStart"/>
            <w:r w:rsidRPr="00C73D11">
              <w:rPr>
                <w:rFonts w:eastAsia="Times New Roman"/>
                <w:lang w:val="en-US"/>
              </w:rPr>
              <w:t>Kp</w:t>
            </w:r>
            <w:proofErr w:type="spellEnd"/>
          </w:p>
        </w:tc>
        <w:tc>
          <w:tcPr>
            <w:tcW w:w="705" w:type="dxa"/>
            <w:noWrap/>
            <w:hideMark/>
          </w:tcPr>
          <w:p w14:paraId="1B1DDD4A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Ti</w:t>
            </w:r>
          </w:p>
        </w:tc>
        <w:tc>
          <w:tcPr>
            <w:tcW w:w="1957" w:type="dxa"/>
            <w:noWrap/>
            <w:hideMark/>
          </w:tcPr>
          <w:p w14:paraId="63BF1514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Rise Time (seconds)</w:t>
            </w:r>
          </w:p>
        </w:tc>
        <w:tc>
          <w:tcPr>
            <w:tcW w:w="2963" w:type="dxa"/>
            <w:noWrap/>
            <w:hideMark/>
          </w:tcPr>
          <w:p w14:paraId="34989F1F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% Flow Overshoot</w:t>
            </w:r>
          </w:p>
        </w:tc>
        <w:tc>
          <w:tcPr>
            <w:tcW w:w="2855" w:type="dxa"/>
            <w:noWrap/>
            <w:hideMark/>
          </w:tcPr>
          <w:p w14:paraId="5E1D2F98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Error</w:t>
            </w:r>
          </w:p>
          <w:p w14:paraId="20B7B110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(SvO</w:t>
            </w:r>
            <w:r w:rsidRPr="00C73D11">
              <w:rPr>
                <w:rFonts w:eastAsia="Times New Roman"/>
                <w:vertAlign w:val="subscript"/>
                <w:lang w:val="en-US"/>
              </w:rPr>
              <w:t>2</w:t>
            </w:r>
            <w:r w:rsidRPr="00C73D11">
              <w:rPr>
                <w:rFonts w:eastAsia="Times New Roman"/>
                <w:lang w:val="en-US"/>
              </w:rPr>
              <w:t xml:space="preserve"> – Setpoint)</w:t>
            </w:r>
          </w:p>
        </w:tc>
        <w:tc>
          <w:tcPr>
            <w:tcW w:w="3443" w:type="dxa"/>
            <w:noWrap/>
            <w:hideMark/>
          </w:tcPr>
          <w:p w14:paraId="42107A4B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>Time to Steady State</w:t>
            </w:r>
          </w:p>
          <w:p w14:paraId="0D307407" w14:textId="77777777" w:rsidR="00415049" w:rsidRPr="00C73D11" w:rsidRDefault="00415049" w:rsidP="004E6F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C73D11">
              <w:rPr>
                <w:rFonts w:eastAsia="Times New Roman"/>
                <w:lang w:val="en-US"/>
              </w:rPr>
              <w:t xml:space="preserve"> (seconds)</w:t>
            </w:r>
          </w:p>
        </w:tc>
      </w:tr>
      <w:tr w:rsidR="00415049" w:rsidRPr="000B34DD" w14:paraId="11942933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27FEB130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063" w:type="dxa"/>
            <w:noWrap/>
            <w:hideMark/>
          </w:tcPr>
          <w:p w14:paraId="70E036A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649CC788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6D9F8EC9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221</w:t>
            </w:r>
          </w:p>
        </w:tc>
        <w:tc>
          <w:tcPr>
            <w:tcW w:w="2963" w:type="dxa"/>
            <w:noWrap/>
            <w:hideMark/>
          </w:tcPr>
          <w:p w14:paraId="1D35A1D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2.86E-12</w:t>
            </w:r>
          </w:p>
        </w:tc>
        <w:tc>
          <w:tcPr>
            <w:tcW w:w="2855" w:type="dxa"/>
            <w:noWrap/>
            <w:hideMark/>
          </w:tcPr>
          <w:p w14:paraId="2D8D9EE0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0.6918</w:t>
            </w:r>
          </w:p>
        </w:tc>
        <w:tc>
          <w:tcPr>
            <w:tcW w:w="3443" w:type="dxa"/>
            <w:noWrap/>
            <w:hideMark/>
          </w:tcPr>
          <w:p w14:paraId="2D14C9F3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440</w:t>
            </w:r>
          </w:p>
        </w:tc>
      </w:tr>
      <w:tr w:rsidR="00415049" w:rsidRPr="000B34DD" w14:paraId="653BED65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7BFD4CA9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063" w:type="dxa"/>
            <w:noWrap/>
            <w:hideMark/>
          </w:tcPr>
          <w:p w14:paraId="3F72E60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35EEA2E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1EEB8EDF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899</w:t>
            </w:r>
          </w:p>
        </w:tc>
        <w:tc>
          <w:tcPr>
            <w:tcW w:w="2963" w:type="dxa"/>
            <w:noWrap/>
            <w:hideMark/>
          </w:tcPr>
          <w:p w14:paraId="4DD4C18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1.7853</w:t>
            </w:r>
          </w:p>
        </w:tc>
        <w:tc>
          <w:tcPr>
            <w:tcW w:w="2855" w:type="dxa"/>
            <w:noWrap/>
            <w:hideMark/>
          </w:tcPr>
          <w:p w14:paraId="76111A94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2.1785</w:t>
            </w:r>
            <w:r>
              <w:rPr>
                <w:rFonts w:eastAsia="Times New Roman"/>
                <w:lang w:val="en-US"/>
              </w:rPr>
              <w:t>*</w:t>
            </w:r>
          </w:p>
        </w:tc>
        <w:tc>
          <w:tcPr>
            <w:tcW w:w="3443" w:type="dxa"/>
            <w:noWrap/>
            <w:hideMark/>
          </w:tcPr>
          <w:p w14:paraId="093584FF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Does not reach steady state</w:t>
            </w:r>
          </w:p>
        </w:tc>
      </w:tr>
      <w:tr w:rsidR="00415049" w:rsidRPr="000B34DD" w14:paraId="41360B6B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470F35D3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063" w:type="dxa"/>
            <w:noWrap/>
            <w:hideMark/>
          </w:tcPr>
          <w:p w14:paraId="2D90BC5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24962388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2EDDEEA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2963" w:type="dxa"/>
            <w:noWrap/>
            <w:hideMark/>
          </w:tcPr>
          <w:p w14:paraId="131932C5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2.43E-12</w:t>
            </w:r>
          </w:p>
        </w:tc>
        <w:tc>
          <w:tcPr>
            <w:tcW w:w="2855" w:type="dxa"/>
            <w:noWrap/>
            <w:hideMark/>
          </w:tcPr>
          <w:p w14:paraId="48BD689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0.6886</w:t>
            </w:r>
          </w:p>
        </w:tc>
        <w:tc>
          <w:tcPr>
            <w:tcW w:w="3443" w:type="dxa"/>
            <w:noWrap/>
            <w:hideMark/>
          </w:tcPr>
          <w:p w14:paraId="2562251A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345</w:t>
            </w:r>
          </w:p>
        </w:tc>
      </w:tr>
      <w:tr w:rsidR="00415049" w:rsidRPr="000B34DD" w14:paraId="5440E995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5160F1D2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063" w:type="dxa"/>
            <w:noWrap/>
            <w:hideMark/>
          </w:tcPr>
          <w:p w14:paraId="0F29D8F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53761144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73812FBF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192</w:t>
            </w:r>
          </w:p>
        </w:tc>
        <w:tc>
          <w:tcPr>
            <w:tcW w:w="2963" w:type="dxa"/>
            <w:noWrap/>
            <w:hideMark/>
          </w:tcPr>
          <w:p w14:paraId="3E11AE9E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3.02E-12</w:t>
            </w:r>
          </w:p>
        </w:tc>
        <w:tc>
          <w:tcPr>
            <w:tcW w:w="2855" w:type="dxa"/>
            <w:noWrap/>
            <w:hideMark/>
          </w:tcPr>
          <w:p w14:paraId="4764C388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0.694</w:t>
            </w:r>
          </w:p>
        </w:tc>
        <w:tc>
          <w:tcPr>
            <w:tcW w:w="3443" w:type="dxa"/>
            <w:noWrap/>
            <w:hideMark/>
          </w:tcPr>
          <w:p w14:paraId="7FAE13F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412</w:t>
            </w:r>
          </w:p>
        </w:tc>
      </w:tr>
      <w:tr w:rsidR="00415049" w:rsidRPr="000B34DD" w14:paraId="63B6B14B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594DE6E6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1063" w:type="dxa"/>
            <w:noWrap/>
            <w:hideMark/>
          </w:tcPr>
          <w:p w14:paraId="1C9FE35E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3CE2508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5137706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82</w:t>
            </w:r>
          </w:p>
        </w:tc>
        <w:tc>
          <w:tcPr>
            <w:tcW w:w="2963" w:type="dxa"/>
            <w:noWrap/>
            <w:hideMark/>
          </w:tcPr>
          <w:p w14:paraId="56DF1B5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27.0328</w:t>
            </w:r>
          </w:p>
        </w:tc>
        <w:tc>
          <w:tcPr>
            <w:tcW w:w="2855" w:type="dxa"/>
            <w:noWrap/>
            <w:hideMark/>
          </w:tcPr>
          <w:p w14:paraId="4827E9B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0.0201</w:t>
            </w:r>
          </w:p>
        </w:tc>
        <w:tc>
          <w:tcPr>
            <w:tcW w:w="3443" w:type="dxa"/>
            <w:noWrap/>
            <w:hideMark/>
          </w:tcPr>
          <w:p w14:paraId="3E3DCB8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195</w:t>
            </w:r>
          </w:p>
        </w:tc>
      </w:tr>
      <w:tr w:rsidR="00415049" w:rsidRPr="000B34DD" w14:paraId="4E0E4224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72BC789D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1063" w:type="dxa"/>
            <w:noWrap/>
            <w:hideMark/>
          </w:tcPr>
          <w:p w14:paraId="436C0E3B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236AB63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4FDC379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698</w:t>
            </w:r>
          </w:p>
        </w:tc>
        <w:tc>
          <w:tcPr>
            <w:tcW w:w="2963" w:type="dxa"/>
            <w:noWrap/>
            <w:hideMark/>
          </w:tcPr>
          <w:p w14:paraId="4E4D61C3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0.6484</w:t>
            </w:r>
          </w:p>
        </w:tc>
        <w:tc>
          <w:tcPr>
            <w:tcW w:w="2855" w:type="dxa"/>
            <w:noWrap/>
            <w:hideMark/>
          </w:tcPr>
          <w:p w14:paraId="09AC61B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0.468</w:t>
            </w:r>
          </w:p>
        </w:tc>
        <w:tc>
          <w:tcPr>
            <w:tcW w:w="3443" w:type="dxa"/>
            <w:noWrap/>
            <w:hideMark/>
          </w:tcPr>
          <w:p w14:paraId="352E58B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780</w:t>
            </w:r>
          </w:p>
        </w:tc>
      </w:tr>
      <w:tr w:rsidR="00415049" w:rsidRPr="000B34DD" w14:paraId="7C98EDAE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140C3ADE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1063" w:type="dxa"/>
            <w:noWrap/>
            <w:hideMark/>
          </w:tcPr>
          <w:p w14:paraId="343B1DAE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5AEE7D8B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0A53157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8</w:t>
            </w:r>
          </w:p>
        </w:tc>
        <w:tc>
          <w:tcPr>
            <w:tcW w:w="2963" w:type="dxa"/>
            <w:noWrap/>
            <w:hideMark/>
          </w:tcPr>
          <w:p w14:paraId="306B332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144.5452</w:t>
            </w:r>
          </w:p>
        </w:tc>
        <w:tc>
          <w:tcPr>
            <w:tcW w:w="2855" w:type="dxa"/>
            <w:noWrap/>
            <w:hideMark/>
          </w:tcPr>
          <w:p w14:paraId="1B96062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0.0029</w:t>
            </w:r>
          </w:p>
        </w:tc>
        <w:tc>
          <w:tcPr>
            <w:tcW w:w="3443" w:type="dxa"/>
            <w:noWrap/>
            <w:hideMark/>
          </w:tcPr>
          <w:p w14:paraId="65760B35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260</w:t>
            </w:r>
          </w:p>
        </w:tc>
      </w:tr>
      <w:tr w:rsidR="00415049" w:rsidRPr="000B34DD" w14:paraId="11BD8FEC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11E32EF7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1063" w:type="dxa"/>
            <w:noWrap/>
            <w:hideMark/>
          </w:tcPr>
          <w:p w14:paraId="538D6BDB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736F9E40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1C16FA75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46</w:t>
            </w:r>
          </w:p>
        </w:tc>
        <w:tc>
          <w:tcPr>
            <w:tcW w:w="2963" w:type="dxa"/>
            <w:noWrap/>
            <w:hideMark/>
          </w:tcPr>
          <w:p w14:paraId="38932210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20.3093</w:t>
            </w:r>
          </w:p>
        </w:tc>
        <w:tc>
          <w:tcPr>
            <w:tcW w:w="2855" w:type="dxa"/>
            <w:noWrap/>
            <w:hideMark/>
          </w:tcPr>
          <w:p w14:paraId="7F8E853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0.0076</w:t>
            </w:r>
          </w:p>
        </w:tc>
        <w:tc>
          <w:tcPr>
            <w:tcW w:w="3443" w:type="dxa"/>
            <w:noWrap/>
            <w:hideMark/>
          </w:tcPr>
          <w:p w14:paraId="1998B0A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178</w:t>
            </w:r>
          </w:p>
        </w:tc>
      </w:tr>
      <w:tr w:rsidR="00415049" w:rsidRPr="000B34DD" w14:paraId="70BCD073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30470C61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31</w:t>
            </w:r>
          </w:p>
        </w:tc>
        <w:tc>
          <w:tcPr>
            <w:tcW w:w="1063" w:type="dxa"/>
            <w:noWrap/>
            <w:hideMark/>
          </w:tcPr>
          <w:p w14:paraId="30B2AF3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51F7CF5B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2ADAA6C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50</w:t>
            </w:r>
          </w:p>
        </w:tc>
        <w:tc>
          <w:tcPr>
            <w:tcW w:w="2963" w:type="dxa"/>
            <w:noWrap/>
            <w:hideMark/>
          </w:tcPr>
          <w:p w14:paraId="213C2C0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47.8647</w:t>
            </w:r>
          </w:p>
        </w:tc>
        <w:tc>
          <w:tcPr>
            <w:tcW w:w="2855" w:type="dxa"/>
            <w:noWrap/>
            <w:hideMark/>
          </w:tcPr>
          <w:p w14:paraId="1C70FFC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-7.43E-04</w:t>
            </w:r>
          </w:p>
        </w:tc>
        <w:tc>
          <w:tcPr>
            <w:tcW w:w="3443" w:type="dxa"/>
            <w:noWrap/>
            <w:hideMark/>
          </w:tcPr>
          <w:p w14:paraId="3612225B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</w:t>
            </w:r>
          </w:p>
        </w:tc>
      </w:tr>
      <w:tr w:rsidR="00415049" w:rsidRPr="000B34DD" w14:paraId="0AE0C877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1695D25A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31</w:t>
            </w:r>
          </w:p>
        </w:tc>
        <w:tc>
          <w:tcPr>
            <w:tcW w:w="1063" w:type="dxa"/>
            <w:noWrap/>
            <w:hideMark/>
          </w:tcPr>
          <w:p w14:paraId="0CB382DE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1000</w:t>
            </w:r>
          </w:p>
        </w:tc>
        <w:tc>
          <w:tcPr>
            <w:tcW w:w="705" w:type="dxa"/>
            <w:noWrap/>
            <w:hideMark/>
          </w:tcPr>
          <w:p w14:paraId="5DB02CA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4AADF0B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483</w:t>
            </w:r>
          </w:p>
        </w:tc>
        <w:tc>
          <w:tcPr>
            <w:tcW w:w="2963" w:type="dxa"/>
            <w:noWrap/>
            <w:hideMark/>
          </w:tcPr>
          <w:p w14:paraId="0DF955FC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0.1866</w:t>
            </w:r>
          </w:p>
        </w:tc>
        <w:tc>
          <w:tcPr>
            <w:tcW w:w="2855" w:type="dxa"/>
            <w:noWrap/>
            <w:hideMark/>
          </w:tcPr>
          <w:p w14:paraId="3164576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0.106</w:t>
            </w:r>
          </w:p>
        </w:tc>
        <w:tc>
          <w:tcPr>
            <w:tcW w:w="3443" w:type="dxa"/>
            <w:noWrap/>
            <w:hideMark/>
          </w:tcPr>
          <w:p w14:paraId="717AB0E2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509</w:t>
            </w:r>
          </w:p>
        </w:tc>
      </w:tr>
      <w:tr w:rsidR="00415049" w:rsidRPr="000B34DD" w14:paraId="7D5DFC2C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6C77222B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31</w:t>
            </w:r>
          </w:p>
        </w:tc>
        <w:tc>
          <w:tcPr>
            <w:tcW w:w="1063" w:type="dxa"/>
            <w:noWrap/>
            <w:hideMark/>
          </w:tcPr>
          <w:p w14:paraId="3166BA84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4D0E2D33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57" w:type="dxa"/>
            <w:noWrap/>
            <w:hideMark/>
          </w:tcPr>
          <w:p w14:paraId="33E8CFC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</w:t>
            </w:r>
          </w:p>
        </w:tc>
        <w:tc>
          <w:tcPr>
            <w:tcW w:w="2963" w:type="dxa"/>
            <w:noWrap/>
            <w:hideMark/>
          </w:tcPr>
          <w:p w14:paraId="0578AFE3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194.5251</w:t>
            </w:r>
          </w:p>
        </w:tc>
        <w:tc>
          <w:tcPr>
            <w:tcW w:w="2855" w:type="dxa"/>
            <w:noWrap/>
            <w:hideMark/>
          </w:tcPr>
          <w:p w14:paraId="020044BA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3.06E-04</w:t>
            </w:r>
          </w:p>
        </w:tc>
        <w:tc>
          <w:tcPr>
            <w:tcW w:w="3443" w:type="dxa"/>
            <w:noWrap/>
            <w:hideMark/>
          </w:tcPr>
          <w:p w14:paraId="5F593BF5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303</w:t>
            </w:r>
          </w:p>
        </w:tc>
      </w:tr>
      <w:tr w:rsidR="00415049" w:rsidRPr="000B34DD" w14:paraId="0A234E92" w14:textId="77777777" w:rsidTr="004E6F1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noWrap/>
            <w:hideMark/>
          </w:tcPr>
          <w:p w14:paraId="19A0107C" w14:textId="77777777" w:rsidR="00415049" w:rsidRPr="000B34DD" w:rsidRDefault="00415049" w:rsidP="004E6F13">
            <w:pPr>
              <w:jc w:val="right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31</w:t>
            </w:r>
          </w:p>
        </w:tc>
        <w:tc>
          <w:tcPr>
            <w:tcW w:w="1063" w:type="dxa"/>
            <w:noWrap/>
            <w:hideMark/>
          </w:tcPr>
          <w:p w14:paraId="2CA51920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4000</w:t>
            </w:r>
          </w:p>
        </w:tc>
        <w:tc>
          <w:tcPr>
            <w:tcW w:w="705" w:type="dxa"/>
            <w:noWrap/>
            <w:hideMark/>
          </w:tcPr>
          <w:p w14:paraId="54C19D51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57" w:type="dxa"/>
            <w:noWrap/>
            <w:hideMark/>
          </w:tcPr>
          <w:p w14:paraId="22BD0B36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12</w:t>
            </w:r>
          </w:p>
        </w:tc>
        <w:tc>
          <w:tcPr>
            <w:tcW w:w="2963" w:type="dxa"/>
            <w:noWrap/>
            <w:hideMark/>
          </w:tcPr>
          <w:p w14:paraId="4963E7D7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37.3319</w:t>
            </w:r>
          </w:p>
        </w:tc>
        <w:tc>
          <w:tcPr>
            <w:tcW w:w="2855" w:type="dxa"/>
            <w:noWrap/>
            <w:hideMark/>
          </w:tcPr>
          <w:p w14:paraId="18C1F90D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0.0042</w:t>
            </w:r>
          </w:p>
        </w:tc>
        <w:tc>
          <w:tcPr>
            <w:tcW w:w="3443" w:type="dxa"/>
            <w:noWrap/>
            <w:hideMark/>
          </w:tcPr>
          <w:p w14:paraId="647C284F" w14:textId="77777777" w:rsidR="00415049" w:rsidRPr="000B34DD" w:rsidRDefault="00415049" w:rsidP="004E6F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0B34DD">
              <w:rPr>
                <w:rFonts w:eastAsia="Times New Roman"/>
                <w:lang w:val="en-US"/>
              </w:rPr>
              <w:t>138</w:t>
            </w:r>
          </w:p>
        </w:tc>
      </w:tr>
    </w:tbl>
    <w:p w14:paraId="0789F1C9" w14:textId="77777777" w:rsidR="00415049" w:rsidRDefault="00415049" w:rsidP="00415049">
      <w:pPr>
        <w:spacing w:line="480" w:lineRule="auto"/>
        <w:rPr>
          <w:lang w:val="en-US"/>
        </w:rPr>
      </w:pPr>
    </w:p>
    <w:p w14:paraId="520D6F14" w14:textId="77777777" w:rsidR="00415049" w:rsidRDefault="00415049" w:rsidP="00415049">
      <w:pPr>
        <w:spacing w:line="480" w:lineRule="auto"/>
        <w:rPr>
          <w:lang w:val="en-US"/>
        </w:rPr>
      </w:pPr>
      <w:r>
        <w:rPr>
          <w:rFonts w:hint="eastAsia"/>
          <w:lang w:val="en-US"/>
        </w:rPr>
        <w:t>Fr: French, SvO</w:t>
      </w:r>
      <w:r w:rsidRPr="002447B7">
        <w:rPr>
          <w:rFonts w:hint="eastAsia"/>
          <w:vertAlign w:val="subscript"/>
          <w:lang w:val="en-US"/>
        </w:rPr>
        <w:t>2</w:t>
      </w:r>
      <w:r>
        <w:rPr>
          <w:rFonts w:hint="eastAsia"/>
          <w:lang w:val="en-US"/>
        </w:rPr>
        <w:t xml:space="preserve">: venous oxyhemoglobin saturation, </w:t>
      </w:r>
    </w:p>
    <w:p w14:paraId="686B41E8" w14:textId="77777777" w:rsidR="00415049" w:rsidRDefault="00415049" w:rsidP="00415049">
      <w:pPr>
        <w:spacing w:line="480" w:lineRule="auto"/>
        <w:rPr>
          <w:lang w:val="en-US"/>
        </w:rPr>
      </w:pPr>
      <w:r>
        <w:rPr>
          <w:rFonts w:hint="eastAsia"/>
          <w:lang w:val="en-US"/>
        </w:rPr>
        <w:t xml:space="preserve">* Though this simulation scenario did not reach a steady state, error was estimated based on the last 100 seconds of the simulated duration </w:t>
      </w:r>
    </w:p>
    <w:p w14:paraId="1981FC4A" w14:textId="77777777" w:rsidR="00A91650" w:rsidRDefault="00A91650"/>
    <w:sectPr w:rsidR="00A91650" w:rsidSect="0041504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B717A"/>
    <w:multiLevelType w:val="multilevel"/>
    <w:tmpl w:val="638A3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20011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49"/>
    <w:rsid w:val="000E2EDD"/>
    <w:rsid w:val="002C18BA"/>
    <w:rsid w:val="00415049"/>
    <w:rsid w:val="00A91650"/>
    <w:rsid w:val="00CD53DF"/>
    <w:rsid w:val="00E559FE"/>
    <w:rsid w:val="00E6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D5014"/>
  <w15:chartTrackingRefBased/>
  <w15:docId w15:val="{F8690C0B-FC6A-43EF-A3B4-BDA5E3C9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49"/>
    <w:pPr>
      <w:spacing w:after="0" w:line="240" w:lineRule="auto"/>
    </w:pPr>
    <w:rPr>
      <w:rFonts w:ascii="Times New Roman" w:eastAsia="MS Mincho" w:hAnsi="Times New Roman" w:cs="Times New Roman"/>
      <w:kern w:val="0"/>
      <w:lang w:val="de-DE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0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0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0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0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0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049"/>
    <w:rPr>
      <w:b/>
      <w:bCs/>
      <w:smallCaps/>
      <w:color w:val="0F4761" w:themeColor="accent1" w:themeShade="BF"/>
      <w:spacing w:val="5"/>
    </w:rPr>
  </w:style>
  <w:style w:type="paragraph" w:customStyle="1" w:styleId="Acknowledgements">
    <w:name w:val="Acknowledgements"/>
    <w:basedOn w:val="Normal"/>
    <w:rsid w:val="00415049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15049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15049"/>
    <w:pPr>
      <w:spacing w:after="200"/>
    </w:pPr>
    <w:rPr>
      <w:rFonts w:asciiTheme="minorHAnsi" w:eastAsiaTheme="minorEastAsia" w:hAnsiTheme="minorHAnsi" w:cstheme="minorBidi"/>
      <w:i/>
      <w:iCs/>
      <w:color w:val="0E2841" w:themeColor="text2"/>
      <w:kern w:val="2"/>
      <w:sz w:val="18"/>
      <w:szCs w:val="18"/>
      <w:lang w:val="en-US"/>
      <w14:ligatures w14:val="standardContextual"/>
    </w:rPr>
  </w:style>
  <w:style w:type="table" w:styleId="GridTable1Light">
    <w:name w:val="Grid Table 1 Light"/>
    <w:basedOn w:val="TableNormal"/>
    <w:uiPriority w:val="46"/>
    <w:rsid w:val="00415049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7509</Characters>
  <Application>Microsoft Office Word</Application>
  <DocSecurity>0</DocSecurity>
  <Lines>62</Lines>
  <Paragraphs>17</Paragraphs>
  <ScaleCrop>false</ScaleCrop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2026-11-03T15:21:00Z</dcterms:created>
  <dcterms:modified xsi:type="dcterms:W3CDTF">2026-11-03T15:21:00Z</dcterms:modified>
</cp:coreProperties>
</file>