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68E1A1" w14:textId="2BA43C87" w:rsidR="0093362D" w:rsidRPr="00D95FA2" w:rsidRDefault="00907AE5" w:rsidP="00907AE5">
      <w:pPr>
        <w:jc w:val="center"/>
        <w:rPr>
          <w:rFonts w:ascii="Calibri" w:hAnsi="Calibri" w:cs="Calibri"/>
          <w:b/>
          <w:bCs/>
        </w:rPr>
      </w:pPr>
      <w:r>
        <w:rPr>
          <w:rFonts w:ascii="Calibri" w:hAnsi="Calibri" w:cs="Calibri"/>
          <w:b/>
          <w:bCs/>
        </w:rPr>
        <w:t>Supplementary materials</w:t>
      </w:r>
    </w:p>
    <w:p w14:paraId="66A4AB30" w14:textId="77777777" w:rsidR="0093362D" w:rsidRPr="00D95FA2" w:rsidRDefault="0093362D" w:rsidP="0093362D">
      <w:pPr>
        <w:rPr>
          <w:rFonts w:ascii="Calibri" w:hAnsi="Calibri" w:cs="Calibri"/>
          <w:b/>
          <w:bCs/>
        </w:rPr>
      </w:pPr>
    </w:p>
    <w:p w14:paraId="0A72B3EE" w14:textId="5BCC885D" w:rsidR="0093362D" w:rsidRPr="00907AE5" w:rsidRDefault="0093362D" w:rsidP="00907AE5">
      <w:pPr>
        <w:rPr>
          <w:rFonts w:ascii="Calibri" w:hAnsi="Calibri" w:cs="Calibri"/>
          <w:b/>
          <w:bCs/>
        </w:rPr>
      </w:pPr>
      <w:r w:rsidRPr="00907AE5">
        <w:rPr>
          <w:rFonts w:ascii="Calibri" w:hAnsi="Calibri" w:cs="Calibri"/>
          <w:b/>
          <w:bCs/>
        </w:rPr>
        <w:t>Example entries from</w:t>
      </w:r>
      <w:r w:rsidR="00907AE5">
        <w:rPr>
          <w:rFonts w:ascii="Calibri" w:hAnsi="Calibri" w:cs="Calibri"/>
          <w:b/>
          <w:bCs/>
        </w:rPr>
        <w:t xml:space="preserve"> first author’s</w:t>
      </w:r>
      <w:r w:rsidRPr="00907AE5">
        <w:rPr>
          <w:rFonts w:ascii="Calibri" w:hAnsi="Calibri" w:cs="Calibri"/>
          <w:b/>
          <w:bCs/>
        </w:rPr>
        <w:t xml:space="preserve"> </w:t>
      </w:r>
      <w:r w:rsidR="00907AE5">
        <w:rPr>
          <w:rFonts w:ascii="Calibri" w:hAnsi="Calibri" w:cs="Calibri"/>
          <w:b/>
          <w:bCs/>
        </w:rPr>
        <w:t>r</w:t>
      </w:r>
      <w:r w:rsidRPr="00907AE5">
        <w:rPr>
          <w:rFonts w:ascii="Calibri" w:hAnsi="Calibri" w:cs="Calibri"/>
          <w:b/>
          <w:bCs/>
        </w:rPr>
        <w:t xml:space="preserve">eflexivity </w:t>
      </w:r>
      <w:r w:rsidR="00907AE5">
        <w:rPr>
          <w:rFonts w:ascii="Calibri" w:hAnsi="Calibri" w:cs="Calibri"/>
          <w:b/>
          <w:bCs/>
        </w:rPr>
        <w:t>j</w:t>
      </w:r>
      <w:r w:rsidRPr="00907AE5">
        <w:rPr>
          <w:rFonts w:ascii="Calibri" w:hAnsi="Calibri" w:cs="Calibri"/>
          <w:b/>
          <w:bCs/>
        </w:rPr>
        <w:t>ournal</w:t>
      </w:r>
    </w:p>
    <w:p w14:paraId="7B2DE0DA" w14:textId="77777777" w:rsidR="0093362D" w:rsidRPr="00D95FA2" w:rsidRDefault="0093362D" w:rsidP="0093362D">
      <w:pPr>
        <w:rPr>
          <w:rFonts w:ascii="Calibri" w:hAnsi="Calibri" w:cs="Calibri"/>
          <w:b/>
          <w:bCs/>
          <w:u w:val="single"/>
        </w:rPr>
      </w:pPr>
    </w:p>
    <w:p w14:paraId="2A1801F5" w14:textId="77777777" w:rsidR="0093362D" w:rsidRPr="00907AE5" w:rsidRDefault="0093362D" w:rsidP="0093362D">
      <w:pPr>
        <w:rPr>
          <w:rFonts w:ascii="Calibri" w:hAnsi="Calibri" w:cs="Calibri"/>
          <w:b/>
          <w:bCs/>
          <w:u w:val="single"/>
        </w:rPr>
      </w:pPr>
      <w:r w:rsidRPr="00907AE5">
        <w:rPr>
          <w:rFonts w:ascii="Calibri" w:hAnsi="Calibri" w:cs="Calibri"/>
          <w:b/>
          <w:bCs/>
          <w:u w:val="single"/>
        </w:rPr>
        <w:t>12.12.2024</w:t>
      </w:r>
    </w:p>
    <w:p w14:paraId="760FEA18" w14:textId="77777777" w:rsidR="0093362D" w:rsidRPr="00D95FA2" w:rsidRDefault="0093362D" w:rsidP="0093362D">
      <w:pPr>
        <w:rPr>
          <w:rFonts w:ascii="Calibri" w:hAnsi="Calibri" w:cs="Calibri"/>
        </w:rPr>
      </w:pPr>
    </w:p>
    <w:p w14:paraId="6D5614EF" w14:textId="673FA8FE" w:rsidR="0093362D" w:rsidRPr="00907AE5" w:rsidRDefault="0093362D" w:rsidP="0093362D">
      <w:pPr>
        <w:rPr>
          <w:rFonts w:ascii="Calibri" w:hAnsi="Calibri" w:cs="Calibri"/>
          <w:color w:val="000000" w:themeColor="text1"/>
        </w:rPr>
      </w:pPr>
      <w:r w:rsidRPr="00D95FA2">
        <w:rPr>
          <w:rFonts w:ascii="Calibri" w:hAnsi="Calibri" w:cs="Calibri"/>
          <w:color w:val="000000" w:themeColor="text1"/>
        </w:rPr>
        <w:t xml:space="preserve">As part of the process for my research project has been engaging with a lot of current discourse around self-diagnosing in adolescence and I have to confront the expectations that I may have implicitly created. For instance, from the research articles and opinion pieces I find my predictions for the potential effects of adolescents self-diagnosing swaying towards expecting more negative rather than positive outcomes (Acheson &amp; </w:t>
      </w:r>
      <w:proofErr w:type="spellStart"/>
      <w:r w:rsidRPr="00D95FA2">
        <w:rPr>
          <w:rFonts w:ascii="Calibri" w:hAnsi="Calibri" w:cs="Calibri"/>
          <w:color w:val="000000" w:themeColor="text1"/>
        </w:rPr>
        <w:t>Papadima</w:t>
      </w:r>
      <w:proofErr w:type="spellEnd"/>
      <w:r w:rsidRPr="00D95FA2">
        <w:rPr>
          <w:rFonts w:ascii="Calibri" w:hAnsi="Calibri" w:cs="Calibri"/>
          <w:color w:val="000000" w:themeColor="text1"/>
        </w:rPr>
        <w:t xml:space="preserve">, 2023; Chan &amp; </w:t>
      </w:r>
      <w:proofErr w:type="spellStart"/>
      <w:r w:rsidRPr="00D95FA2">
        <w:rPr>
          <w:rFonts w:ascii="Calibri" w:hAnsi="Calibri" w:cs="Calibri"/>
          <w:color w:val="000000" w:themeColor="text1"/>
        </w:rPr>
        <w:t>Sireling</w:t>
      </w:r>
      <w:proofErr w:type="spellEnd"/>
      <w:r w:rsidRPr="00D95FA2">
        <w:rPr>
          <w:rFonts w:ascii="Calibri" w:hAnsi="Calibri" w:cs="Calibri"/>
          <w:color w:val="000000" w:themeColor="text1"/>
        </w:rPr>
        <w:t>, 2010; Lane, 2020) associated with self-diagnosis. I will aim to be transparent about these expectations and make sure that they do not get projected within the interview process. I hope to acknowledge my relationship and experience with the topic while maintaining a neutral stance within interview and allowing space for contradiction and allowing openness to unexpected findings. The idea of keeping an open mind will be important, because as I have also discussed this topic with peers I may have affirmed or attached too much weight to certain ideas which may turn out to be confronted during data collection.</w:t>
      </w:r>
    </w:p>
    <w:p w14:paraId="1A6DF6AF" w14:textId="77777777" w:rsidR="0093362D" w:rsidRPr="00D95FA2" w:rsidRDefault="0093362D" w:rsidP="0093362D">
      <w:pPr>
        <w:rPr>
          <w:rFonts w:ascii="Calibri" w:hAnsi="Calibri" w:cs="Calibri"/>
          <w:b/>
          <w:bCs/>
        </w:rPr>
      </w:pPr>
    </w:p>
    <w:p w14:paraId="079D5398" w14:textId="77777777" w:rsidR="0093362D" w:rsidRPr="00907AE5" w:rsidRDefault="0093362D" w:rsidP="0093362D">
      <w:pPr>
        <w:rPr>
          <w:rFonts w:ascii="Calibri" w:hAnsi="Calibri" w:cs="Calibri"/>
          <w:b/>
          <w:bCs/>
          <w:u w:val="single"/>
        </w:rPr>
      </w:pPr>
      <w:r w:rsidRPr="00907AE5">
        <w:rPr>
          <w:rFonts w:ascii="Calibri" w:hAnsi="Calibri" w:cs="Calibri"/>
          <w:b/>
          <w:bCs/>
          <w:u w:val="single"/>
        </w:rPr>
        <w:t xml:space="preserve">29.01.2025 </w:t>
      </w:r>
    </w:p>
    <w:p w14:paraId="399CB4A7" w14:textId="77777777" w:rsidR="0093362D" w:rsidRPr="00D95FA2" w:rsidRDefault="0093362D" w:rsidP="0093362D">
      <w:pPr>
        <w:rPr>
          <w:rFonts w:ascii="Calibri" w:hAnsi="Calibri" w:cs="Calibri"/>
        </w:rPr>
      </w:pPr>
    </w:p>
    <w:p w14:paraId="4BCB3A9E" w14:textId="77777777" w:rsidR="0093362D" w:rsidRPr="00D95FA2" w:rsidRDefault="0093362D" w:rsidP="0093362D">
      <w:pPr>
        <w:rPr>
          <w:rFonts w:ascii="Calibri" w:hAnsi="Calibri" w:cs="Calibri"/>
        </w:rPr>
      </w:pPr>
      <w:r w:rsidRPr="00D95FA2">
        <w:rPr>
          <w:rFonts w:ascii="Calibri" w:hAnsi="Calibri" w:cs="Calibri"/>
        </w:rPr>
        <w:t>Today I had the opportunity to present our project the Foulkes lab. I received some excellent feedback from the lab. For instance, I was confronted with the idea of whether the semi-structured interview questions were not swayed too much to the size of asking too much about the risks associated with self-diagnosing. This made me go back and look over the questions. I found this important as my questions might not change after ethics is submitted and approved. After reviewing the questions thoroughly and thinking about them each individually. I found they overall aren't pushing the narrative that self-diagnosing is harmful. However, upon reflection I think I know why someone form the lab raised this, because of the way I introduced the topic at the beginning where I may have overemphasised my expectations of perhaps finding riskier rather than beneficial sides to self- diagnosis. This has made me think about my interviews with psychiatrists, as I want to make sure that the way I say things doesn't influence their opinions. By for instance over emphasising the negative potential sides to self-diagnosing adolescents. Thus, sometimes it isn't always about what researchers say explicitly but also the way in which they deliver the information.</w:t>
      </w:r>
    </w:p>
    <w:p w14:paraId="34B0B761" w14:textId="77777777" w:rsidR="0093362D" w:rsidRPr="00D95FA2" w:rsidRDefault="0093362D" w:rsidP="0093362D">
      <w:pPr>
        <w:rPr>
          <w:rFonts w:ascii="Calibri" w:hAnsi="Calibri" w:cs="Calibri"/>
          <w:b/>
          <w:bCs/>
        </w:rPr>
      </w:pPr>
    </w:p>
    <w:p w14:paraId="7A77C75F" w14:textId="77777777" w:rsidR="0093362D" w:rsidRPr="00D95FA2" w:rsidRDefault="0093362D" w:rsidP="0093362D">
      <w:pPr>
        <w:rPr>
          <w:rFonts w:ascii="Calibri" w:hAnsi="Calibri" w:cs="Calibri"/>
          <w:b/>
          <w:bCs/>
          <w:u w:val="single"/>
        </w:rPr>
      </w:pPr>
      <w:r w:rsidRPr="00D95FA2">
        <w:rPr>
          <w:rFonts w:ascii="Calibri" w:hAnsi="Calibri" w:cs="Calibri"/>
          <w:b/>
          <w:bCs/>
          <w:u w:val="single"/>
        </w:rPr>
        <w:t>13.02.2025</w:t>
      </w:r>
    </w:p>
    <w:p w14:paraId="60287E1F" w14:textId="77777777" w:rsidR="0093362D" w:rsidRPr="00D95FA2" w:rsidRDefault="0093362D" w:rsidP="0093362D">
      <w:pPr>
        <w:rPr>
          <w:rFonts w:ascii="Calibri" w:hAnsi="Calibri" w:cs="Calibri"/>
        </w:rPr>
      </w:pPr>
    </w:p>
    <w:p w14:paraId="7330246C" w14:textId="1042F7CF" w:rsidR="0093362D" w:rsidRPr="00D95FA2" w:rsidRDefault="0093362D" w:rsidP="0093362D">
      <w:pPr>
        <w:rPr>
          <w:rFonts w:ascii="Calibri" w:hAnsi="Calibri" w:cs="Calibri"/>
        </w:rPr>
      </w:pPr>
      <w:r w:rsidRPr="00D95FA2">
        <w:rPr>
          <w:rFonts w:ascii="Calibri" w:hAnsi="Calibri" w:cs="Calibri"/>
        </w:rPr>
        <w:t xml:space="preserve">On this day I presented the design and methods of our research project in my class Project design. I received some very helpful feedback which made me think about our methodology. One of the things discussed was whether I considered sending the interview questions to participants in advance of our meeting. I went to think about this and consulted some academic research on both the benefits and drawbacks of doing this. I read some insightful things in a book by Braun &amp; Clarke called Successful Qualitative Research who discuss both sides to this. I have landed so far on choosing not to show the questions in </w:t>
      </w:r>
      <w:r w:rsidRPr="00D95FA2">
        <w:rPr>
          <w:rFonts w:ascii="Calibri" w:hAnsi="Calibri" w:cs="Calibri"/>
        </w:rPr>
        <w:lastRenderedPageBreak/>
        <w:t xml:space="preserve">advance for several reasons. For instance, participants will already receive quite a fair amount of information from me, and this might be unnecessarily burdening for them to have in advance. Additionally, I believe it could take away from the authentic nature of their responses, as they would have more time to consult what would be the appropriate thing to say. I believe this was an important thing for me to consider and to continue to think about till I see if this turns out to be true during data collection. </w:t>
      </w:r>
    </w:p>
    <w:p w14:paraId="18F22A1D" w14:textId="77777777" w:rsidR="0093362D" w:rsidRPr="00D95FA2" w:rsidRDefault="0093362D" w:rsidP="0093362D">
      <w:pPr>
        <w:spacing w:before="195" w:after="195"/>
        <w:rPr>
          <w:rFonts w:ascii="Calibri" w:hAnsi="Calibri" w:cs="Calibri"/>
          <w:b/>
          <w:bCs/>
          <w:u w:val="single"/>
        </w:rPr>
      </w:pPr>
      <w:r w:rsidRPr="00D95FA2">
        <w:rPr>
          <w:rFonts w:ascii="Calibri" w:hAnsi="Calibri" w:cs="Calibri"/>
          <w:b/>
          <w:bCs/>
          <w:u w:val="single"/>
        </w:rPr>
        <w:t xml:space="preserve">6.05.2025 </w:t>
      </w:r>
    </w:p>
    <w:p w14:paraId="1D465D26" w14:textId="77777777" w:rsidR="0093362D" w:rsidRPr="00D95FA2" w:rsidRDefault="0093362D" w:rsidP="0093362D">
      <w:pPr>
        <w:spacing w:before="195" w:after="195"/>
        <w:rPr>
          <w:rFonts w:ascii="Calibri" w:hAnsi="Calibri" w:cs="Calibri"/>
        </w:rPr>
      </w:pPr>
      <w:r w:rsidRPr="00D95FA2">
        <w:rPr>
          <w:rFonts w:ascii="Calibri" w:hAnsi="Calibri" w:cs="Calibri"/>
        </w:rPr>
        <w:t xml:space="preserve">I've now conducted 5 interviews. I can already see some common topic which are being spoken to by psychiatrists from various places across the UK. For instance, a lot of psychiatrists have expressed their experiences with adolescents self-diagnosing and this causing some tension when psychiatrists contradict their self-diagnosis, due to adolescents being attached to the diagnostic label as part of their identity. Many explained that social media and belonging to communities associated with a given disorder often contributes to why adolescents may want a formal diagnosis. I feel that it will now be important for the future that I don't unknowingly guide the conversation to confirm the themes that have already been spoken to and remain a neutral interviewee regardless of whether the topics that have thus far been spoken to don't arise again. I try and mitigate the risk of steering their answers by asking clarifying questions which remain balanced and neural. </w:t>
      </w:r>
    </w:p>
    <w:p w14:paraId="2F7040A4" w14:textId="78AE7E55" w:rsidR="0093362D" w:rsidRPr="00D95FA2" w:rsidRDefault="0093362D" w:rsidP="0093362D">
      <w:pPr>
        <w:spacing w:before="195" w:after="195"/>
        <w:rPr>
          <w:rFonts w:ascii="Calibri" w:hAnsi="Calibri" w:cs="Calibri"/>
        </w:rPr>
      </w:pPr>
      <w:r w:rsidRPr="00D95FA2">
        <w:rPr>
          <w:rFonts w:ascii="Calibri" w:hAnsi="Calibri" w:cs="Calibri"/>
        </w:rPr>
        <w:t xml:space="preserve">I have also written out </w:t>
      </w:r>
      <w:r w:rsidR="00907AE5">
        <w:rPr>
          <w:rFonts w:ascii="Calibri" w:hAnsi="Calibri" w:cs="Calibri"/>
        </w:rPr>
        <w:t>s</w:t>
      </w:r>
      <w:r w:rsidRPr="00D95FA2">
        <w:rPr>
          <w:rFonts w:ascii="Calibri" w:hAnsi="Calibri" w:cs="Calibri"/>
        </w:rPr>
        <w:t xml:space="preserve">ome recommendations to stick to during the interview process which I reflect on before after every interview. These are based on recommendations from a consultation I scheduled with an experienced qualitative post grad researcher in Foulkes lab and by academic textbooks, like Successful Qualitative Research: A practical guide for beginners by Braun and Clarke 2013. </w:t>
      </w:r>
    </w:p>
    <w:p w14:paraId="006C9226" w14:textId="77777777" w:rsidR="0093362D" w:rsidRPr="00D95FA2" w:rsidRDefault="0093362D" w:rsidP="0093362D">
      <w:pPr>
        <w:spacing w:before="195" w:after="195"/>
        <w:rPr>
          <w:rFonts w:ascii="Calibri" w:hAnsi="Calibri" w:cs="Calibri"/>
          <w:b/>
          <w:bCs/>
        </w:rPr>
      </w:pPr>
      <w:r w:rsidRPr="00D95FA2">
        <w:rPr>
          <w:rFonts w:ascii="Calibri" w:hAnsi="Calibri" w:cs="Calibri"/>
          <w:b/>
          <w:bCs/>
        </w:rPr>
        <w:t>Things to avoid</w:t>
      </w:r>
    </w:p>
    <w:p w14:paraId="602F629E" w14:textId="77777777" w:rsidR="0093362D" w:rsidRPr="00D95FA2" w:rsidRDefault="0093362D" w:rsidP="0093362D">
      <w:pPr>
        <w:spacing w:before="195" w:after="195"/>
        <w:rPr>
          <w:rFonts w:ascii="Calibri" w:hAnsi="Calibri" w:cs="Calibri"/>
        </w:rPr>
      </w:pPr>
      <w:r w:rsidRPr="00D95FA2">
        <w:rPr>
          <w:rFonts w:ascii="Calibri" w:hAnsi="Calibri" w:cs="Calibri"/>
        </w:rPr>
        <w:t>1. Trying to stick too rigidly to the script</w:t>
      </w:r>
    </w:p>
    <w:p w14:paraId="14E724B0" w14:textId="77777777" w:rsidR="0093362D" w:rsidRPr="00D95FA2" w:rsidRDefault="0093362D" w:rsidP="0093362D">
      <w:pPr>
        <w:pStyle w:val="ListParagraph"/>
        <w:numPr>
          <w:ilvl w:val="0"/>
          <w:numId w:val="8"/>
        </w:numPr>
        <w:rPr>
          <w:rFonts w:ascii="Calibri" w:hAnsi="Calibri" w:cs="Calibri"/>
        </w:rPr>
      </w:pPr>
      <w:r w:rsidRPr="00D95FA2">
        <w:rPr>
          <w:rFonts w:ascii="Calibri" w:hAnsi="Calibri" w:cs="Calibri"/>
        </w:rPr>
        <w:t>Don’t worry about asking all questions in the exact order or wording — semi-structured interviews allow for flow.</w:t>
      </w:r>
    </w:p>
    <w:p w14:paraId="0277385A" w14:textId="77777777" w:rsidR="0093362D" w:rsidRPr="00D95FA2" w:rsidRDefault="0093362D" w:rsidP="0093362D">
      <w:pPr>
        <w:pStyle w:val="ListParagraph"/>
        <w:numPr>
          <w:ilvl w:val="0"/>
          <w:numId w:val="8"/>
        </w:numPr>
        <w:rPr>
          <w:rFonts w:ascii="Calibri" w:hAnsi="Calibri" w:cs="Calibri"/>
        </w:rPr>
      </w:pPr>
      <w:r w:rsidRPr="00D95FA2">
        <w:rPr>
          <w:rFonts w:ascii="Calibri" w:hAnsi="Calibri" w:cs="Calibri"/>
        </w:rPr>
        <w:t>Be ready to follow the conversation where it naturally leads.</w:t>
      </w:r>
    </w:p>
    <w:p w14:paraId="32B981F4" w14:textId="77777777" w:rsidR="0093362D" w:rsidRPr="00D95FA2" w:rsidRDefault="0093362D" w:rsidP="0093362D">
      <w:pPr>
        <w:spacing w:before="195" w:after="195"/>
        <w:rPr>
          <w:rFonts w:ascii="Calibri" w:hAnsi="Calibri" w:cs="Calibri"/>
        </w:rPr>
      </w:pPr>
      <w:r w:rsidRPr="00D95FA2">
        <w:rPr>
          <w:rFonts w:ascii="Calibri" w:hAnsi="Calibri" w:cs="Calibri"/>
        </w:rPr>
        <w:t>2. Don’t aim for perfectly worded questions</w:t>
      </w:r>
    </w:p>
    <w:p w14:paraId="11BB3C65" w14:textId="77777777" w:rsidR="0093362D" w:rsidRPr="00D95FA2" w:rsidRDefault="0093362D" w:rsidP="0093362D">
      <w:pPr>
        <w:pStyle w:val="ListParagraph"/>
        <w:numPr>
          <w:ilvl w:val="0"/>
          <w:numId w:val="7"/>
        </w:numPr>
        <w:rPr>
          <w:rFonts w:ascii="Calibri" w:hAnsi="Calibri" w:cs="Calibri"/>
        </w:rPr>
      </w:pPr>
      <w:r w:rsidRPr="00D95FA2">
        <w:rPr>
          <w:rFonts w:ascii="Calibri" w:hAnsi="Calibri" w:cs="Calibri"/>
        </w:rPr>
        <w:t>It’s okay to rephrase or simplify a question if the participant seems unsure.</w:t>
      </w:r>
    </w:p>
    <w:p w14:paraId="5708B57F" w14:textId="77777777" w:rsidR="0093362D" w:rsidRPr="00D95FA2" w:rsidRDefault="0093362D" w:rsidP="0093362D">
      <w:pPr>
        <w:pStyle w:val="ListParagraph"/>
        <w:numPr>
          <w:ilvl w:val="0"/>
          <w:numId w:val="7"/>
        </w:numPr>
        <w:rPr>
          <w:rFonts w:ascii="Calibri" w:hAnsi="Calibri" w:cs="Calibri"/>
        </w:rPr>
      </w:pPr>
      <w:r w:rsidRPr="00D95FA2">
        <w:rPr>
          <w:rFonts w:ascii="Calibri" w:hAnsi="Calibri" w:cs="Calibri"/>
        </w:rPr>
        <w:t>Use plain language.</w:t>
      </w:r>
    </w:p>
    <w:p w14:paraId="0427BBEE" w14:textId="77777777" w:rsidR="0093362D" w:rsidRPr="00D95FA2" w:rsidRDefault="0093362D" w:rsidP="0093362D">
      <w:pPr>
        <w:spacing w:before="195" w:after="195"/>
        <w:rPr>
          <w:rFonts w:ascii="Calibri" w:hAnsi="Calibri" w:cs="Calibri"/>
        </w:rPr>
      </w:pPr>
      <w:r w:rsidRPr="00D95FA2">
        <w:rPr>
          <w:rFonts w:ascii="Calibri" w:hAnsi="Calibri" w:cs="Calibri"/>
        </w:rPr>
        <w:t>3. Filling every silence</w:t>
      </w:r>
    </w:p>
    <w:p w14:paraId="0361576E" w14:textId="77777777" w:rsidR="0093362D" w:rsidRPr="00D95FA2" w:rsidRDefault="0093362D" w:rsidP="0093362D">
      <w:pPr>
        <w:pStyle w:val="ListParagraph"/>
        <w:numPr>
          <w:ilvl w:val="0"/>
          <w:numId w:val="6"/>
        </w:numPr>
        <w:rPr>
          <w:rFonts w:ascii="Calibri" w:hAnsi="Calibri" w:cs="Calibri"/>
        </w:rPr>
      </w:pPr>
      <w:r w:rsidRPr="00D95FA2">
        <w:rPr>
          <w:rFonts w:ascii="Calibri" w:hAnsi="Calibri" w:cs="Calibri"/>
        </w:rPr>
        <w:t>Silence is not a problem — it often gives participants time to think and elaborate.</w:t>
      </w:r>
    </w:p>
    <w:p w14:paraId="4863D2C1" w14:textId="77777777" w:rsidR="0093362D" w:rsidRPr="00D95FA2" w:rsidRDefault="0093362D" w:rsidP="0093362D">
      <w:pPr>
        <w:pStyle w:val="ListParagraph"/>
        <w:numPr>
          <w:ilvl w:val="0"/>
          <w:numId w:val="6"/>
        </w:numPr>
        <w:rPr>
          <w:rFonts w:ascii="Calibri" w:hAnsi="Calibri" w:cs="Calibri"/>
        </w:rPr>
      </w:pPr>
      <w:r w:rsidRPr="00D95FA2">
        <w:rPr>
          <w:rFonts w:ascii="Calibri" w:hAnsi="Calibri" w:cs="Calibri"/>
        </w:rPr>
        <w:t>Don't rush to jump in; give space.</w:t>
      </w:r>
    </w:p>
    <w:p w14:paraId="38990E01" w14:textId="77777777" w:rsidR="0093362D" w:rsidRPr="00D95FA2" w:rsidRDefault="0093362D" w:rsidP="0093362D">
      <w:pPr>
        <w:spacing w:before="195" w:after="195"/>
        <w:rPr>
          <w:rFonts w:ascii="Calibri" w:hAnsi="Calibri" w:cs="Calibri"/>
        </w:rPr>
      </w:pPr>
      <w:r w:rsidRPr="00D95FA2">
        <w:rPr>
          <w:rFonts w:ascii="Calibri" w:hAnsi="Calibri" w:cs="Calibri"/>
        </w:rPr>
        <w:t>4. Trying to look or sound like an expert</w:t>
      </w:r>
    </w:p>
    <w:p w14:paraId="62BB18AC" w14:textId="77777777" w:rsidR="0093362D" w:rsidRPr="00D95FA2" w:rsidRDefault="0093362D" w:rsidP="0093362D">
      <w:pPr>
        <w:pStyle w:val="ListParagraph"/>
        <w:numPr>
          <w:ilvl w:val="0"/>
          <w:numId w:val="5"/>
        </w:numPr>
        <w:rPr>
          <w:rFonts w:ascii="Calibri" w:hAnsi="Calibri" w:cs="Calibri"/>
        </w:rPr>
      </w:pPr>
      <w:r w:rsidRPr="00D95FA2">
        <w:rPr>
          <w:rFonts w:ascii="Calibri" w:hAnsi="Calibri" w:cs="Calibri"/>
        </w:rPr>
        <w:t xml:space="preserve">Your role is to </w:t>
      </w:r>
      <w:r w:rsidRPr="00D95FA2">
        <w:rPr>
          <w:rFonts w:ascii="Calibri" w:hAnsi="Calibri" w:cs="Calibri"/>
          <w:i/>
          <w:iCs/>
        </w:rPr>
        <w:t>listen</w:t>
      </w:r>
      <w:r w:rsidRPr="00D95FA2">
        <w:rPr>
          <w:rFonts w:ascii="Calibri" w:hAnsi="Calibri" w:cs="Calibri"/>
        </w:rPr>
        <w:t>, not to give advice, interpret, or evaluate.</w:t>
      </w:r>
    </w:p>
    <w:p w14:paraId="3EAE764C" w14:textId="77777777" w:rsidR="0093362D" w:rsidRPr="00D95FA2" w:rsidRDefault="0093362D" w:rsidP="0093362D">
      <w:pPr>
        <w:pStyle w:val="ListParagraph"/>
        <w:numPr>
          <w:ilvl w:val="0"/>
          <w:numId w:val="5"/>
        </w:numPr>
        <w:rPr>
          <w:rFonts w:ascii="Calibri" w:hAnsi="Calibri" w:cs="Calibri"/>
        </w:rPr>
      </w:pPr>
      <w:r w:rsidRPr="00D95FA2">
        <w:rPr>
          <w:rFonts w:ascii="Calibri" w:hAnsi="Calibri" w:cs="Calibri"/>
        </w:rPr>
        <w:t>Be curious, not clinical.</w:t>
      </w:r>
    </w:p>
    <w:p w14:paraId="45FD0618" w14:textId="77777777" w:rsidR="0093362D" w:rsidRPr="00D95FA2" w:rsidRDefault="0093362D" w:rsidP="0093362D">
      <w:pPr>
        <w:spacing w:before="195" w:after="195"/>
        <w:rPr>
          <w:rFonts w:ascii="Calibri" w:hAnsi="Calibri" w:cs="Calibri"/>
        </w:rPr>
      </w:pPr>
      <w:r w:rsidRPr="00D95FA2">
        <w:rPr>
          <w:rFonts w:ascii="Calibri" w:hAnsi="Calibri" w:cs="Calibri"/>
        </w:rPr>
        <w:t>5. Correcting or steering their answers</w:t>
      </w:r>
    </w:p>
    <w:p w14:paraId="16DFA14F" w14:textId="77777777" w:rsidR="0093362D" w:rsidRPr="00D95FA2" w:rsidRDefault="0093362D" w:rsidP="0093362D">
      <w:pPr>
        <w:pStyle w:val="ListParagraph"/>
        <w:numPr>
          <w:ilvl w:val="0"/>
          <w:numId w:val="4"/>
        </w:numPr>
        <w:rPr>
          <w:rFonts w:ascii="Calibri" w:hAnsi="Calibri" w:cs="Calibri"/>
        </w:rPr>
      </w:pPr>
      <w:r w:rsidRPr="00D95FA2">
        <w:rPr>
          <w:rFonts w:ascii="Calibri" w:hAnsi="Calibri" w:cs="Calibri"/>
        </w:rPr>
        <w:lastRenderedPageBreak/>
        <w:t>Let them speak in their own terms. Don’t correct or guide them toward what you think they should say.</w:t>
      </w:r>
    </w:p>
    <w:p w14:paraId="1C3C1E55" w14:textId="77777777" w:rsidR="0093362D" w:rsidRPr="00D95FA2" w:rsidRDefault="0093362D" w:rsidP="0093362D">
      <w:pPr>
        <w:spacing w:before="195" w:after="195"/>
        <w:rPr>
          <w:rFonts w:ascii="Calibri" w:hAnsi="Calibri" w:cs="Calibri"/>
        </w:rPr>
      </w:pPr>
      <w:r w:rsidRPr="00D95FA2">
        <w:rPr>
          <w:rFonts w:ascii="Calibri" w:hAnsi="Calibri" w:cs="Calibri"/>
        </w:rPr>
        <w:t>6. taking notes instead of listening</w:t>
      </w:r>
    </w:p>
    <w:p w14:paraId="4964530F" w14:textId="77777777" w:rsidR="0093362D" w:rsidRPr="00D95FA2" w:rsidRDefault="0093362D" w:rsidP="0093362D">
      <w:pPr>
        <w:pStyle w:val="ListParagraph"/>
        <w:numPr>
          <w:ilvl w:val="0"/>
          <w:numId w:val="3"/>
        </w:numPr>
        <w:rPr>
          <w:rFonts w:ascii="Calibri" w:hAnsi="Calibri" w:cs="Calibri"/>
        </w:rPr>
      </w:pPr>
      <w:r w:rsidRPr="00D95FA2">
        <w:rPr>
          <w:rFonts w:ascii="Calibri" w:hAnsi="Calibri" w:cs="Calibri"/>
        </w:rPr>
        <w:t>I am recording the interview (with consent), so shouldn’t worry about writing everything down.</w:t>
      </w:r>
    </w:p>
    <w:p w14:paraId="28D3386C" w14:textId="77777777" w:rsidR="0093362D" w:rsidRPr="00D95FA2" w:rsidRDefault="0093362D" w:rsidP="0093362D">
      <w:pPr>
        <w:pStyle w:val="ListParagraph"/>
        <w:numPr>
          <w:ilvl w:val="0"/>
          <w:numId w:val="3"/>
        </w:numPr>
        <w:rPr>
          <w:rFonts w:ascii="Calibri" w:hAnsi="Calibri" w:cs="Calibri"/>
        </w:rPr>
      </w:pPr>
      <w:r w:rsidRPr="00D95FA2">
        <w:rPr>
          <w:rFonts w:ascii="Calibri" w:hAnsi="Calibri" w:cs="Calibri"/>
        </w:rPr>
        <w:t>Focus on being present and responsive.</w:t>
      </w:r>
    </w:p>
    <w:p w14:paraId="4A285622" w14:textId="77777777" w:rsidR="0093362D" w:rsidRPr="00D95FA2" w:rsidRDefault="0093362D" w:rsidP="0093362D">
      <w:pPr>
        <w:spacing w:before="195" w:after="195"/>
        <w:rPr>
          <w:rFonts w:ascii="Calibri" w:hAnsi="Calibri" w:cs="Calibri"/>
        </w:rPr>
      </w:pPr>
      <w:r w:rsidRPr="00D95FA2">
        <w:rPr>
          <w:rFonts w:ascii="Calibri" w:hAnsi="Calibri" w:cs="Calibri"/>
        </w:rPr>
        <w:t>7. Sticking too closely to time limits</w:t>
      </w:r>
    </w:p>
    <w:p w14:paraId="087D3A76" w14:textId="77777777" w:rsidR="0093362D" w:rsidRPr="00D95FA2" w:rsidRDefault="0093362D" w:rsidP="0093362D">
      <w:pPr>
        <w:pStyle w:val="ListParagraph"/>
        <w:numPr>
          <w:ilvl w:val="0"/>
          <w:numId w:val="2"/>
        </w:numPr>
        <w:rPr>
          <w:rFonts w:ascii="Calibri" w:hAnsi="Calibri" w:cs="Calibri"/>
        </w:rPr>
      </w:pPr>
      <w:r w:rsidRPr="00D95FA2">
        <w:rPr>
          <w:rFonts w:ascii="Calibri" w:hAnsi="Calibri" w:cs="Calibri"/>
        </w:rPr>
        <w:t>Don’t rush good discussion just to move on to the next question. Quality over speed</w:t>
      </w:r>
    </w:p>
    <w:p w14:paraId="473867C1" w14:textId="77777777" w:rsidR="0093362D" w:rsidRPr="00D95FA2" w:rsidRDefault="0093362D" w:rsidP="0093362D">
      <w:pPr>
        <w:pStyle w:val="ListParagraph"/>
        <w:numPr>
          <w:ilvl w:val="0"/>
          <w:numId w:val="2"/>
        </w:numPr>
        <w:rPr>
          <w:rFonts w:ascii="Calibri" w:hAnsi="Calibri" w:cs="Calibri"/>
        </w:rPr>
      </w:pPr>
      <w:r w:rsidRPr="00D95FA2">
        <w:rPr>
          <w:rFonts w:ascii="Calibri" w:hAnsi="Calibri" w:cs="Calibri"/>
        </w:rPr>
        <w:t xml:space="preserve">Equally remain mindful of the psychiatrist's time and try to roughly stick to 6 minutes per question. </w:t>
      </w:r>
    </w:p>
    <w:p w14:paraId="59F13B5E" w14:textId="77777777" w:rsidR="0093362D" w:rsidRPr="00D95FA2" w:rsidRDefault="0093362D" w:rsidP="0093362D">
      <w:pPr>
        <w:spacing w:before="195" w:after="195"/>
        <w:rPr>
          <w:rFonts w:ascii="Calibri" w:hAnsi="Calibri" w:cs="Calibri"/>
        </w:rPr>
      </w:pPr>
      <w:r w:rsidRPr="00D95FA2">
        <w:rPr>
          <w:rFonts w:ascii="Calibri" w:hAnsi="Calibri" w:cs="Calibri"/>
        </w:rPr>
        <w:t>8. Worrying about saying “the right thing”</w:t>
      </w:r>
    </w:p>
    <w:p w14:paraId="167F6057" w14:textId="77777777" w:rsidR="0093362D" w:rsidRPr="00D95FA2" w:rsidRDefault="0093362D" w:rsidP="0093362D">
      <w:pPr>
        <w:pStyle w:val="ListParagraph"/>
        <w:numPr>
          <w:ilvl w:val="0"/>
          <w:numId w:val="1"/>
        </w:numPr>
        <w:rPr>
          <w:rFonts w:ascii="Calibri" w:hAnsi="Calibri" w:cs="Calibri"/>
        </w:rPr>
      </w:pPr>
      <w:r w:rsidRPr="00D95FA2">
        <w:rPr>
          <w:rFonts w:ascii="Calibri" w:hAnsi="Calibri" w:cs="Calibri"/>
        </w:rPr>
        <w:t>This isn’t a performance. A warm, natural, and respectful tone matters more than perfect phrasing.</w:t>
      </w:r>
    </w:p>
    <w:p w14:paraId="2F9F9F41" w14:textId="77777777" w:rsidR="0093362D" w:rsidRPr="00D95FA2" w:rsidRDefault="0093362D" w:rsidP="0093362D">
      <w:pPr>
        <w:spacing w:before="195" w:after="195"/>
        <w:rPr>
          <w:rFonts w:ascii="Calibri" w:hAnsi="Calibri" w:cs="Calibri"/>
        </w:rPr>
      </w:pPr>
      <w:r w:rsidRPr="00D95FA2">
        <w:rPr>
          <w:rFonts w:ascii="Calibri" w:hAnsi="Calibri" w:cs="Calibri"/>
        </w:rPr>
        <w:t xml:space="preserve">9. Don’t forget participants are part of the research themselves so make sure to reflect via reflexivity journal and think about what can be improved avoided or what worked well in next interview.  </w:t>
      </w:r>
    </w:p>
    <w:p w14:paraId="2AC46231" w14:textId="40759320" w:rsidR="0093362D" w:rsidRPr="00D95FA2" w:rsidRDefault="0093362D" w:rsidP="00907AE5">
      <w:pPr>
        <w:spacing w:before="195" w:after="195"/>
        <w:rPr>
          <w:rFonts w:ascii="Calibri" w:hAnsi="Calibri" w:cs="Calibri"/>
        </w:rPr>
      </w:pPr>
      <w:r w:rsidRPr="00D95FA2">
        <w:rPr>
          <w:rFonts w:ascii="Calibri" w:hAnsi="Calibri" w:cs="Calibri"/>
        </w:rPr>
        <w:t>I have also reflected on the fact that some of the people we speak to will know Lucy’s work and so are likely to be sharing experiences which would match Lucy</w:t>
      </w:r>
      <w:r w:rsidR="00907AE5">
        <w:rPr>
          <w:rFonts w:ascii="Calibri" w:hAnsi="Calibri" w:cs="Calibri"/>
        </w:rPr>
        <w:t>’</w:t>
      </w:r>
      <w:r w:rsidRPr="00D95FA2">
        <w:rPr>
          <w:rFonts w:ascii="Calibri" w:hAnsi="Calibri" w:cs="Calibri"/>
        </w:rPr>
        <w:t xml:space="preserve">s stance on this topic, so this will have to be considered in the discussion of our study. Interestingly however I am also noticing similar views to people, who were not recruited though </w:t>
      </w:r>
      <w:r w:rsidR="00907AE5">
        <w:rPr>
          <w:rFonts w:ascii="Calibri" w:hAnsi="Calibri" w:cs="Calibri"/>
        </w:rPr>
        <w:t>Lucy’s</w:t>
      </w:r>
      <w:r w:rsidRPr="00D95FA2">
        <w:rPr>
          <w:rFonts w:ascii="Calibri" w:hAnsi="Calibri" w:cs="Calibri"/>
        </w:rPr>
        <w:t xml:space="preserve"> networks and who don't follow her on social media-so perhaps this isn't the case as much as I think. I am also offering flexible time wise for people mainly female psychiatrists on maternity leave, so I am trying to be as flexible with time for these potential participants so these participants can also participate. </w:t>
      </w:r>
    </w:p>
    <w:p w14:paraId="4AF7CAE4" w14:textId="799A05DE" w:rsidR="0093362D" w:rsidRPr="00D95FA2" w:rsidRDefault="0093362D" w:rsidP="0093362D">
      <w:pPr>
        <w:rPr>
          <w:rFonts w:ascii="Calibri" w:hAnsi="Calibri" w:cs="Calibri"/>
          <w:b/>
          <w:bCs/>
          <w:u w:val="single"/>
        </w:rPr>
      </w:pPr>
      <w:r w:rsidRPr="00D95FA2">
        <w:rPr>
          <w:rFonts w:ascii="Calibri" w:hAnsi="Calibri" w:cs="Calibri"/>
          <w:b/>
          <w:bCs/>
          <w:u w:val="single"/>
        </w:rPr>
        <w:t xml:space="preserve">19.05. 2025 </w:t>
      </w:r>
    </w:p>
    <w:p w14:paraId="47C5E015" w14:textId="77777777" w:rsidR="00907AE5" w:rsidRDefault="00907AE5" w:rsidP="0093362D">
      <w:pPr>
        <w:rPr>
          <w:rFonts w:ascii="Calibri" w:hAnsi="Calibri" w:cs="Calibri"/>
        </w:rPr>
      </w:pPr>
    </w:p>
    <w:p w14:paraId="785761BB" w14:textId="4290CAEE" w:rsidR="0093362D" w:rsidRPr="00D95FA2" w:rsidRDefault="0093362D" w:rsidP="0093362D">
      <w:pPr>
        <w:rPr>
          <w:rFonts w:ascii="Calibri" w:hAnsi="Calibri" w:cs="Calibri"/>
        </w:rPr>
      </w:pPr>
      <w:r w:rsidRPr="00D95FA2">
        <w:rPr>
          <w:rFonts w:ascii="Calibri" w:hAnsi="Calibri" w:cs="Calibri"/>
        </w:rPr>
        <w:t xml:space="preserve">I have been reflecting on more of the research questions and how participants respond to the questions. I believe the questions work well overall, as every participant has answered each question in a nuanced way, but also universal topic naturally </w:t>
      </w:r>
      <w:proofErr w:type="gramStart"/>
      <w:r w:rsidRPr="00D95FA2">
        <w:rPr>
          <w:rFonts w:ascii="Calibri" w:hAnsi="Calibri" w:cs="Calibri"/>
        </w:rPr>
        <w:t>arise</w:t>
      </w:r>
      <w:proofErr w:type="gramEnd"/>
      <w:r w:rsidRPr="00D95FA2">
        <w:rPr>
          <w:rFonts w:ascii="Calibri" w:hAnsi="Calibri" w:cs="Calibri"/>
        </w:rPr>
        <w:t xml:space="preserve"> across psychiatrist from different work settings and parts of the UK which reassures me that the questions are so not generic that participants would project completely different things onto the questions. I also see that a question I was worried would be too vague: “What impact, if any do you think the role of different information sources have in adolescent's self-diagnosis?” is something that no participant has struggled with everyone has always had something to say, so I only follow up with potential other information sources (e.g., family </w:t>
      </w:r>
      <w:proofErr w:type="gramStart"/>
      <w:r w:rsidRPr="00D95FA2">
        <w:rPr>
          <w:rFonts w:ascii="Calibri" w:hAnsi="Calibri" w:cs="Calibri"/>
        </w:rPr>
        <w:t>influence)  if</w:t>
      </w:r>
      <w:proofErr w:type="gramEnd"/>
      <w:r w:rsidRPr="00D95FA2">
        <w:rPr>
          <w:rFonts w:ascii="Calibri" w:hAnsi="Calibri" w:cs="Calibri"/>
        </w:rPr>
        <w:t xml:space="preserve"> I see that they have hinted at this information source, but haven't spoken to it in detail. I do sometimes find that some participants are not used to speaking almost in a monologue for longer sections of time, but I try to allow room for silence and reassure participants to not feel awkward or to feel free to stop and think, as it can sometimes be difficult to remember something on the spot. I find that this technique is rather useful. </w:t>
      </w:r>
    </w:p>
    <w:p w14:paraId="4B4D33C6"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rPr>
        <w:lastRenderedPageBreak/>
        <w:t xml:space="preserve">I also like that the questions about potential risk or benefits of self-diagnosing are answered usually in a very balanced way and even when I ask questions that may have asked about one side (e.g. risks) in more depth and therefore potentially swayed the conversation to one side- participants are comfortable with saying that it is not exactly what they have encountered and clarify what they meant etc. </w:t>
      </w:r>
      <w:r w:rsidRPr="00D95FA2">
        <w:rPr>
          <w:rFonts w:ascii="Calibri" w:hAnsi="Calibri" w:cs="Calibri"/>
          <w:color w:val="000000" w:themeColor="text1"/>
        </w:rPr>
        <w:t xml:space="preserve">One aspect that stood out to me during the interviews was the apparent candour with which psychiatrists shared their experiences. This reassures me that participants were not simply trying to provide responses they thought I, as a researcher, wanted to hear, but were instead speaking from their genuine professional realities. It made me reflect on the assumption that participants may always be 'performing' or modifying their responses due to perceived expectations. In this case, I was struck by the openness. </w:t>
      </w:r>
    </w:p>
    <w:p w14:paraId="6BC821E5"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However, critically reflecting on this, I recognise that my interpretation of their openness may also be influenced by my own positionality and expectations as a researcher. I wanted to see the interviews as authentic, and perhaps this shaped how I received and understood their responses. This raises broader questions about how power structures operate in research encounters, even when they are not immediately visible.</w:t>
      </w:r>
    </w:p>
    <w:p w14:paraId="77C94EC4"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 xml:space="preserve">Interestingly, I initially believed that power asymmetries in these interviews were minimal, especially given that psychiatrists typically hold high-status, expert positions. I felt that, as the interviewer and perhaps less senior in status, I was the one navigating an imbalance. Yet, from a critical reflexivity standpoint, I must acknowledge that the research context still positions me with interpretive and representational power. I determine the questions, guide the flow of conversation, and ultimately decide how their voices are portrayed in analysis. This may have shaped not only the way participants spoke but also what they chose </w:t>
      </w:r>
      <w:r w:rsidRPr="00D95FA2">
        <w:rPr>
          <w:rFonts w:ascii="Calibri" w:hAnsi="Calibri" w:cs="Calibri"/>
          <w:i/>
          <w:iCs/>
          <w:color w:val="000000" w:themeColor="text1"/>
        </w:rPr>
        <w:t>not</w:t>
      </w:r>
      <w:r w:rsidRPr="00D95FA2">
        <w:rPr>
          <w:rFonts w:ascii="Calibri" w:hAnsi="Calibri" w:cs="Calibri"/>
          <w:color w:val="000000" w:themeColor="text1"/>
        </w:rPr>
        <w:t xml:space="preserve"> to share.</w:t>
      </w:r>
    </w:p>
    <w:p w14:paraId="00DFA9B9"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Moreover, some psychiatrists may have seen the interview as an opportunity to affirm professional identities, defend contested practices, or subtly reinforce institutional norms. These forms of discursive power can operate beneath the surface of apparently open dialogue. So, while the interviews felt honest, it is essential to remain cautious about assuming that authenticity is ever straightforward, especially in professional domains where identity, reputation, and institutional allegiance may all be at stake.</w:t>
      </w:r>
    </w:p>
    <w:p w14:paraId="1F7EBCB5" w14:textId="77777777" w:rsidR="0093362D" w:rsidRPr="00D95FA2" w:rsidRDefault="0093362D" w:rsidP="0093362D">
      <w:pPr>
        <w:rPr>
          <w:rFonts w:ascii="Calibri" w:hAnsi="Calibri" w:cs="Calibri"/>
        </w:rPr>
      </w:pPr>
    </w:p>
    <w:p w14:paraId="5C1A1C75" w14:textId="77777777" w:rsidR="0093362D" w:rsidRPr="00D95FA2" w:rsidRDefault="0093362D" w:rsidP="0093362D">
      <w:pPr>
        <w:rPr>
          <w:rFonts w:ascii="Calibri" w:hAnsi="Calibri" w:cs="Calibri"/>
          <w:b/>
          <w:bCs/>
          <w:u w:val="single"/>
        </w:rPr>
      </w:pPr>
      <w:r w:rsidRPr="00D95FA2">
        <w:rPr>
          <w:rFonts w:ascii="Calibri" w:hAnsi="Calibri" w:cs="Calibri"/>
          <w:b/>
          <w:bCs/>
          <w:u w:val="single"/>
        </w:rPr>
        <w:t xml:space="preserve">22.05.2025 </w:t>
      </w:r>
    </w:p>
    <w:p w14:paraId="70C29C64"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I’ve been reflecting on the epistemological underpinnings of my study. As I continue to engage with psychiatrists with varying years of experience, I find myself constantly negotiating what it means to “know” something in the context of mental health. This study doesn’t just collect opinions or attitudes; it taps into deeper assumptions about who has the right to define mental health, how psychiatric knowledge is constructed, and how it’s being challenged by digital culture.</w:t>
      </w:r>
    </w:p>
    <w:p w14:paraId="74F68F6D"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From an epistemological standpoint, I’m working within a constructivist framework. I don’t believe psychiatrists’ attitudes simply reflect objective truths about adolescent behaviour or diagnostic accuracy; rather, these attitudes are shaped by personal histories, professional identities, training, and the institutional norms of psychiatry. Likewise, adolescents who self-</w:t>
      </w:r>
      <w:r w:rsidRPr="00D95FA2">
        <w:rPr>
          <w:rFonts w:ascii="Calibri" w:hAnsi="Calibri" w:cs="Calibri"/>
          <w:color w:val="000000" w:themeColor="text1"/>
        </w:rPr>
        <w:lastRenderedPageBreak/>
        <w:t>diagnose are not just misguided or misinformed but they’re engaging with the world in a meaning-making process that reflects their own lived experiences and access to knowledge, particularly through social media and online mental health communities.</w:t>
      </w:r>
    </w:p>
    <w:p w14:paraId="31E94667"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 xml:space="preserve">I’m very aware of the power dynamics embedded in this topic. There’s an implicit hierarchy of knowledge: psychiatrists are seen as experts, adolescents as laypeople, and platforms like TikTok or Reddit as unreliable. But that division isn’t as stable as it once was. Adolescents are increasingly informed, expressive, and self-aware and psychiatrists are being asked to make sense of this shift, sometimes defensively. </w:t>
      </w:r>
    </w:p>
    <w:p w14:paraId="5D3EB65B"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In interviews, I’ve noticed how often psychiatrists oscillate between empathy and scepticisms acknowledging adolescents' distress while questioning the validity of their self-diagnoses. This brings me back to a central epistemological tension: What does it mean for someone to “know” they have a mental health condition? Is knowledge only legitimate when confirmed by a professional? Or is there room for experiential, self-directed, or collective forms of knowing?</w:t>
      </w:r>
    </w:p>
    <w:p w14:paraId="49E6B233"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 xml:space="preserve">I realize that I, too, carry biases. I’m inclined to be sympathetic toward young people navigating mental health outside of clinical systems. But I must be careful not to romanticize self-diagnosis or overlook psychiatrists’ genuine concerns about safety, over-pathologizing, and diagnostic ambiguity. </w:t>
      </w:r>
    </w:p>
    <w:p w14:paraId="324F3302"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 xml:space="preserve">This reflection makes me think that my interviews are not just about psychiatrists’ </w:t>
      </w:r>
      <w:r w:rsidRPr="00D95FA2">
        <w:rPr>
          <w:rFonts w:ascii="Calibri" w:hAnsi="Calibri" w:cs="Calibri"/>
          <w:i/>
          <w:iCs/>
          <w:color w:val="000000" w:themeColor="text1"/>
        </w:rPr>
        <w:t>attitudes</w:t>
      </w:r>
      <w:r w:rsidRPr="00D95FA2">
        <w:rPr>
          <w:rFonts w:ascii="Calibri" w:hAnsi="Calibri" w:cs="Calibri"/>
          <w:color w:val="000000" w:themeColor="text1"/>
        </w:rPr>
        <w:t xml:space="preserve"> but also about their epistemic positioning: how they see themselves as knowers, how they validate (or invalidate) others’ knowledge claims, and how they experience the erosion or evolution of psychiatric authority in a digital world. One concrete example that I’ve noticed has already come up in the interviews is that the vast majority of psychiatrists in this study are from the NHS and so their views and opinions may differ due to this work setting to those in private practice or those employed by universities or other organisations. Therefore, I am trying to stay mindful about the fact that their opinions may also be reflecting their communities’ opinions and stances. </w:t>
      </w:r>
    </w:p>
    <w:p w14:paraId="23649D75" w14:textId="77777777" w:rsidR="0093362D" w:rsidRPr="00D95FA2" w:rsidRDefault="0093362D" w:rsidP="0093362D">
      <w:pPr>
        <w:spacing w:before="240" w:after="240"/>
        <w:rPr>
          <w:rFonts w:ascii="Calibri" w:hAnsi="Calibri" w:cs="Calibri"/>
          <w:color w:val="000000" w:themeColor="text1"/>
        </w:rPr>
      </w:pPr>
      <w:r w:rsidRPr="00D95FA2">
        <w:rPr>
          <w:rFonts w:ascii="Calibri" w:hAnsi="Calibri" w:cs="Calibri"/>
          <w:color w:val="000000" w:themeColor="text1"/>
        </w:rPr>
        <w:t xml:space="preserve">As I move forward, I want to remain attuned to these complexities and listen not only to what psychiatrists say, but to how they say it, what assumptions underpin their responses, and how their professional identities shape what is considered credible, risky, or unacceptable knowledge. </w:t>
      </w:r>
    </w:p>
    <w:p w14:paraId="65F96127" w14:textId="77777777" w:rsidR="0093362D" w:rsidRPr="00D95FA2" w:rsidRDefault="0093362D" w:rsidP="0093362D">
      <w:pPr>
        <w:rPr>
          <w:rFonts w:ascii="Calibri" w:hAnsi="Calibri" w:cs="Calibri"/>
          <w:b/>
          <w:bCs/>
          <w:u w:val="single"/>
        </w:rPr>
      </w:pPr>
      <w:r w:rsidRPr="00D95FA2">
        <w:rPr>
          <w:rFonts w:ascii="Calibri" w:hAnsi="Calibri" w:cs="Calibri"/>
          <w:b/>
          <w:bCs/>
          <w:u w:val="single"/>
        </w:rPr>
        <w:t>23.05.2025</w:t>
      </w:r>
    </w:p>
    <w:p w14:paraId="2B10F23B" w14:textId="77777777" w:rsidR="0093362D" w:rsidRPr="00D95FA2" w:rsidRDefault="0093362D" w:rsidP="0093362D">
      <w:pPr>
        <w:rPr>
          <w:rFonts w:ascii="Calibri" w:hAnsi="Calibri" w:cs="Calibri"/>
        </w:rPr>
      </w:pPr>
    </w:p>
    <w:p w14:paraId="44298BD6" w14:textId="77777777" w:rsidR="0093362D" w:rsidRPr="00D95FA2" w:rsidRDefault="0093362D" w:rsidP="0093362D">
      <w:pPr>
        <w:rPr>
          <w:rFonts w:ascii="Calibri" w:hAnsi="Calibri" w:cs="Calibri"/>
          <w:color w:val="000000" w:themeColor="text1"/>
        </w:rPr>
      </w:pPr>
      <w:r w:rsidRPr="00D95FA2">
        <w:rPr>
          <w:rFonts w:ascii="Calibri" w:hAnsi="Calibri" w:cs="Calibri"/>
          <w:color w:val="000000" w:themeColor="text1"/>
        </w:rPr>
        <w:t xml:space="preserve">As part of building rapport with </w:t>
      </w:r>
      <w:proofErr w:type="gramStart"/>
      <w:r w:rsidRPr="00D95FA2">
        <w:rPr>
          <w:rFonts w:ascii="Calibri" w:hAnsi="Calibri" w:cs="Calibri"/>
          <w:color w:val="000000" w:themeColor="text1"/>
        </w:rPr>
        <w:t>psychiatrists</w:t>
      </w:r>
      <w:proofErr w:type="gramEnd"/>
      <w:r w:rsidRPr="00D95FA2">
        <w:rPr>
          <w:rFonts w:ascii="Calibri" w:hAnsi="Calibri" w:cs="Calibri"/>
          <w:color w:val="000000" w:themeColor="text1"/>
        </w:rPr>
        <w:t xml:space="preserve"> I ask participants to answer an easier question at the beginning, which is why they chose to do psychiatry and to online their career path. I find this works well especially for participants who seem quite reserved and held back at the beginning. I also surrender to the idea that it may be quite hard to build perfect rapport within a span of a 45-minute interview which is conducted online rather than in person. I believe the physical co-presence could have enhanced rapport as being in the same space allows for more nuances reading of body language, facial expressions, and other nonverbal cues, which can help me respond with greater sensitivity and </w:t>
      </w:r>
      <w:proofErr w:type="spellStart"/>
      <w:r w:rsidRPr="00D95FA2">
        <w:rPr>
          <w:rFonts w:ascii="Calibri" w:hAnsi="Calibri" w:cs="Calibri"/>
          <w:color w:val="000000" w:themeColor="text1"/>
        </w:rPr>
        <w:t>attunement</w:t>
      </w:r>
      <w:proofErr w:type="spellEnd"/>
      <w:r w:rsidRPr="00D95FA2">
        <w:rPr>
          <w:rFonts w:ascii="Calibri" w:hAnsi="Calibri" w:cs="Calibri"/>
          <w:color w:val="000000" w:themeColor="text1"/>
        </w:rPr>
        <w:t xml:space="preserve"> to the participant's contributions. I try reminding myself of these drawbacks by asking clarifying </w:t>
      </w:r>
      <w:r w:rsidRPr="00D95FA2">
        <w:rPr>
          <w:rFonts w:ascii="Calibri" w:hAnsi="Calibri" w:cs="Calibri"/>
          <w:color w:val="000000" w:themeColor="text1"/>
        </w:rPr>
        <w:lastRenderedPageBreak/>
        <w:t>questions to make sure I am correctly interpreting what participants share with me. I am also aware that, as a relatively young adult, I may be seen by adolescent participants as either a peer-like figure or a minor authority, depending on how they interpret our interaction. This ambiguity may influence how candid they feel they can be, particularly on topics like mental health and self-diagnosis. I will remain mindful of this dynamic and aim to create a space where participants feel their perspectives are valued without judgment or expectation.</w:t>
      </w:r>
    </w:p>
    <w:p w14:paraId="08E678BF" w14:textId="77777777" w:rsidR="0093362D" w:rsidRPr="00D95FA2" w:rsidRDefault="0093362D" w:rsidP="0093362D">
      <w:pPr>
        <w:jc w:val="center"/>
        <w:rPr>
          <w:rFonts w:ascii="Calibri" w:hAnsi="Calibri" w:cs="Calibri"/>
          <w:b/>
          <w:bCs/>
          <w:lang w:eastAsia="ja-JP"/>
        </w:rPr>
      </w:pPr>
    </w:p>
    <w:p w14:paraId="0CB2EF5D" w14:textId="77777777" w:rsidR="0093362D" w:rsidRDefault="0093362D" w:rsidP="0093362D">
      <w:pPr>
        <w:jc w:val="center"/>
        <w:rPr>
          <w:b/>
          <w:bCs/>
          <w:lang w:eastAsia="ja-JP"/>
        </w:rPr>
      </w:pPr>
    </w:p>
    <w:p w14:paraId="47956A33" w14:textId="77777777" w:rsidR="0093362D" w:rsidRDefault="0093362D" w:rsidP="0093362D">
      <w:pPr>
        <w:jc w:val="center"/>
        <w:rPr>
          <w:b/>
          <w:bCs/>
          <w:lang w:eastAsia="ja-JP"/>
        </w:rPr>
      </w:pPr>
    </w:p>
    <w:p w14:paraId="4A17EED5" w14:textId="77777777" w:rsidR="0093362D" w:rsidRDefault="0093362D" w:rsidP="0093362D">
      <w:pPr>
        <w:jc w:val="center"/>
        <w:rPr>
          <w:b/>
          <w:bCs/>
          <w:lang w:eastAsia="ja-JP"/>
        </w:rPr>
      </w:pPr>
    </w:p>
    <w:p w14:paraId="13324616" w14:textId="77777777" w:rsidR="0093362D" w:rsidRDefault="0093362D" w:rsidP="0093362D">
      <w:pPr>
        <w:jc w:val="center"/>
        <w:rPr>
          <w:b/>
          <w:bCs/>
          <w:lang w:eastAsia="ja-JP"/>
        </w:rPr>
      </w:pPr>
    </w:p>
    <w:p w14:paraId="0AB77244" w14:textId="77777777" w:rsidR="0093362D" w:rsidRDefault="0093362D" w:rsidP="0093362D">
      <w:pPr>
        <w:jc w:val="center"/>
        <w:rPr>
          <w:b/>
          <w:bCs/>
          <w:lang w:eastAsia="ja-JP"/>
        </w:rPr>
      </w:pPr>
    </w:p>
    <w:p w14:paraId="3AA75DFD" w14:textId="77777777" w:rsidR="0093362D" w:rsidRDefault="0093362D" w:rsidP="0093362D">
      <w:pPr>
        <w:jc w:val="center"/>
        <w:rPr>
          <w:b/>
          <w:bCs/>
          <w:lang w:eastAsia="ja-JP"/>
        </w:rPr>
      </w:pPr>
    </w:p>
    <w:p w14:paraId="41CD9118" w14:textId="77777777" w:rsidR="0093362D" w:rsidRDefault="0093362D" w:rsidP="0093362D">
      <w:pPr>
        <w:jc w:val="center"/>
        <w:rPr>
          <w:b/>
          <w:bCs/>
          <w:lang w:eastAsia="ja-JP"/>
        </w:rPr>
      </w:pPr>
    </w:p>
    <w:p w14:paraId="06442BED" w14:textId="77777777" w:rsidR="0093362D" w:rsidRDefault="0093362D" w:rsidP="0093362D">
      <w:pPr>
        <w:jc w:val="center"/>
        <w:rPr>
          <w:b/>
          <w:bCs/>
          <w:lang w:eastAsia="ja-JP"/>
        </w:rPr>
      </w:pPr>
    </w:p>
    <w:p w14:paraId="0055CD49" w14:textId="77777777" w:rsidR="0093362D" w:rsidRDefault="0093362D" w:rsidP="0093362D">
      <w:pPr>
        <w:jc w:val="center"/>
        <w:rPr>
          <w:b/>
          <w:bCs/>
          <w:lang w:eastAsia="ja-JP"/>
        </w:rPr>
      </w:pPr>
    </w:p>
    <w:p w14:paraId="76B1271C" w14:textId="77777777" w:rsidR="0093362D" w:rsidRDefault="0093362D" w:rsidP="0093362D">
      <w:pPr>
        <w:jc w:val="center"/>
        <w:rPr>
          <w:b/>
          <w:bCs/>
          <w:lang w:eastAsia="ja-JP"/>
        </w:rPr>
      </w:pPr>
    </w:p>
    <w:p w14:paraId="053642DB" w14:textId="77777777" w:rsidR="0093362D" w:rsidRDefault="0093362D" w:rsidP="0093362D">
      <w:pPr>
        <w:jc w:val="center"/>
        <w:rPr>
          <w:b/>
          <w:bCs/>
          <w:lang w:eastAsia="ja-JP"/>
        </w:rPr>
      </w:pPr>
    </w:p>
    <w:p w14:paraId="0DAF79A5" w14:textId="77777777" w:rsidR="0093362D" w:rsidRDefault="0093362D" w:rsidP="0093362D">
      <w:pPr>
        <w:jc w:val="center"/>
        <w:rPr>
          <w:b/>
          <w:bCs/>
          <w:lang w:eastAsia="ja-JP"/>
        </w:rPr>
      </w:pPr>
    </w:p>
    <w:sectPr w:rsidR="0093362D" w:rsidSect="0093362D">
      <w:headerReference w:type="even" r:id="rId7"/>
      <w:headerReference w:type="default" r:id="rId8"/>
      <w:footerReference w:type="even" r:id="rId9"/>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F5D01" w14:textId="77777777" w:rsidR="00D104A4" w:rsidRDefault="00D104A4">
      <w:r>
        <w:separator/>
      </w:r>
    </w:p>
  </w:endnote>
  <w:endnote w:type="continuationSeparator" w:id="0">
    <w:p w14:paraId="2F0BFFE2" w14:textId="77777777" w:rsidR="00D104A4" w:rsidRDefault="00D1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0306508"/>
      <w:docPartObj>
        <w:docPartGallery w:val="Page Numbers (Bottom of Page)"/>
        <w:docPartUnique/>
      </w:docPartObj>
    </w:sdtPr>
    <w:sdtContent>
      <w:p w14:paraId="4A1D9F65" w14:textId="77777777" w:rsidR="0093362D" w:rsidRDefault="0093362D" w:rsidP="007513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78CD64" w14:textId="77777777" w:rsidR="0093362D" w:rsidRDefault="0093362D" w:rsidP="00D95F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48730844"/>
      <w:docPartObj>
        <w:docPartGallery w:val="Page Numbers (Bottom of Page)"/>
        <w:docPartUnique/>
      </w:docPartObj>
    </w:sdtPr>
    <w:sdtContent>
      <w:p w14:paraId="2E64DC81" w14:textId="77777777" w:rsidR="0093362D" w:rsidRDefault="0093362D" w:rsidP="007513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6C0EA3" w14:textId="77777777" w:rsidR="0093362D" w:rsidRDefault="0093362D" w:rsidP="00D95F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2B354" w14:textId="77777777" w:rsidR="00D104A4" w:rsidRDefault="00D104A4">
      <w:r>
        <w:separator/>
      </w:r>
    </w:p>
  </w:footnote>
  <w:footnote w:type="continuationSeparator" w:id="0">
    <w:p w14:paraId="06B9A131" w14:textId="77777777" w:rsidR="00D104A4" w:rsidRDefault="00D10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1006569"/>
      <w:docPartObj>
        <w:docPartGallery w:val="Page Numbers (Top of Page)"/>
        <w:docPartUnique/>
      </w:docPartObj>
    </w:sdtPr>
    <w:sdtContent>
      <w:p w14:paraId="052D626B" w14:textId="77777777" w:rsidR="0093362D" w:rsidRDefault="0093362D" w:rsidP="00FC5FF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25432A" w14:textId="77777777" w:rsidR="0093362D" w:rsidRDefault="0093362D" w:rsidP="006D4461">
    <w:pPr>
      <w:pStyle w:val="Header"/>
      <w:ind w:right="360"/>
    </w:pPr>
  </w:p>
  <w:p w14:paraId="658E871C" w14:textId="77777777" w:rsidR="0093362D" w:rsidRDefault="0093362D"/>
  <w:p w14:paraId="27E229BF" w14:textId="77777777" w:rsidR="0093362D" w:rsidRDefault="0093362D" w:rsidP="00D84F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63DE4" w14:textId="77777777" w:rsidR="0093362D" w:rsidRDefault="0093362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23478"/>
    <w:multiLevelType w:val="hybridMultilevel"/>
    <w:tmpl w:val="0DA00B46"/>
    <w:lvl w:ilvl="0" w:tplc="F8D21E28">
      <w:start w:val="1"/>
      <w:numFmt w:val="bullet"/>
      <w:lvlText w:val=""/>
      <w:lvlJc w:val="left"/>
      <w:pPr>
        <w:ind w:left="720" w:hanging="360"/>
      </w:pPr>
      <w:rPr>
        <w:rFonts w:ascii="Symbol" w:hAnsi="Symbol" w:hint="default"/>
      </w:rPr>
    </w:lvl>
    <w:lvl w:ilvl="1" w:tplc="3FBC7AE0">
      <w:start w:val="1"/>
      <w:numFmt w:val="bullet"/>
      <w:lvlText w:val="o"/>
      <w:lvlJc w:val="left"/>
      <w:pPr>
        <w:ind w:left="1440" w:hanging="360"/>
      </w:pPr>
      <w:rPr>
        <w:rFonts w:ascii="Courier New" w:hAnsi="Courier New" w:hint="default"/>
      </w:rPr>
    </w:lvl>
    <w:lvl w:ilvl="2" w:tplc="5F244336">
      <w:start w:val="1"/>
      <w:numFmt w:val="bullet"/>
      <w:lvlText w:val=""/>
      <w:lvlJc w:val="left"/>
      <w:pPr>
        <w:ind w:left="2160" w:hanging="360"/>
      </w:pPr>
      <w:rPr>
        <w:rFonts w:ascii="Wingdings" w:hAnsi="Wingdings" w:hint="default"/>
      </w:rPr>
    </w:lvl>
    <w:lvl w:ilvl="3" w:tplc="F788AB46">
      <w:start w:val="1"/>
      <w:numFmt w:val="bullet"/>
      <w:lvlText w:val=""/>
      <w:lvlJc w:val="left"/>
      <w:pPr>
        <w:ind w:left="2880" w:hanging="360"/>
      </w:pPr>
      <w:rPr>
        <w:rFonts w:ascii="Symbol" w:hAnsi="Symbol" w:hint="default"/>
      </w:rPr>
    </w:lvl>
    <w:lvl w:ilvl="4" w:tplc="111A8790">
      <w:start w:val="1"/>
      <w:numFmt w:val="bullet"/>
      <w:lvlText w:val="o"/>
      <w:lvlJc w:val="left"/>
      <w:pPr>
        <w:ind w:left="3600" w:hanging="360"/>
      </w:pPr>
      <w:rPr>
        <w:rFonts w:ascii="Courier New" w:hAnsi="Courier New" w:hint="default"/>
      </w:rPr>
    </w:lvl>
    <w:lvl w:ilvl="5" w:tplc="3160A2A6">
      <w:start w:val="1"/>
      <w:numFmt w:val="bullet"/>
      <w:lvlText w:val=""/>
      <w:lvlJc w:val="left"/>
      <w:pPr>
        <w:ind w:left="4320" w:hanging="360"/>
      </w:pPr>
      <w:rPr>
        <w:rFonts w:ascii="Wingdings" w:hAnsi="Wingdings" w:hint="default"/>
      </w:rPr>
    </w:lvl>
    <w:lvl w:ilvl="6" w:tplc="2E5283C8">
      <w:start w:val="1"/>
      <w:numFmt w:val="bullet"/>
      <w:lvlText w:val=""/>
      <w:lvlJc w:val="left"/>
      <w:pPr>
        <w:ind w:left="5040" w:hanging="360"/>
      </w:pPr>
      <w:rPr>
        <w:rFonts w:ascii="Symbol" w:hAnsi="Symbol" w:hint="default"/>
      </w:rPr>
    </w:lvl>
    <w:lvl w:ilvl="7" w:tplc="2D267992">
      <w:start w:val="1"/>
      <w:numFmt w:val="bullet"/>
      <w:lvlText w:val="o"/>
      <w:lvlJc w:val="left"/>
      <w:pPr>
        <w:ind w:left="5760" w:hanging="360"/>
      </w:pPr>
      <w:rPr>
        <w:rFonts w:ascii="Courier New" w:hAnsi="Courier New" w:hint="default"/>
      </w:rPr>
    </w:lvl>
    <w:lvl w:ilvl="8" w:tplc="6D4458B6">
      <w:start w:val="1"/>
      <w:numFmt w:val="bullet"/>
      <w:lvlText w:val=""/>
      <w:lvlJc w:val="left"/>
      <w:pPr>
        <w:ind w:left="6480" w:hanging="360"/>
      </w:pPr>
      <w:rPr>
        <w:rFonts w:ascii="Wingdings" w:hAnsi="Wingdings" w:hint="default"/>
      </w:rPr>
    </w:lvl>
  </w:abstractNum>
  <w:abstractNum w:abstractNumId="1" w15:restartNumberingAfterBreak="0">
    <w:nsid w:val="058F32FB"/>
    <w:multiLevelType w:val="hybridMultilevel"/>
    <w:tmpl w:val="57F8495A"/>
    <w:lvl w:ilvl="0" w:tplc="65E44912">
      <w:start w:val="1"/>
      <w:numFmt w:val="bullet"/>
      <w:lvlText w:val=""/>
      <w:lvlJc w:val="left"/>
      <w:pPr>
        <w:ind w:left="720" w:hanging="360"/>
      </w:pPr>
      <w:rPr>
        <w:rFonts w:ascii="Symbol" w:hAnsi="Symbol" w:hint="default"/>
      </w:rPr>
    </w:lvl>
    <w:lvl w:ilvl="1" w:tplc="9D96165E">
      <w:start w:val="1"/>
      <w:numFmt w:val="bullet"/>
      <w:lvlText w:val="o"/>
      <w:lvlJc w:val="left"/>
      <w:pPr>
        <w:ind w:left="1440" w:hanging="360"/>
      </w:pPr>
      <w:rPr>
        <w:rFonts w:ascii="Courier New" w:hAnsi="Courier New" w:hint="default"/>
      </w:rPr>
    </w:lvl>
    <w:lvl w:ilvl="2" w:tplc="6E1E0046">
      <w:start w:val="1"/>
      <w:numFmt w:val="bullet"/>
      <w:lvlText w:val=""/>
      <w:lvlJc w:val="left"/>
      <w:pPr>
        <w:ind w:left="2160" w:hanging="360"/>
      </w:pPr>
      <w:rPr>
        <w:rFonts w:ascii="Wingdings" w:hAnsi="Wingdings" w:hint="default"/>
      </w:rPr>
    </w:lvl>
    <w:lvl w:ilvl="3" w:tplc="EEFCD256">
      <w:start w:val="1"/>
      <w:numFmt w:val="bullet"/>
      <w:lvlText w:val=""/>
      <w:lvlJc w:val="left"/>
      <w:pPr>
        <w:ind w:left="2880" w:hanging="360"/>
      </w:pPr>
      <w:rPr>
        <w:rFonts w:ascii="Symbol" w:hAnsi="Symbol" w:hint="default"/>
      </w:rPr>
    </w:lvl>
    <w:lvl w:ilvl="4" w:tplc="D2129E6C">
      <w:start w:val="1"/>
      <w:numFmt w:val="bullet"/>
      <w:lvlText w:val="o"/>
      <w:lvlJc w:val="left"/>
      <w:pPr>
        <w:ind w:left="3600" w:hanging="360"/>
      </w:pPr>
      <w:rPr>
        <w:rFonts w:ascii="Courier New" w:hAnsi="Courier New" w:hint="default"/>
      </w:rPr>
    </w:lvl>
    <w:lvl w:ilvl="5" w:tplc="373EB38C">
      <w:start w:val="1"/>
      <w:numFmt w:val="bullet"/>
      <w:lvlText w:val=""/>
      <w:lvlJc w:val="left"/>
      <w:pPr>
        <w:ind w:left="4320" w:hanging="360"/>
      </w:pPr>
      <w:rPr>
        <w:rFonts w:ascii="Wingdings" w:hAnsi="Wingdings" w:hint="default"/>
      </w:rPr>
    </w:lvl>
    <w:lvl w:ilvl="6" w:tplc="A3EE94F4">
      <w:start w:val="1"/>
      <w:numFmt w:val="bullet"/>
      <w:lvlText w:val=""/>
      <w:lvlJc w:val="left"/>
      <w:pPr>
        <w:ind w:left="5040" w:hanging="360"/>
      </w:pPr>
      <w:rPr>
        <w:rFonts w:ascii="Symbol" w:hAnsi="Symbol" w:hint="default"/>
      </w:rPr>
    </w:lvl>
    <w:lvl w:ilvl="7" w:tplc="C71AABFC">
      <w:start w:val="1"/>
      <w:numFmt w:val="bullet"/>
      <w:lvlText w:val="o"/>
      <w:lvlJc w:val="left"/>
      <w:pPr>
        <w:ind w:left="5760" w:hanging="360"/>
      </w:pPr>
      <w:rPr>
        <w:rFonts w:ascii="Courier New" w:hAnsi="Courier New" w:hint="default"/>
      </w:rPr>
    </w:lvl>
    <w:lvl w:ilvl="8" w:tplc="66344FF4">
      <w:start w:val="1"/>
      <w:numFmt w:val="bullet"/>
      <w:lvlText w:val=""/>
      <w:lvlJc w:val="left"/>
      <w:pPr>
        <w:ind w:left="6480" w:hanging="360"/>
      </w:pPr>
      <w:rPr>
        <w:rFonts w:ascii="Wingdings" w:hAnsi="Wingdings" w:hint="default"/>
      </w:rPr>
    </w:lvl>
  </w:abstractNum>
  <w:abstractNum w:abstractNumId="2" w15:restartNumberingAfterBreak="0">
    <w:nsid w:val="15AA6A8D"/>
    <w:multiLevelType w:val="hybridMultilevel"/>
    <w:tmpl w:val="36026430"/>
    <w:lvl w:ilvl="0" w:tplc="074A24DE">
      <w:start w:val="1"/>
      <w:numFmt w:val="bullet"/>
      <w:lvlText w:val=""/>
      <w:lvlJc w:val="left"/>
      <w:pPr>
        <w:ind w:left="720" w:hanging="360"/>
      </w:pPr>
      <w:rPr>
        <w:rFonts w:ascii="Symbol" w:hAnsi="Symbol" w:hint="default"/>
      </w:rPr>
    </w:lvl>
    <w:lvl w:ilvl="1" w:tplc="AC1C2238">
      <w:start w:val="1"/>
      <w:numFmt w:val="bullet"/>
      <w:lvlText w:val="o"/>
      <w:lvlJc w:val="left"/>
      <w:pPr>
        <w:ind w:left="1440" w:hanging="360"/>
      </w:pPr>
      <w:rPr>
        <w:rFonts w:ascii="Courier New" w:hAnsi="Courier New" w:hint="default"/>
      </w:rPr>
    </w:lvl>
    <w:lvl w:ilvl="2" w:tplc="155A8058">
      <w:start w:val="1"/>
      <w:numFmt w:val="bullet"/>
      <w:lvlText w:val=""/>
      <w:lvlJc w:val="left"/>
      <w:pPr>
        <w:ind w:left="2160" w:hanging="360"/>
      </w:pPr>
      <w:rPr>
        <w:rFonts w:ascii="Wingdings" w:hAnsi="Wingdings" w:hint="default"/>
      </w:rPr>
    </w:lvl>
    <w:lvl w:ilvl="3" w:tplc="305ECAEA">
      <w:start w:val="1"/>
      <w:numFmt w:val="bullet"/>
      <w:lvlText w:val=""/>
      <w:lvlJc w:val="left"/>
      <w:pPr>
        <w:ind w:left="2880" w:hanging="360"/>
      </w:pPr>
      <w:rPr>
        <w:rFonts w:ascii="Symbol" w:hAnsi="Symbol" w:hint="default"/>
      </w:rPr>
    </w:lvl>
    <w:lvl w:ilvl="4" w:tplc="FAFE9AFC">
      <w:start w:val="1"/>
      <w:numFmt w:val="bullet"/>
      <w:lvlText w:val="o"/>
      <w:lvlJc w:val="left"/>
      <w:pPr>
        <w:ind w:left="3600" w:hanging="360"/>
      </w:pPr>
      <w:rPr>
        <w:rFonts w:ascii="Courier New" w:hAnsi="Courier New" w:hint="default"/>
      </w:rPr>
    </w:lvl>
    <w:lvl w:ilvl="5" w:tplc="4CE8C532">
      <w:start w:val="1"/>
      <w:numFmt w:val="bullet"/>
      <w:lvlText w:val=""/>
      <w:lvlJc w:val="left"/>
      <w:pPr>
        <w:ind w:left="4320" w:hanging="360"/>
      </w:pPr>
      <w:rPr>
        <w:rFonts w:ascii="Wingdings" w:hAnsi="Wingdings" w:hint="default"/>
      </w:rPr>
    </w:lvl>
    <w:lvl w:ilvl="6" w:tplc="9D06A000">
      <w:start w:val="1"/>
      <w:numFmt w:val="bullet"/>
      <w:lvlText w:val=""/>
      <w:lvlJc w:val="left"/>
      <w:pPr>
        <w:ind w:left="5040" w:hanging="360"/>
      </w:pPr>
      <w:rPr>
        <w:rFonts w:ascii="Symbol" w:hAnsi="Symbol" w:hint="default"/>
      </w:rPr>
    </w:lvl>
    <w:lvl w:ilvl="7" w:tplc="A292310E">
      <w:start w:val="1"/>
      <w:numFmt w:val="bullet"/>
      <w:lvlText w:val="o"/>
      <w:lvlJc w:val="left"/>
      <w:pPr>
        <w:ind w:left="5760" w:hanging="360"/>
      </w:pPr>
      <w:rPr>
        <w:rFonts w:ascii="Courier New" w:hAnsi="Courier New" w:hint="default"/>
      </w:rPr>
    </w:lvl>
    <w:lvl w:ilvl="8" w:tplc="7318DC04">
      <w:start w:val="1"/>
      <w:numFmt w:val="bullet"/>
      <w:lvlText w:val=""/>
      <w:lvlJc w:val="left"/>
      <w:pPr>
        <w:ind w:left="6480" w:hanging="360"/>
      </w:pPr>
      <w:rPr>
        <w:rFonts w:ascii="Wingdings" w:hAnsi="Wingdings" w:hint="default"/>
      </w:rPr>
    </w:lvl>
  </w:abstractNum>
  <w:abstractNum w:abstractNumId="3" w15:restartNumberingAfterBreak="0">
    <w:nsid w:val="1B2C8BB9"/>
    <w:multiLevelType w:val="hybridMultilevel"/>
    <w:tmpl w:val="8772AEE2"/>
    <w:lvl w:ilvl="0" w:tplc="9D1CBF1E">
      <w:start w:val="1"/>
      <w:numFmt w:val="bullet"/>
      <w:lvlText w:val=""/>
      <w:lvlJc w:val="left"/>
      <w:pPr>
        <w:ind w:left="720" w:hanging="360"/>
      </w:pPr>
      <w:rPr>
        <w:rFonts w:ascii="Symbol" w:hAnsi="Symbol" w:hint="default"/>
      </w:rPr>
    </w:lvl>
    <w:lvl w:ilvl="1" w:tplc="75EC82BE">
      <w:start w:val="1"/>
      <w:numFmt w:val="bullet"/>
      <w:lvlText w:val="o"/>
      <w:lvlJc w:val="left"/>
      <w:pPr>
        <w:ind w:left="1440" w:hanging="360"/>
      </w:pPr>
      <w:rPr>
        <w:rFonts w:ascii="Courier New" w:hAnsi="Courier New" w:hint="default"/>
      </w:rPr>
    </w:lvl>
    <w:lvl w:ilvl="2" w:tplc="1722E4F6">
      <w:start w:val="1"/>
      <w:numFmt w:val="bullet"/>
      <w:lvlText w:val=""/>
      <w:lvlJc w:val="left"/>
      <w:pPr>
        <w:ind w:left="2160" w:hanging="360"/>
      </w:pPr>
      <w:rPr>
        <w:rFonts w:ascii="Wingdings" w:hAnsi="Wingdings" w:hint="default"/>
      </w:rPr>
    </w:lvl>
    <w:lvl w:ilvl="3" w:tplc="352AD25E">
      <w:start w:val="1"/>
      <w:numFmt w:val="bullet"/>
      <w:lvlText w:val=""/>
      <w:lvlJc w:val="left"/>
      <w:pPr>
        <w:ind w:left="2880" w:hanging="360"/>
      </w:pPr>
      <w:rPr>
        <w:rFonts w:ascii="Symbol" w:hAnsi="Symbol" w:hint="default"/>
      </w:rPr>
    </w:lvl>
    <w:lvl w:ilvl="4" w:tplc="EAF66D22">
      <w:start w:val="1"/>
      <w:numFmt w:val="bullet"/>
      <w:lvlText w:val="o"/>
      <w:lvlJc w:val="left"/>
      <w:pPr>
        <w:ind w:left="3600" w:hanging="360"/>
      </w:pPr>
      <w:rPr>
        <w:rFonts w:ascii="Courier New" w:hAnsi="Courier New" w:hint="default"/>
      </w:rPr>
    </w:lvl>
    <w:lvl w:ilvl="5" w:tplc="4B125F8C">
      <w:start w:val="1"/>
      <w:numFmt w:val="bullet"/>
      <w:lvlText w:val=""/>
      <w:lvlJc w:val="left"/>
      <w:pPr>
        <w:ind w:left="4320" w:hanging="360"/>
      </w:pPr>
      <w:rPr>
        <w:rFonts w:ascii="Wingdings" w:hAnsi="Wingdings" w:hint="default"/>
      </w:rPr>
    </w:lvl>
    <w:lvl w:ilvl="6" w:tplc="D5A004EA">
      <w:start w:val="1"/>
      <w:numFmt w:val="bullet"/>
      <w:lvlText w:val=""/>
      <w:lvlJc w:val="left"/>
      <w:pPr>
        <w:ind w:left="5040" w:hanging="360"/>
      </w:pPr>
      <w:rPr>
        <w:rFonts w:ascii="Symbol" w:hAnsi="Symbol" w:hint="default"/>
      </w:rPr>
    </w:lvl>
    <w:lvl w:ilvl="7" w:tplc="F08A8718">
      <w:start w:val="1"/>
      <w:numFmt w:val="bullet"/>
      <w:lvlText w:val="o"/>
      <w:lvlJc w:val="left"/>
      <w:pPr>
        <w:ind w:left="5760" w:hanging="360"/>
      </w:pPr>
      <w:rPr>
        <w:rFonts w:ascii="Courier New" w:hAnsi="Courier New" w:hint="default"/>
      </w:rPr>
    </w:lvl>
    <w:lvl w:ilvl="8" w:tplc="0F4C230E">
      <w:start w:val="1"/>
      <w:numFmt w:val="bullet"/>
      <w:lvlText w:val=""/>
      <w:lvlJc w:val="left"/>
      <w:pPr>
        <w:ind w:left="6480" w:hanging="360"/>
      </w:pPr>
      <w:rPr>
        <w:rFonts w:ascii="Wingdings" w:hAnsi="Wingdings" w:hint="default"/>
      </w:rPr>
    </w:lvl>
  </w:abstractNum>
  <w:abstractNum w:abstractNumId="4" w15:restartNumberingAfterBreak="0">
    <w:nsid w:val="4110A4FF"/>
    <w:multiLevelType w:val="hybridMultilevel"/>
    <w:tmpl w:val="1BBEC092"/>
    <w:lvl w:ilvl="0" w:tplc="52423108">
      <w:start w:val="1"/>
      <w:numFmt w:val="bullet"/>
      <w:lvlText w:val=""/>
      <w:lvlJc w:val="left"/>
      <w:pPr>
        <w:ind w:left="720" w:hanging="360"/>
      </w:pPr>
      <w:rPr>
        <w:rFonts w:ascii="Symbol" w:hAnsi="Symbol" w:hint="default"/>
      </w:rPr>
    </w:lvl>
    <w:lvl w:ilvl="1" w:tplc="4CC20E8E">
      <w:start w:val="1"/>
      <w:numFmt w:val="bullet"/>
      <w:lvlText w:val="o"/>
      <w:lvlJc w:val="left"/>
      <w:pPr>
        <w:ind w:left="1440" w:hanging="360"/>
      </w:pPr>
      <w:rPr>
        <w:rFonts w:ascii="Courier New" w:hAnsi="Courier New" w:hint="default"/>
      </w:rPr>
    </w:lvl>
    <w:lvl w:ilvl="2" w:tplc="C90418DC">
      <w:start w:val="1"/>
      <w:numFmt w:val="bullet"/>
      <w:lvlText w:val=""/>
      <w:lvlJc w:val="left"/>
      <w:pPr>
        <w:ind w:left="2160" w:hanging="360"/>
      </w:pPr>
      <w:rPr>
        <w:rFonts w:ascii="Wingdings" w:hAnsi="Wingdings" w:hint="default"/>
      </w:rPr>
    </w:lvl>
    <w:lvl w:ilvl="3" w:tplc="FD961C72">
      <w:start w:val="1"/>
      <w:numFmt w:val="bullet"/>
      <w:lvlText w:val=""/>
      <w:lvlJc w:val="left"/>
      <w:pPr>
        <w:ind w:left="2880" w:hanging="360"/>
      </w:pPr>
      <w:rPr>
        <w:rFonts w:ascii="Symbol" w:hAnsi="Symbol" w:hint="default"/>
      </w:rPr>
    </w:lvl>
    <w:lvl w:ilvl="4" w:tplc="ACA01D36">
      <w:start w:val="1"/>
      <w:numFmt w:val="bullet"/>
      <w:lvlText w:val="o"/>
      <w:lvlJc w:val="left"/>
      <w:pPr>
        <w:ind w:left="3600" w:hanging="360"/>
      </w:pPr>
      <w:rPr>
        <w:rFonts w:ascii="Courier New" w:hAnsi="Courier New" w:hint="default"/>
      </w:rPr>
    </w:lvl>
    <w:lvl w:ilvl="5" w:tplc="23D284C6">
      <w:start w:val="1"/>
      <w:numFmt w:val="bullet"/>
      <w:lvlText w:val=""/>
      <w:lvlJc w:val="left"/>
      <w:pPr>
        <w:ind w:left="4320" w:hanging="360"/>
      </w:pPr>
      <w:rPr>
        <w:rFonts w:ascii="Wingdings" w:hAnsi="Wingdings" w:hint="default"/>
      </w:rPr>
    </w:lvl>
    <w:lvl w:ilvl="6" w:tplc="274631EC">
      <w:start w:val="1"/>
      <w:numFmt w:val="bullet"/>
      <w:lvlText w:val=""/>
      <w:lvlJc w:val="left"/>
      <w:pPr>
        <w:ind w:left="5040" w:hanging="360"/>
      </w:pPr>
      <w:rPr>
        <w:rFonts w:ascii="Symbol" w:hAnsi="Symbol" w:hint="default"/>
      </w:rPr>
    </w:lvl>
    <w:lvl w:ilvl="7" w:tplc="A2EE18B0">
      <w:start w:val="1"/>
      <w:numFmt w:val="bullet"/>
      <w:lvlText w:val="o"/>
      <w:lvlJc w:val="left"/>
      <w:pPr>
        <w:ind w:left="5760" w:hanging="360"/>
      </w:pPr>
      <w:rPr>
        <w:rFonts w:ascii="Courier New" w:hAnsi="Courier New" w:hint="default"/>
      </w:rPr>
    </w:lvl>
    <w:lvl w:ilvl="8" w:tplc="A0822508">
      <w:start w:val="1"/>
      <w:numFmt w:val="bullet"/>
      <w:lvlText w:val=""/>
      <w:lvlJc w:val="left"/>
      <w:pPr>
        <w:ind w:left="6480" w:hanging="360"/>
      </w:pPr>
      <w:rPr>
        <w:rFonts w:ascii="Wingdings" w:hAnsi="Wingdings" w:hint="default"/>
      </w:rPr>
    </w:lvl>
  </w:abstractNum>
  <w:abstractNum w:abstractNumId="5" w15:restartNumberingAfterBreak="0">
    <w:nsid w:val="436300BC"/>
    <w:multiLevelType w:val="hybridMultilevel"/>
    <w:tmpl w:val="2FDA05C6"/>
    <w:lvl w:ilvl="0" w:tplc="BE8EFABE">
      <w:start w:val="1"/>
      <w:numFmt w:val="bullet"/>
      <w:lvlText w:val=""/>
      <w:lvlJc w:val="left"/>
      <w:pPr>
        <w:ind w:left="720" w:hanging="360"/>
      </w:pPr>
      <w:rPr>
        <w:rFonts w:ascii="Symbol" w:hAnsi="Symbol" w:hint="default"/>
      </w:rPr>
    </w:lvl>
    <w:lvl w:ilvl="1" w:tplc="17FC971C">
      <w:start w:val="1"/>
      <w:numFmt w:val="bullet"/>
      <w:lvlText w:val="o"/>
      <w:lvlJc w:val="left"/>
      <w:pPr>
        <w:ind w:left="1440" w:hanging="360"/>
      </w:pPr>
      <w:rPr>
        <w:rFonts w:ascii="Courier New" w:hAnsi="Courier New" w:hint="default"/>
      </w:rPr>
    </w:lvl>
    <w:lvl w:ilvl="2" w:tplc="AE8EF94A">
      <w:start w:val="1"/>
      <w:numFmt w:val="bullet"/>
      <w:lvlText w:val=""/>
      <w:lvlJc w:val="left"/>
      <w:pPr>
        <w:ind w:left="2160" w:hanging="360"/>
      </w:pPr>
      <w:rPr>
        <w:rFonts w:ascii="Wingdings" w:hAnsi="Wingdings" w:hint="default"/>
      </w:rPr>
    </w:lvl>
    <w:lvl w:ilvl="3" w:tplc="12E0703A">
      <w:start w:val="1"/>
      <w:numFmt w:val="bullet"/>
      <w:lvlText w:val=""/>
      <w:lvlJc w:val="left"/>
      <w:pPr>
        <w:ind w:left="2880" w:hanging="360"/>
      </w:pPr>
      <w:rPr>
        <w:rFonts w:ascii="Symbol" w:hAnsi="Symbol" w:hint="default"/>
      </w:rPr>
    </w:lvl>
    <w:lvl w:ilvl="4" w:tplc="EAD46D60">
      <w:start w:val="1"/>
      <w:numFmt w:val="bullet"/>
      <w:lvlText w:val="o"/>
      <w:lvlJc w:val="left"/>
      <w:pPr>
        <w:ind w:left="3600" w:hanging="360"/>
      </w:pPr>
      <w:rPr>
        <w:rFonts w:ascii="Courier New" w:hAnsi="Courier New" w:hint="default"/>
      </w:rPr>
    </w:lvl>
    <w:lvl w:ilvl="5" w:tplc="7F0C7636">
      <w:start w:val="1"/>
      <w:numFmt w:val="bullet"/>
      <w:lvlText w:val=""/>
      <w:lvlJc w:val="left"/>
      <w:pPr>
        <w:ind w:left="4320" w:hanging="360"/>
      </w:pPr>
      <w:rPr>
        <w:rFonts w:ascii="Wingdings" w:hAnsi="Wingdings" w:hint="default"/>
      </w:rPr>
    </w:lvl>
    <w:lvl w:ilvl="6" w:tplc="93780D04">
      <w:start w:val="1"/>
      <w:numFmt w:val="bullet"/>
      <w:lvlText w:val=""/>
      <w:lvlJc w:val="left"/>
      <w:pPr>
        <w:ind w:left="5040" w:hanging="360"/>
      </w:pPr>
      <w:rPr>
        <w:rFonts w:ascii="Symbol" w:hAnsi="Symbol" w:hint="default"/>
      </w:rPr>
    </w:lvl>
    <w:lvl w:ilvl="7" w:tplc="D77082D0">
      <w:start w:val="1"/>
      <w:numFmt w:val="bullet"/>
      <w:lvlText w:val="o"/>
      <w:lvlJc w:val="left"/>
      <w:pPr>
        <w:ind w:left="5760" w:hanging="360"/>
      </w:pPr>
      <w:rPr>
        <w:rFonts w:ascii="Courier New" w:hAnsi="Courier New" w:hint="default"/>
      </w:rPr>
    </w:lvl>
    <w:lvl w:ilvl="8" w:tplc="DED4FB02">
      <w:start w:val="1"/>
      <w:numFmt w:val="bullet"/>
      <w:lvlText w:val=""/>
      <w:lvlJc w:val="left"/>
      <w:pPr>
        <w:ind w:left="6480" w:hanging="360"/>
      </w:pPr>
      <w:rPr>
        <w:rFonts w:ascii="Wingdings" w:hAnsi="Wingdings" w:hint="default"/>
      </w:rPr>
    </w:lvl>
  </w:abstractNum>
  <w:abstractNum w:abstractNumId="6" w15:restartNumberingAfterBreak="0">
    <w:nsid w:val="53CC1CE7"/>
    <w:multiLevelType w:val="hybridMultilevel"/>
    <w:tmpl w:val="3500A028"/>
    <w:lvl w:ilvl="0" w:tplc="BC267B28">
      <w:start w:val="1"/>
      <w:numFmt w:val="bullet"/>
      <w:lvlText w:val=""/>
      <w:lvlJc w:val="left"/>
      <w:pPr>
        <w:ind w:left="720" w:hanging="360"/>
      </w:pPr>
      <w:rPr>
        <w:rFonts w:ascii="Symbol" w:hAnsi="Symbol" w:hint="default"/>
      </w:rPr>
    </w:lvl>
    <w:lvl w:ilvl="1" w:tplc="2C4A67C0">
      <w:start w:val="1"/>
      <w:numFmt w:val="bullet"/>
      <w:lvlText w:val="o"/>
      <w:lvlJc w:val="left"/>
      <w:pPr>
        <w:ind w:left="1440" w:hanging="360"/>
      </w:pPr>
      <w:rPr>
        <w:rFonts w:ascii="Courier New" w:hAnsi="Courier New" w:hint="default"/>
      </w:rPr>
    </w:lvl>
    <w:lvl w:ilvl="2" w:tplc="C9C080D8">
      <w:start w:val="1"/>
      <w:numFmt w:val="bullet"/>
      <w:lvlText w:val=""/>
      <w:lvlJc w:val="left"/>
      <w:pPr>
        <w:ind w:left="2160" w:hanging="360"/>
      </w:pPr>
      <w:rPr>
        <w:rFonts w:ascii="Wingdings" w:hAnsi="Wingdings" w:hint="default"/>
      </w:rPr>
    </w:lvl>
    <w:lvl w:ilvl="3" w:tplc="733AD4B2">
      <w:start w:val="1"/>
      <w:numFmt w:val="bullet"/>
      <w:lvlText w:val=""/>
      <w:lvlJc w:val="left"/>
      <w:pPr>
        <w:ind w:left="2880" w:hanging="360"/>
      </w:pPr>
      <w:rPr>
        <w:rFonts w:ascii="Symbol" w:hAnsi="Symbol" w:hint="default"/>
      </w:rPr>
    </w:lvl>
    <w:lvl w:ilvl="4" w:tplc="43BE23EC">
      <w:start w:val="1"/>
      <w:numFmt w:val="bullet"/>
      <w:lvlText w:val="o"/>
      <w:lvlJc w:val="left"/>
      <w:pPr>
        <w:ind w:left="3600" w:hanging="360"/>
      </w:pPr>
      <w:rPr>
        <w:rFonts w:ascii="Courier New" w:hAnsi="Courier New" w:hint="default"/>
      </w:rPr>
    </w:lvl>
    <w:lvl w:ilvl="5" w:tplc="5DCE16B4">
      <w:start w:val="1"/>
      <w:numFmt w:val="bullet"/>
      <w:lvlText w:val=""/>
      <w:lvlJc w:val="left"/>
      <w:pPr>
        <w:ind w:left="4320" w:hanging="360"/>
      </w:pPr>
      <w:rPr>
        <w:rFonts w:ascii="Wingdings" w:hAnsi="Wingdings" w:hint="default"/>
      </w:rPr>
    </w:lvl>
    <w:lvl w:ilvl="6" w:tplc="6696E4AE">
      <w:start w:val="1"/>
      <w:numFmt w:val="bullet"/>
      <w:lvlText w:val=""/>
      <w:lvlJc w:val="left"/>
      <w:pPr>
        <w:ind w:left="5040" w:hanging="360"/>
      </w:pPr>
      <w:rPr>
        <w:rFonts w:ascii="Symbol" w:hAnsi="Symbol" w:hint="default"/>
      </w:rPr>
    </w:lvl>
    <w:lvl w:ilvl="7" w:tplc="6E6C8660">
      <w:start w:val="1"/>
      <w:numFmt w:val="bullet"/>
      <w:lvlText w:val="o"/>
      <w:lvlJc w:val="left"/>
      <w:pPr>
        <w:ind w:left="5760" w:hanging="360"/>
      </w:pPr>
      <w:rPr>
        <w:rFonts w:ascii="Courier New" w:hAnsi="Courier New" w:hint="default"/>
      </w:rPr>
    </w:lvl>
    <w:lvl w:ilvl="8" w:tplc="92A2DF60">
      <w:start w:val="1"/>
      <w:numFmt w:val="bullet"/>
      <w:lvlText w:val=""/>
      <w:lvlJc w:val="left"/>
      <w:pPr>
        <w:ind w:left="6480" w:hanging="360"/>
      </w:pPr>
      <w:rPr>
        <w:rFonts w:ascii="Wingdings" w:hAnsi="Wingdings" w:hint="default"/>
      </w:rPr>
    </w:lvl>
  </w:abstractNum>
  <w:abstractNum w:abstractNumId="7" w15:restartNumberingAfterBreak="0">
    <w:nsid w:val="54C5B087"/>
    <w:multiLevelType w:val="hybridMultilevel"/>
    <w:tmpl w:val="1ACA01D8"/>
    <w:lvl w:ilvl="0" w:tplc="181647B8">
      <w:start w:val="1"/>
      <w:numFmt w:val="bullet"/>
      <w:lvlText w:val=""/>
      <w:lvlJc w:val="left"/>
      <w:pPr>
        <w:ind w:left="720" w:hanging="360"/>
      </w:pPr>
      <w:rPr>
        <w:rFonts w:ascii="Symbol" w:hAnsi="Symbol" w:hint="default"/>
      </w:rPr>
    </w:lvl>
    <w:lvl w:ilvl="1" w:tplc="C5C24EAC">
      <w:start w:val="1"/>
      <w:numFmt w:val="bullet"/>
      <w:lvlText w:val="o"/>
      <w:lvlJc w:val="left"/>
      <w:pPr>
        <w:ind w:left="1440" w:hanging="360"/>
      </w:pPr>
      <w:rPr>
        <w:rFonts w:ascii="Courier New" w:hAnsi="Courier New" w:hint="default"/>
      </w:rPr>
    </w:lvl>
    <w:lvl w:ilvl="2" w:tplc="803C1812">
      <w:start w:val="1"/>
      <w:numFmt w:val="bullet"/>
      <w:lvlText w:val=""/>
      <w:lvlJc w:val="left"/>
      <w:pPr>
        <w:ind w:left="2160" w:hanging="360"/>
      </w:pPr>
      <w:rPr>
        <w:rFonts w:ascii="Wingdings" w:hAnsi="Wingdings" w:hint="default"/>
      </w:rPr>
    </w:lvl>
    <w:lvl w:ilvl="3" w:tplc="D01A2E98">
      <w:start w:val="1"/>
      <w:numFmt w:val="bullet"/>
      <w:lvlText w:val=""/>
      <w:lvlJc w:val="left"/>
      <w:pPr>
        <w:ind w:left="2880" w:hanging="360"/>
      </w:pPr>
      <w:rPr>
        <w:rFonts w:ascii="Symbol" w:hAnsi="Symbol" w:hint="default"/>
      </w:rPr>
    </w:lvl>
    <w:lvl w:ilvl="4" w:tplc="C5FCD540">
      <w:start w:val="1"/>
      <w:numFmt w:val="bullet"/>
      <w:lvlText w:val="o"/>
      <w:lvlJc w:val="left"/>
      <w:pPr>
        <w:ind w:left="3600" w:hanging="360"/>
      </w:pPr>
      <w:rPr>
        <w:rFonts w:ascii="Courier New" w:hAnsi="Courier New" w:hint="default"/>
      </w:rPr>
    </w:lvl>
    <w:lvl w:ilvl="5" w:tplc="90AEF8F0">
      <w:start w:val="1"/>
      <w:numFmt w:val="bullet"/>
      <w:lvlText w:val=""/>
      <w:lvlJc w:val="left"/>
      <w:pPr>
        <w:ind w:left="4320" w:hanging="360"/>
      </w:pPr>
      <w:rPr>
        <w:rFonts w:ascii="Wingdings" w:hAnsi="Wingdings" w:hint="default"/>
      </w:rPr>
    </w:lvl>
    <w:lvl w:ilvl="6" w:tplc="BEDA263E">
      <w:start w:val="1"/>
      <w:numFmt w:val="bullet"/>
      <w:lvlText w:val=""/>
      <w:lvlJc w:val="left"/>
      <w:pPr>
        <w:ind w:left="5040" w:hanging="360"/>
      </w:pPr>
      <w:rPr>
        <w:rFonts w:ascii="Symbol" w:hAnsi="Symbol" w:hint="default"/>
      </w:rPr>
    </w:lvl>
    <w:lvl w:ilvl="7" w:tplc="9844074A">
      <w:start w:val="1"/>
      <w:numFmt w:val="bullet"/>
      <w:lvlText w:val="o"/>
      <w:lvlJc w:val="left"/>
      <w:pPr>
        <w:ind w:left="5760" w:hanging="360"/>
      </w:pPr>
      <w:rPr>
        <w:rFonts w:ascii="Courier New" w:hAnsi="Courier New" w:hint="default"/>
      </w:rPr>
    </w:lvl>
    <w:lvl w:ilvl="8" w:tplc="F716D2D2">
      <w:start w:val="1"/>
      <w:numFmt w:val="bullet"/>
      <w:lvlText w:val=""/>
      <w:lvlJc w:val="left"/>
      <w:pPr>
        <w:ind w:left="6480" w:hanging="360"/>
      </w:pPr>
      <w:rPr>
        <w:rFonts w:ascii="Wingdings" w:hAnsi="Wingdings" w:hint="default"/>
      </w:rPr>
    </w:lvl>
  </w:abstractNum>
  <w:num w:numId="1" w16cid:durableId="121197805">
    <w:abstractNumId w:val="0"/>
  </w:num>
  <w:num w:numId="2" w16cid:durableId="1329557344">
    <w:abstractNumId w:val="2"/>
  </w:num>
  <w:num w:numId="3" w16cid:durableId="943225835">
    <w:abstractNumId w:val="4"/>
  </w:num>
  <w:num w:numId="4" w16cid:durableId="434329728">
    <w:abstractNumId w:val="7"/>
  </w:num>
  <w:num w:numId="5" w16cid:durableId="1815441896">
    <w:abstractNumId w:val="1"/>
  </w:num>
  <w:num w:numId="6" w16cid:durableId="383254643">
    <w:abstractNumId w:val="6"/>
  </w:num>
  <w:num w:numId="7" w16cid:durableId="1005205702">
    <w:abstractNumId w:val="3"/>
  </w:num>
  <w:num w:numId="8" w16cid:durableId="182596998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62D"/>
    <w:rsid w:val="000963E9"/>
    <w:rsid w:val="00264830"/>
    <w:rsid w:val="00557164"/>
    <w:rsid w:val="005F616B"/>
    <w:rsid w:val="00805AF2"/>
    <w:rsid w:val="00882A2E"/>
    <w:rsid w:val="00907AE5"/>
    <w:rsid w:val="0093362D"/>
    <w:rsid w:val="009D076D"/>
    <w:rsid w:val="00A209CD"/>
    <w:rsid w:val="00A50B18"/>
    <w:rsid w:val="00CC3062"/>
    <w:rsid w:val="00D104A4"/>
    <w:rsid w:val="00D13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EE81F0"/>
  <w15:chartTrackingRefBased/>
  <w15:docId w15:val="{A1AB2CD8-E246-B54A-A356-17BA174F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62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33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6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6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6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6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62D"/>
    <w:rPr>
      <w:rFonts w:eastAsiaTheme="majorEastAsia" w:cstheme="majorBidi"/>
      <w:color w:val="272727" w:themeColor="text1" w:themeTint="D8"/>
    </w:rPr>
  </w:style>
  <w:style w:type="paragraph" w:styleId="Title">
    <w:name w:val="Title"/>
    <w:basedOn w:val="Normal"/>
    <w:next w:val="Normal"/>
    <w:link w:val="TitleChar"/>
    <w:uiPriority w:val="10"/>
    <w:qFormat/>
    <w:rsid w:val="009336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6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62D"/>
    <w:pPr>
      <w:spacing w:before="160"/>
      <w:jc w:val="center"/>
    </w:pPr>
    <w:rPr>
      <w:i/>
      <w:iCs/>
      <w:color w:val="404040" w:themeColor="text1" w:themeTint="BF"/>
    </w:rPr>
  </w:style>
  <w:style w:type="character" w:customStyle="1" w:styleId="QuoteChar">
    <w:name w:val="Quote Char"/>
    <w:basedOn w:val="DefaultParagraphFont"/>
    <w:link w:val="Quote"/>
    <w:uiPriority w:val="29"/>
    <w:rsid w:val="0093362D"/>
    <w:rPr>
      <w:i/>
      <w:iCs/>
      <w:color w:val="404040" w:themeColor="text1" w:themeTint="BF"/>
    </w:rPr>
  </w:style>
  <w:style w:type="paragraph" w:styleId="ListParagraph">
    <w:name w:val="List Paragraph"/>
    <w:basedOn w:val="Normal"/>
    <w:uiPriority w:val="34"/>
    <w:qFormat/>
    <w:rsid w:val="0093362D"/>
    <w:pPr>
      <w:ind w:left="720"/>
      <w:contextualSpacing/>
    </w:pPr>
  </w:style>
  <w:style w:type="character" w:styleId="IntenseEmphasis">
    <w:name w:val="Intense Emphasis"/>
    <w:basedOn w:val="DefaultParagraphFont"/>
    <w:uiPriority w:val="21"/>
    <w:qFormat/>
    <w:rsid w:val="0093362D"/>
    <w:rPr>
      <w:i/>
      <w:iCs/>
      <w:color w:val="0F4761" w:themeColor="accent1" w:themeShade="BF"/>
    </w:rPr>
  </w:style>
  <w:style w:type="paragraph" w:styleId="IntenseQuote">
    <w:name w:val="Intense Quote"/>
    <w:basedOn w:val="Normal"/>
    <w:next w:val="Normal"/>
    <w:link w:val="IntenseQuoteChar"/>
    <w:uiPriority w:val="30"/>
    <w:qFormat/>
    <w:rsid w:val="00933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62D"/>
    <w:rPr>
      <w:i/>
      <w:iCs/>
      <w:color w:val="0F4761" w:themeColor="accent1" w:themeShade="BF"/>
    </w:rPr>
  </w:style>
  <w:style w:type="character" w:styleId="IntenseReference">
    <w:name w:val="Intense Reference"/>
    <w:basedOn w:val="DefaultParagraphFont"/>
    <w:uiPriority w:val="32"/>
    <w:qFormat/>
    <w:rsid w:val="0093362D"/>
    <w:rPr>
      <w:b/>
      <w:bCs/>
      <w:smallCaps/>
      <w:color w:val="0F4761" w:themeColor="accent1" w:themeShade="BF"/>
      <w:spacing w:val="5"/>
    </w:rPr>
  </w:style>
  <w:style w:type="table" w:styleId="TableGrid">
    <w:name w:val="Table Grid"/>
    <w:basedOn w:val="TableNormal"/>
    <w:uiPriority w:val="39"/>
    <w:rsid w:val="0093362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62D"/>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93362D"/>
    <w:rPr>
      <w:kern w:val="0"/>
      <w14:ligatures w14:val="none"/>
    </w:rPr>
  </w:style>
  <w:style w:type="character" w:styleId="PageNumber">
    <w:name w:val="page number"/>
    <w:basedOn w:val="DefaultParagraphFont"/>
    <w:uiPriority w:val="99"/>
    <w:semiHidden/>
    <w:unhideWhenUsed/>
    <w:rsid w:val="0093362D"/>
  </w:style>
  <w:style w:type="paragraph" w:styleId="Footer">
    <w:name w:val="footer"/>
    <w:basedOn w:val="Normal"/>
    <w:link w:val="FooterChar"/>
    <w:uiPriority w:val="99"/>
    <w:unhideWhenUsed/>
    <w:rsid w:val="0093362D"/>
    <w:pPr>
      <w:tabs>
        <w:tab w:val="center" w:pos="4513"/>
        <w:tab w:val="right" w:pos="9026"/>
      </w:tabs>
    </w:pPr>
  </w:style>
  <w:style w:type="character" w:customStyle="1" w:styleId="FooterChar">
    <w:name w:val="Footer Char"/>
    <w:basedOn w:val="DefaultParagraphFont"/>
    <w:link w:val="Footer"/>
    <w:uiPriority w:val="99"/>
    <w:rsid w:val="0093362D"/>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2347</Words>
  <Characters>13378</Characters>
  <Application>Microsoft Office Word</Application>
  <DocSecurity>0</DocSecurity>
  <Lines>111</Lines>
  <Paragraphs>31</Paragraphs>
  <ScaleCrop>false</ScaleCrop>
  <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lfoulkes</dc:creator>
  <cp:keywords/>
  <dc:description/>
  <cp:lastModifiedBy>lfoulkes</cp:lastModifiedBy>
  <cp:revision>2</cp:revision>
  <dcterms:created xsi:type="dcterms:W3CDTF">2026-10-14T13:19:00Z</dcterms:created>
  <dcterms:modified xsi:type="dcterms:W3CDTF">2026-10-14T13:19:00Z</dcterms:modified>
</cp:coreProperties>
</file>