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3E936" w14:textId="40AB4C2B" w:rsidR="00FD0A10" w:rsidRDefault="00FD0A10" w:rsidP="00FD0A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Supplementary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Figures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6E9538" w14:textId="77777777" w:rsidR="00FD0A10" w:rsidRDefault="00FD0A10" w:rsidP="00FD0A10">
      <w:pPr>
        <w:jc w:val="both"/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B729F90" w14:textId="0695D81B" w:rsidR="00FD0A10" w:rsidRDefault="00FD0A10" w:rsidP="00FD0A10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de-DE"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de-DE" w:bidi="en-US"/>
        </w:rPr>
        <w:t xml:space="preserve">Sex-divergent </w:t>
      </w:r>
      <w:r w:rsidRPr="00586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de-DE" w:bidi="en-US"/>
        </w:rPr>
        <w:t>microRNA–mRNA regulatory networks in the dorsolateral prefrontal cortex in major depressive disorder</w:t>
      </w:r>
    </w:p>
    <w:p w14:paraId="37602131" w14:textId="77777777" w:rsidR="00FD0A10" w:rsidRPr="00586ECE" w:rsidRDefault="00FD0A10" w:rsidP="00FD0A10">
      <w:pPr>
        <w:jc w:val="both"/>
        <w:rPr>
          <w:sz w:val="14"/>
          <w:szCs w:val="14"/>
          <w:lang w:eastAsia="de-DE" w:bidi="en-US"/>
        </w:rPr>
      </w:pPr>
      <w:bookmarkStart w:id="0" w:name="_GoBack"/>
      <w:bookmarkEnd w:id="0"/>
    </w:p>
    <w:p w14:paraId="7DE63262" w14:textId="626EAE4E" w:rsidR="00FD0A10" w:rsidRDefault="00FD0A10" w:rsidP="00FD0A10">
      <w:pPr>
        <w:pStyle w:val="MDPI13authornames"/>
        <w:spacing w:line="360" w:lineRule="auto"/>
        <w:jc w:val="both"/>
        <w:rPr>
          <w:rFonts w:ascii="Times New Roman" w:hAnsi="Times New Roman"/>
          <w:b w:val="0"/>
          <w:sz w:val="24"/>
          <w:szCs w:val="24"/>
          <w:lang w:val="es-ES"/>
        </w:rPr>
      </w:pPr>
      <w:r w:rsidRPr="00701D03">
        <w:rPr>
          <w:rFonts w:ascii="Times New Roman" w:hAnsi="Times New Roman"/>
          <w:b w:val="0"/>
          <w:sz w:val="24"/>
          <w:szCs w:val="24"/>
          <w:lang w:val="es-ES"/>
        </w:rPr>
        <w:t>Lluis Miquel-Rio</w:t>
      </w:r>
      <w:r w:rsidRPr="00701D03"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1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>, Judith Jericó-Escolar</w:t>
      </w:r>
      <w:r w:rsidRPr="00701D03"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1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>, Verónica Paz</w:t>
      </w:r>
      <w:r w:rsidRPr="00701D03"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1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 xml:space="preserve">, </w:t>
      </w:r>
      <w:r>
        <w:rPr>
          <w:rFonts w:ascii="Times New Roman" w:hAnsi="Times New Roman"/>
          <w:b w:val="0"/>
          <w:sz w:val="24"/>
          <w:szCs w:val="24"/>
          <w:lang w:val="es-ES"/>
        </w:rPr>
        <w:t>Esther Ruiz-Bronchal</w:t>
      </w:r>
      <w:r w:rsidRPr="00152BAB"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1</w:t>
      </w:r>
      <w:r>
        <w:rPr>
          <w:rFonts w:ascii="Times New Roman" w:hAnsi="Times New Roman"/>
          <w:b w:val="0"/>
          <w:sz w:val="24"/>
          <w:szCs w:val="24"/>
          <w:lang w:val="es-ES"/>
        </w:rPr>
        <w:t xml:space="preserve">, 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>Luis F C</w:t>
      </w:r>
      <w:r>
        <w:rPr>
          <w:rFonts w:ascii="Times New Roman" w:hAnsi="Times New Roman"/>
          <w:b w:val="0"/>
          <w:sz w:val="24"/>
          <w:szCs w:val="24"/>
          <w:lang w:val="es-ES"/>
        </w:rPr>
        <w:t>a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>llado</w:t>
      </w:r>
      <w:r w:rsidRPr="00701D03"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2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 xml:space="preserve">, J Javier </w:t>
      </w:r>
      <w:r w:rsidRPr="00701D03">
        <w:rPr>
          <w:rFonts w:ascii="Times New Roman" w:hAnsi="Times New Roman"/>
          <w:b w:val="0"/>
          <w:color w:val="000000" w:themeColor="text1"/>
          <w:sz w:val="24"/>
          <w:szCs w:val="24"/>
          <w:lang w:val="es-ES"/>
        </w:rPr>
        <w:t>Meana</w:t>
      </w:r>
      <w:r w:rsidRPr="00701D03">
        <w:rPr>
          <w:rFonts w:ascii="Times New Roman" w:hAnsi="Times New Roman"/>
          <w:b w:val="0"/>
          <w:color w:val="000000" w:themeColor="text1"/>
          <w:sz w:val="24"/>
          <w:szCs w:val="24"/>
          <w:vertAlign w:val="superscript"/>
          <w:lang w:val="es-ES"/>
        </w:rPr>
        <w:t>2</w:t>
      </w:r>
      <w:r w:rsidRPr="00701D03">
        <w:rPr>
          <w:rFonts w:ascii="Times New Roman" w:hAnsi="Times New Roman"/>
          <w:b w:val="0"/>
          <w:color w:val="000000" w:themeColor="text1"/>
          <w:sz w:val="24"/>
          <w:szCs w:val="24"/>
          <w:lang w:val="es-ES"/>
        </w:rPr>
        <w:t xml:space="preserve">, </w:t>
      </w:r>
      <w:r>
        <w:rPr>
          <w:rFonts w:ascii="Times New Roman" w:hAnsi="Times New Roman"/>
          <w:b w:val="0"/>
          <w:color w:val="000000" w:themeColor="text1"/>
          <w:sz w:val="24"/>
          <w:szCs w:val="24"/>
          <w:lang w:val="es-ES"/>
        </w:rPr>
        <w:t xml:space="preserve">Muriel </w:t>
      </w:r>
      <w:r w:rsidRPr="004751BF">
        <w:rPr>
          <w:rFonts w:ascii="Times New Roman" w:hAnsi="Times New Roman"/>
          <w:b w:val="0"/>
          <w:color w:val="000000" w:themeColor="text1"/>
          <w:sz w:val="24"/>
          <w:szCs w:val="24"/>
          <w:lang w:val="es-ES"/>
        </w:rPr>
        <w:t>Vicent-Gil</w:t>
      </w:r>
      <w:r w:rsidRPr="004751BF">
        <w:rPr>
          <w:rFonts w:ascii="Times New Roman" w:hAnsi="Times New Roman"/>
          <w:b w:val="0"/>
          <w:color w:val="000000" w:themeColor="text1"/>
          <w:sz w:val="24"/>
          <w:szCs w:val="24"/>
          <w:vertAlign w:val="superscript"/>
          <w:lang w:val="es-ES"/>
        </w:rPr>
        <w:t>3</w:t>
      </w:r>
      <w:r>
        <w:rPr>
          <w:rFonts w:ascii="Times New Roman" w:hAnsi="Times New Roman"/>
          <w:b w:val="0"/>
          <w:color w:val="000000" w:themeColor="text1"/>
          <w:sz w:val="24"/>
          <w:szCs w:val="24"/>
          <w:lang w:val="es-ES"/>
        </w:rPr>
        <w:t xml:space="preserve">, </w:t>
      </w:r>
      <w:r w:rsidRPr="00701D03">
        <w:rPr>
          <w:rFonts w:ascii="Times New Roman" w:hAnsi="Times New Roman"/>
          <w:b w:val="0"/>
          <w:color w:val="000000" w:themeColor="text1"/>
          <w:sz w:val="24"/>
          <w:szCs w:val="24"/>
          <w:lang w:val="es-ES"/>
        </w:rPr>
        <w:t>Maria J Portella</w:t>
      </w:r>
      <w:r w:rsidRPr="00701D03">
        <w:rPr>
          <w:rFonts w:ascii="Times New Roman" w:hAnsi="Times New Roman"/>
          <w:b w:val="0"/>
          <w:color w:val="000000" w:themeColor="text1"/>
          <w:sz w:val="24"/>
          <w:szCs w:val="24"/>
          <w:vertAlign w:val="superscript"/>
          <w:lang w:val="es-ES"/>
        </w:rPr>
        <w:t>3</w:t>
      </w:r>
      <w:r w:rsidRPr="00701D03">
        <w:rPr>
          <w:rFonts w:ascii="Times New Roman" w:hAnsi="Times New Roman"/>
          <w:b w:val="0"/>
          <w:color w:val="000000" w:themeColor="text1"/>
          <w:sz w:val="24"/>
          <w:szCs w:val="24"/>
          <w:lang w:val="es-ES"/>
        </w:rPr>
        <w:t xml:space="preserve">, Javier 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>de Diego-Adeliño</w:t>
      </w:r>
      <w:r w:rsidRPr="00701D03"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3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 xml:space="preserve">, </w:t>
      </w:r>
      <w:r w:rsidRPr="00DE207B">
        <w:rPr>
          <w:rFonts w:ascii="Times New Roman" w:hAnsi="Times New Roman"/>
          <w:b w:val="0"/>
          <w:sz w:val="24"/>
          <w:szCs w:val="24"/>
          <w:lang w:val="es-ES"/>
        </w:rPr>
        <w:t>Gustavo Turecki</w:t>
      </w:r>
      <w:r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4</w:t>
      </w:r>
      <w:r w:rsidRPr="003623B0">
        <w:rPr>
          <w:rFonts w:ascii="Times New Roman" w:hAnsi="Times New Roman"/>
          <w:b w:val="0"/>
          <w:sz w:val="24"/>
          <w:szCs w:val="24"/>
          <w:lang w:val="es-ES"/>
        </w:rPr>
        <w:t>,</w:t>
      </w:r>
      <w:r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 xml:space="preserve"> 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>Cristina Fornaguera</w:t>
      </w:r>
      <w:r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5</w:t>
      </w:r>
      <w:r>
        <w:rPr>
          <w:rFonts w:ascii="Times New Roman" w:hAnsi="Times New Roman"/>
          <w:b w:val="0"/>
          <w:sz w:val="24"/>
          <w:szCs w:val="24"/>
          <w:lang w:val="es-ES"/>
        </w:rPr>
        <w:t xml:space="preserve">, 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>Eduard Vieta</w:t>
      </w:r>
      <w:r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6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>, and Analia Bortolozzi</w:t>
      </w:r>
      <w:r w:rsidRPr="00701D03">
        <w:rPr>
          <w:rFonts w:ascii="Times New Roman" w:hAnsi="Times New Roman"/>
          <w:b w:val="0"/>
          <w:sz w:val="24"/>
          <w:szCs w:val="24"/>
          <w:vertAlign w:val="superscript"/>
          <w:lang w:val="es-ES"/>
        </w:rPr>
        <w:t>1</w:t>
      </w:r>
      <w:r w:rsidRPr="00701D03">
        <w:rPr>
          <w:rFonts w:ascii="Times New Roman" w:hAnsi="Times New Roman"/>
          <w:b w:val="0"/>
          <w:sz w:val="24"/>
          <w:szCs w:val="24"/>
          <w:lang w:val="es-ES"/>
        </w:rPr>
        <w:t xml:space="preserve">* </w:t>
      </w:r>
    </w:p>
    <w:p w14:paraId="697748C6" w14:textId="77777777" w:rsidR="00FD0A10" w:rsidRPr="003527D8" w:rsidRDefault="00FD0A10" w:rsidP="00FD0A10">
      <w:pPr>
        <w:pStyle w:val="MDPI16affiliation"/>
        <w:spacing w:line="360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3527D8">
        <w:rPr>
          <w:rFonts w:ascii="Times New Roman" w:hAnsi="Times New Roman"/>
          <w:sz w:val="22"/>
          <w:szCs w:val="22"/>
          <w:vertAlign w:val="superscript"/>
        </w:rPr>
        <w:t xml:space="preserve">1 </w:t>
      </w:r>
      <w:r w:rsidRPr="003527D8">
        <w:rPr>
          <w:rFonts w:ascii="Times New Roman" w:hAnsi="Times New Roman"/>
          <w:sz w:val="22"/>
          <w:szCs w:val="22"/>
        </w:rPr>
        <w:t>Institute of Biomedical Research of Barcelona (IIBB), Spanish National Research Council (CSIC), 08036 Barcelona, Spain; Translational Research Programme for Brain Disorders, Institut d’Investigacions Biomèdiques August Pi i Sunyer (IDIBAPS), Barcelona, Spain; Biomedical Research Networking Center for Mental Health (CIBERSAM), Institute of Health Carlos III (ISCIII), Madrid, Spain</w:t>
      </w:r>
    </w:p>
    <w:p w14:paraId="202FD316" w14:textId="77777777" w:rsidR="00FD0A10" w:rsidRPr="003527D8" w:rsidRDefault="00FD0A10" w:rsidP="00FD0A10">
      <w:pPr>
        <w:pStyle w:val="MDPI16affiliation"/>
        <w:spacing w:line="360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3527D8">
        <w:rPr>
          <w:rFonts w:ascii="Times New Roman" w:hAnsi="Times New Roman"/>
          <w:sz w:val="22"/>
          <w:szCs w:val="22"/>
          <w:vertAlign w:val="superscript"/>
        </w:rPr>
        <w:t xml:space="preserve">2 </w:t>
      </w:r>
      <w:r w:rsidRPr="003527D8">
        <w:rPr>
          <w:rFonts w:ascii="Times New Roman" w:hAnsi="Times New Roman"/>
          <w:sz w:val="22"/>
          <w:szCs w:val="22"/>
        </w:rPr>
        <w:t>Department of Pharmacology, University of the Basque Country EHU, E-48940 Leioa, Bizkaia, Spain; Biobizkaia Health Research Institute, Barakaldo, Spain; Biomedical Research Networking Center for Mental Health (CIBERSAM), Institute of Health Carlos III (ISCIII), Madrid, Spain</w:t>
      </w:r>
    </w:p>
    <w:p w14:paraId="65C1AFD5" w14:textId="77777777" w:rsidR="00FD0A10" w:rsidRPr="003527D8" w:rsidRDefault="00FD0A10" w:rsidP="00FD0A10">
      <w:pPr>
        <w:pStyle w:val="MDPI16affiliation"/>
        <w:spacing w:line="360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3527D8">
        <w:rPr>
          <w:rFonts w:ascii="Times New Roman" w:hAnsi="Times New Roman"/>
          <w:sz w:val="22"/>
          <w:szCs w:val="22"/>
          <w:vertAlign w:val="superscript"/>
        </w:rPr>
        <w:t>3</w:t>
      </w:r>
      <w:r w:rsidRPr="003527D8">
        <w:rPr>
          <w:rFonts w:ascii="Times New Roman" w:hAnsi="Times New Roman"/>
          <w:sz w:val="22"/>
          <w:szCs w:val="22"/>
        </w:rPr>
        <w:t xml:space="preserve"> Mental Health Research Group, Institut de Recerca Sant Pau (IR Sant Pau), Barcelona, Spain; Department of Psychiatry and Legal Medicine, Universitat Autònoma de Barcelona (UAB), Spain; Department of Psychiatry, Hospital de la Santa Creu i Sant Pau (HSCSP), Barcelona, Spain; Biomedical Research Network Research Center on Mental Health (CIBERSAM), Madrid, Spain </w:t>
      </w:r>
    </w:p>
    <w:p w14:paraId="52836B19" w14:textId="77777777" w:rsidR="00FD0A10" w:rsidRPr="003623B0" w:rsidRDefault="00FD0A10" w:rsidP="00FD0A10">
      <w:pPr>
        <w:pStyle w:val="MDPI16affiliation"/>
        <w:spacing w:line="360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vertAlign w:val="superscript"/>
        </w:rPr>
        <w:t>4</w:t>
      </w:r>
      <w:r w:rsidRPr="003623B0">
        <w:rPr>
          <w:rFonts w:ascii="Times New Roman" w:hAnsi="Times New Roman"/>
          <w:sz w:val="22"/>
          <w:szCs w:val="22"/>
          <w:vertAlign w:val="superscript"/>
        </w:rPr>
        <w:t xml:space="preserve"> </w:t>
      </w:r>
      <w:r w:rsidRPr="00762C63">
        <w:rPr>
          <w:rFonts w:ascii="Times New Roman" w:hAnsi="Times New Roman"/>
          <w:sz w:val="22"/>
          <w:szCs w:val="22"/>
        </w:rPr>
        <w:t>Department of Psychiatry, McGill Group for Suicide Studies, Douglas Mental Health University Institute, McGill U</w:t>
      </w:r>
      <w:r>
        <w:rPr>
          <w:rFonts w:ascii="Times New Roman" w:hAnsi="Times New Roman"/>
          <w:sz w:val="22"/>
          <w:szCs w:val="22"/>
        </w:rPr>
        <w:t>niversity, Montreal, QC, Canada</w:t>
      </w:r>
    </w:p>
    <w:p w14:paraId="16B08D6E" w14:textId="77777777" w:rsidR="00FD0A10" w:rsidRPr="003623B0" w:rsidRDefault="00FD0A10" w:rsidP="00FD0A10">
      <w:pPr>
        <w:pStyle w:val="MDPI16affiliation"/>
        <w:spacing w:line="360" w:lineRule="auto"/>
        <w:ind w:left="0" w:firstLine="0"/>
        <w:jc w:val="both"/>
        <w:rPr>
          <w:rFonts w:ascii="Times New Roman" w:hAnsi="Times New Roman"/>
          <w:sz w:val="22"/>
          <w:szCs w:val="22"/>
          <w:lang w:val="es-ES"/>
        </w:rPr>
      </w:pPr>
      <w:r>
        <w:rPr>
          <w:rFonts w:ascii="Times New Roman" w:hAnsi="Times New Roman"/>
          <w:sz w:val="22"/>
          <w:szCs w:val="22"/>
          <w:vertAlign w:val="superscript"/>
          <w:lang w:val="es-ES"/>
        </w:rPr>
        <w:t>5</w:t>
      </w:r>
      <w:r w:rsidRPr="003623B0">
        <w:rPr>
          <w:rFonts w:ascii="Times New Roman" w:hAnsi="Times New Roman"/>
          <w:sz w:val="22"/>
          <w:szCs w:val="22"/>
          <w:vertAlign w:val="superscript"/>
          <w:lang w:val="es-ES"/>
        </w:rPr>
        <w:t xml:space="preserve"> </w:t>
      </w:r>
      <w:r w:rsidRPr="003527D8">
        <w:rPr>
          <w:rFonts w:ascii="Times New Roman" w:hAnsi="Times New Roman"/>
          <w:sz w:val="22"/>
          <w:szCs w:val="22"/>
          <w:lang w:val="es-ES"/>
        </w:rPr>
        <w:t>Grup d'Enginyeria de Materials (GEMAT), Institut Químic de Sarrià (IQS), Universitat Ramon Llull (URL), Barcelona, Spain; Institució Catalana de Recerca i Estudis Avançats (ICREA), Barcelona, Spain</w:t>
      </w:r>
    </w:p>
    <w:p w14:paraId="0E2E654B" w14:textId="77777777" w:rsidR="00FD0A10" w:rsidRPr="00762C63" w:rsidRDefault="00FD0A10" w:rsidP="00FD0A10">
      <w:pPr>
        <w:pStyle w:val="MDPI16affiliation"/>
        <w:spacing w:line="360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762C63">
        <w:rPr>
          <w:rFonts w:ascii="Times New Roman" w:hAnsi="Times New Roman"/>
          <w:sz w:val="22"/>
          <w:szCs w:val="22"/>
          <w:vertAlign w:val="superscript"/>
        </w:rPr>
        <w:t xml:space="preserve">6 </w:t>
      </w:r>
      <w:r w:rsidRPr="00762C63">
        <w:rPr>
          <w:rFonts w:ascii="Times New Roman" w:hAnsi="Times New Roman"/>
          <w:sz w:val="22"/>
          <w:szCs w:val="22"/>
        </w:rPr>
        <w:t>Bipolar and Depressive Disorders Unit, Hospital Clinic de Barcelona, Barcelona, Spain; Translational Research Programme for Brain Disorders, Institut d'Investigacions Biomèdiques August Pi I Sunyer (IDIBAPS), Barcelona, Spain; Department of Medicine, Faculty of Medicine and Health Sciences, Institute of Neurosciences (UBNeuro), University of Barcelona (UB), Barcelona, Spain; Biomedical Research Networking Center for Mental Health (CIBERSAM), Institute of Health Carlos III (ISCIII), Madrid, Spain</w:t>
      </w:r>
    </w:p>
    <w:p w14:paraId="24F0A7CB" w14:textId="77777777" w:rsidR="00FD0A10" w:rsidRPr="003527D8" w:rsidRDefault="00FD0A10" w:rsidP="00FD0A10">
      <w:pPr>
        <w:pStyle w:val="MDPI16affiliation"/>
        <w:spacing w:line="36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</w:p>
    <w:p w14:paraId="3F61DD67" w14:textId="77777777" w:rsidR="00FD0A10" w:rsidRPr="00701D03" w:rsidRDefault="00FD0A10" w:rsidP="00FD0A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D03">
        <w:rPr>
          <w:rFonts w:ascii="Times New Roman" w:hAnsi="Times New Roman" w:cs="Times New Roman"/>
          <w:sz w:val="24"/>
          <w:szCs w:val="24"/>
        </w:rPr>
        <w:lastRenderedPageBreak/>
        <w:t xml:space="preserve">*Correspondence: Dra. Analia Bortolozzi, Department of Neuroscience and Experimental Therapeutics (IIBB-CSIC), Rosselló161, 08036 Barcelona, Spain, e-mail: </w:t>
      </w:r>
      <w:hyperlink r:id="rId5" w:history="1">
        <w:r w:rsidRPr="00701D03">
          <w:rPr>
            <w:rStyle w:val="Hipervnculo"/>
            <w:rFonts w:ascii="Times New Roman" w:hAnsi="Times New Roman" w:cs="Times New Roman"/>
            <w:sz w:val="24"/>
            <w:szCs w:val="24"/>
          </w:rPr>
          <w:t>analia.bortolozzi@iibb.csic.es</w:t>
        </w:r>
      </w:hyperlink>
    </w:p>
    <w:p w14:paraId="4B21C45F" w14:textId="77777777" w:rsidR="00FD0A10" w:rsidRPr="00FD0A10" w:rsidRDefault="00FD0A10" w:rsidP="00FD0A10">
      <w:pPr>
        <w:rPr>
          <w:lang w:eastAsia="de-DE" w:bidi="en-US"/>
        </w:rPr>
      </w:pPr>
    </w:p>
    <w:p w14:paraId="25C93904" w14:textId="0BE80093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18A2301" w14:textId="1FB4DC6B" w:rsidR="007D6CC6" w:rsidRPr="00FD0A10" w:rsidRDefault="007D6CC6">
      <w:pPr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</w:pPr>
      <w:r w:rsidRPr="00FD0A10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br w:type="page"/>
      </w:r>
    </w:p>
    <w:p w14:paraId="665AA189" w14:textId="4E2F7072" w:rsidR="00B252E3" w:rsidRPr="00FD0A10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2724850" w14:textId="5E6AB482" w:rsidR="00B252E3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  <w:r w:rsidRPr="00B252E3">
        <w:drawing>
          <wp:anchor distT="0" distB="0" distL="114300" distR="114300" simplePos="0" relativeHeight="251665408" behindDoc="0" locked="0" layoutInCell="1" allowOverlap="1" wp14:anchorId="16B2434F" wp14:editId="122C2DB3">
            <wp:simplePos x="0" y="0"/>
            <wp:positionH relativeFrom="column">
              <wp:posOffset>-81886</wp:posOffset>
            </wp:positionH>
            <wp:positionV relativeFrom="paragraph">
              <wp:posOffset>148761</wp:posOffset>
            </wp:positionV>
            <wp:extent cx="5400040" cy="3893428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9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BA6F1" w14:textId="57F4D784" w:rsidR="00B252E3" w:rsidRPr="00FD0A10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DD22F6D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E945514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B34C47C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12007750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FE50524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1F94B5C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6D46D38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B704CB2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FE666AC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03B58AD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C03E7B8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456D0C6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FB9ABC0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B327288" w14:textId="77777777" w:rsidR="007D6CC6" w:rsidRPr="00FD0A10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E69060D" w14:textId="40FED4B1" w:rsidR="00266957" w:rsidRPr="005C6578" w:rsidRDefault="00266957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1. Quality control and read mapping of the small RNA sequencing data.</w:t>
      </w:r>
      <w:r w:rsidRPr="005C6578">
        <w:rPr>
          <w:rFonts w:ascii="Times New Roman" w:hAnsi="Times New Roman" w:cs="Times New Roman"/>
          <w:sz w:val="24"/>
          <w:szCs w:val="24"/>
        </w:rPr>
        <w:t xml:space="preserve"> Small RNA sequencing of dlPFC samples from the discovery cohort (17 MDD-S and 17 control subjects). C, control; D, MDD-S; numbers correspond to the pair ID (Supplementary Table 1).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a</w:t>
      </w:r>
      <w:r w:rsidRPr="005C6578">
        <w:rPr>
          <w:rFonts w:ascii="Times New Roman" w:hAnsi="Times New Roman" w:cs="Times New Roman"/>
          <w:sz w:val="24"/>
          <w:szCs w:val="24"/>
        </w:rPr>
        <w:t xml:space="preserve"> Percentage of </w:t>
      </w:r>
      <w:r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>reads</w:t>
      </w:r>
      <w:r w:rsidRPr="005C6578">
        <w:rPr>
          <w:rFonts w:ascii="Times New Roman" w:hAnsi="Times New Roman" w:cs="Times New Roman"/>
          <w:sz w:val="24"/>
          <w:szCs w:val="24"/>
        </w:rPr>
        <w:t xml:space="preserve"> with</w:t>
      </w:r>
      <w:r w:rsidR="004D621F" w:rsidRPr="005C6578">
        <w:rPr>
          <w:rFonts w:ascii="Times New Roman" w:hAnsi="Times New Roman" w:cs="Times New Roman"/>
          <w:sz w:val="24"/>
          <w:szCs w:val="24"/>
        </w:rPr>
        <w:t xml:space="preserve"> median Phred quality scores of 20-30 and 30-</w:t>
      </w:r>
      <w:r w:rsidRPr="005C6578">
        <w:rPr>
          <w:rFonts w:ascii="Times New Roman" w:hAnsi="Times New Roman" w:cs="Times New Roman"/>
          <w:sz w:val="24"/>
          <w:szCs w:val="24"/>
        </w:rPr>
        <w:t xml:space="preserve">40 in each sample.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b</w:t>
      </w:r>
      <w:r w:rsidRPr="005C6578">
        <w:rPr>
          <w:rFonts w:ascii="Times New Roman" w:hAnsi="Times New Roman" w:cs="Times New Roman"/>
          <w:sz w:val="24"/>
          <w:szCs w:val="24"/>
        </w:rPr>
        <w:t xml:space="preserve"> Number of raw reads (millions) per sample</w:t>
      </w:r>
      <w:r w:rsidR="004D621F" w:rsidRPr="005C6578">
        <w:rPr>
          <w:rFonts w:ascii="Times New Roman" w:hAnsi="Times New Roman" w:cs="Times New Roman"/>
          <w:sz w:val="24"/>
          <w:szCs w:val="24"/>
        </w:rPr>
        <w:t xml:space="preserve"> used as input for UMI deduplication.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c</w:t>
      </w:r>
      <w:r w:rsidRPr="005C6578">
        <w:rPr>
          <w:rFonts w:ascii="Times New Roman" w:hAnsi="Times New Roman" w:cs="Times New Roman"/>
          <w:sz w:val="24"/>
          <w:szCs w:val="24"/>
        </w:rPr>
        <w:t xml:space="preserve"> Percentage of reads assigned to each RNA biotype </w:t>
      </w:r>
      <w:r w:rsidR="004C6515" w:rsidRPr="005C6578">
        <w:rPr>
          <w:rFonts w:ascii="Times New Roman" w:hAnsi="Times New Roman" w:cs="Times New Roman"/>
          <w:sz w:val="24"/>
          <w:szCs w:val="24"/>
        </w:rPr>
        <w:t>among UMI-deduplicated reads that did not map to small RNA databases and were mapped to the human genome (GRCh38; Ensembl release 110 annotation)</w:t>
      </w:r>
      <w:r w:rsidRPr="005C6578">
        <w:rPr>
          <w:rFonts w:ascii="Times New Roman" w:hAnsi="Times New Roman" w:cs="Times New Roman"/>
          <w:sz w:val="24"/>
          <w:szCs w:val="24"/>
        </w:rPr>
        <w:t>. Box plo</w:t>
      </w:r>
      <w:r w:rsidR="004C6515" w:rsidRPr="005C6578">
        <w:rPr>
          <w:rFonts w:ascii="Times New Roman" w:hAnsi="Times New Roman" w:cs="Times New Roman"/>
          <w:sz w:val="24"/>
          <w:szCs w:val="24"/>
        </w:rPr>
        <w:t>ts show the median and the 25</w:t>
      </w:r>
      <w:r w:rsidR="004C6515"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C6515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>75</w:t>
      </w:r>
      <w:r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C6578">
        <w:rPr>
          <w:rFonts w:ascii="Times New Roman" w:hAnsi="Times New Roman" w:cs="Times New Roman"/>
          <w:sz w:val="24"/>
          <w:szCs w:val="24"/>
        </w:rPr>
        <w:t xml:space="preserve"> percentiles; whiskers indicate minimum and maximum values; dots represent individual samples.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d</w:t>
      </w:r>
      <w:r w:rsidRPr="005C6578">
        <w:rPr>
          <w:rFonts w:ascii="Times New Roman" w:hAnsi="Times New Roman" w:cs="Times New Roman"/>
          <w:sz w:val="24"/>
          <w:szCs w:val="24"/>
        </w:rPr>
        <w:t xml:space="preserve"> Read-length distribution after trimming </w:t>
      </w:r>
      <w:r w:rsidR="004C6515" w:rsidRPr="005C6578">
        <w:rPr>
          <w:rFonts w:ascii="Times New Roman" w:hAnsi="Times New Roman" w:cs="Times New Roman"/>
          <w:sz w:val="24"/>
          <w:szCs w:val="24"/>
        </w:rPr>
        <w:t xml:space="preserve">of adapters and UMIs </w:t>
      </w:r>
      <w:r w:rsidRPr="005C6578">
        <w:rPr>
          <w:rFonts w:ascii="Times New Roman" w:hAnsi="Times New Roman" w:cs="Times New Roman"/>
          <w:sz w:val="24"/>
          <w:szCs w:val="24"/>
        </w:rPr>
        <w:t>in each sample</w:t>
      </w:r>
      <w:r w:rsidR="004C6515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0E47F2" w:rsidRPr="005C6578">
        <w:rPr>
          <w:rFonts w:ascii="Times New Roman" w:hAnsi="Times New Roman" w:cs="Times New Roman"/>
          <w:sz w:val="24"/>
          <w:szCs w:val="24"/>
        </w:rPr>
        <w:t>(15-</w:t>
      </w:r>
      <w:r w:rsidR="004C6515" w:rsidRPr="005C6578">
        <w:rPr>
          <w:rFonts w:ascii="Times New Roman" w:hAnsi="Times New Roman" w:cs="Times New Roman"/>
          <w:sz w:val="24"/>
          <w:szCs w:val="24"/>
        </w:rPr>
        <w:t>44 nt shown)</w:t>
      </w:r>
      <w:r w:rsidRPr="005C6578">
        <w:rPr>
          <w:rFonts w:ascii="Times New Roman" w:hAnsi="Times New Roman" w:cs="Times New Roman"/>
          <w:sz w:val="24"/>
          <w:szCs w:val="24"/>
        </w:rPr>
        <w:t xml:space="preserve">. The peak at ~22 nt corresponds to miRNAs, and the peak at ~32 nt to </w:t>
      </w:r>
      <w:r w:rsidR="00E419DE"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potential </w:t>
      </w:r>
      <w:r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>piRNAs and tRNA-derived fragments</w:t>
      </w:r>
      <w:r w:rsidRPr="005C6578">
        <w:rPr>
          <w:rFonts w:ascii="Times New Roman" w:hAnsi="Times New Roman" w:cs="Times New Roman"/>
          <w:sz w:val="24"/>
          <w:szCs w:val="24"/>
        </w:rPr>
        <w:t>. IR RNA, retained intron; lncRNA, long non-coding RNA; misc_RNA, miscellaneous RNA; mt-rRNA, mitochondrial ribosomal RNA; mt-tRNA, mitochondrial transfer RNA; NMD-RNA, transcripts subject to nonsense-mediated decay; NSD-RNA, transcripts subject to non-stop decay; PP-RNA, pseudogene</w:t>
      </w:r>
      <w:r w:rsidR="00E419DE" w:rsidRPr="005C6578">
        <w:rPr>
          <w:rFonts w:ascii="Times New Roman" w:hAnsi="Times New Roman" w:cs="Times New Roman"/>
          <w:sz w:val="24"/>
          <w:szCs w:val="24"/>
        </w:rPr>
        <w:t xml:space="preserve"> transcripts</w:t>
      </w:r>
      <w:r w:rsidRPr="005C6578">
        <w:rPr>
          <w:rFonts w:ascii="Times New Roman" w:hAnsi="Times New Roman" w:cs="Times New Roman"/>
          <w:sz w:val="24"/>
          <w:szCs w:val="24"/>
        </w:rPr>
        <w:t>; rRNA, ribosomal RNA; scaRNA, small Cajal body-specific RNA; scRNA, small cytoplasmic RNA; snoRNA, small nucleolar RNA; snRNA, small nuclear RNA; sRNA, small RNA.</w:t>
      </w:r>
      <w:r w:rsidR="00522739" w:rsidRPr="005C6578">
        <w:rPr>
          <w:rFonts w:ascii="Times New Roman" w:hAnsi="Times New Roman" w:cs="Times New Roman"/>
          <w:sz w:val="24"/>
          <w:szCs w:val="24"/>
        </w:rPr>
        <w:t xml:space="preserve"> Source data are provided as a Source Data file. </w:t>
      </w:r>
    </w:p>
    <w:p w14:paraId="7593437A" w14:textId="0504DF77" w:rsidR="00DC452B" w:rsidRPr="005C6578" w:rsidRDefault="00DC452B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2AF14" w14:textId="08D35EEC" w:rsidR="00B56795" w:rsidRPr="005C6578" w:rsidRDefault="00B56795" w:rsidP="005C657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ES"/>
        </w:rPr>
      </w:pPr>
    </w:p>
    <w:p w14:paraId="2FED303E" w14:textId="216FF493" w:rsidR="00B56795" w:rsidRPr="005C6578" w:rsidRDefault="007D6CC6" w:rsidP="005C657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252E3">
        <w:rPr>
          <w:rStyle w:val="Textoennegrita"/>
          <w:b w:val="0"/>
          <w:bCs w:val="0"/>
        </w:rPr>
        <w:lastRenderedPageBreak/>
        <w:drawing>
          <wp:anchor distT="0" distB="0" distL="114300" distR="114300" simplePos="0" relativeHeight="251658240" behindDoc="0" locked="0" layoutInCell="1" allowOverlap="1" wp14:anchorId="58CA5B3F" wp14:editId="29DD8134">
            <wp:simplePos x="0" y="0"/>
            <wp:positionH relativeFrom="column">
              <wp:posOffset>767</wp:posOffset>
            </wp:positionH>
            <wp:positionV relativeFrom="paragraph">
              <wp:posOffset>189024</wp:posOffset>
            </wp:positionV>
            <wp:extent cx="5400040" cy="417449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D4C71" w14:textId="0D9ED577" w:rsidR="00B56795" w:rsidRPr="005C6578" w:rsidRDefault="00B56795" w:rsidP="005C657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</w:p>
    <w:p w14:paraId="5B86DE77" w14:textId="5B019AE1" w:rsidR="00B56795" w:rsidRPr="005C6578" w:rsidRDefault="00B56795" w:rsidP="005C657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</w:p>
    <w:p w14:paraId="0342225B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96FCC6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8BE271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27CAEB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375E63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55858E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ABC932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FAAA39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1A963A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3A3C93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8C27F2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63A06A" w14:textId="77777777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64EB03" w14:textId="5F0663AC" w:rsidR="00B252E3" w:rsidRDefault="00B252E3" w:rsidP="00B252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B8DED8" w14:textId="0405DFBC" w:rsidR="00522739" w:rsidRPr="00B252E3" w:rsidRDefault="00B56795" w:rsidP="00B252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6578">
        <w:rPr>
          <w:rFonts w:ascii="Times New Roman" w:hAnsi="Times New Roman" w:cs="Times New Roman"/>
          <w:b/>
          <w:sz w:val="24"/>
          <w:szCs w:val="24"/>
        </w:rPr>
        <w:t>Supplementary Figure 2. miRNA differential expression in the discovery cohort with both sexes combined.</w:t>
      </w:r>
      <w:r w:rsidRPr="005C65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Small RNA sequencing of the dlPFC of 17 MDD-S and 17 control subjects. </w:t>
      </w:r>
      <w:r w:rsidRPr="005C6578">
        <w:rPr>
          <w:rFonts w:ascii="Times New Roman" w:hAnsi="Times New Roman" w:cs="Times New Roman"/>
          <w:b/>
          <w:sz w:val="24"/>
          <w:szCs w:val="24"/>
        </w:rPr>
        <w:t>a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Proportion of </w:t>
      </w:r>
      <w:r w:rsidR="000E47F2" w:rsidRPr="005C6578">
        <w:rPr>
          <w:rFonts w:ascii="Times New Roman" w:hAnsi="Times New Roman" w:cs="Times New Roman"/>
          <w:bCs/>
          <w:sz w:val="24"/>
          <w:szCs w:val="24"/>
        </w:rPr>
        <w:t>annotated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miRNAs (n = 1,972) that were differentially expressed (</w:t>
      </w:r>
      <w:r w:rsidRPr="005C6578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&lt; 0.05; 34 miRNAs, 1.7%) or marginally significant (0.05 ≤ </w:t>
      </w:r>
      <w:r w:rsidRPr="005C6578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&lt; 0.1; 55 miRNAs, 2.8%) in MDD-S vs. control subjects. </w:t>
      </w:r>
      <w:r w:rsidRPr="005C6578">
        <w:rPr>
          <w:rFonts w:ascii="Times New Roman" w:hAnsi="Times New Roman" w:cs="Times New Roman"/>
          <w:b/>
          <w:sz w:val="24"/>
          <w:szCs w:val="24"/>
        </w:rPr>
        <w:t>b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Volcano plot of log₂ fold change and </w:t>
      </w:r>
      <w:r w:rsidR="000E47F2" w:rsidRPr="005C6578">
        <w:rPr>
          <w:rFonts w:ascii="Times New Roman" w:hAnsi="Times New Roman" w:cs="Times New Roman"/>
          <w:bCs/>
          <w:sz w:val="24"/>
          <w:szCs w:val="24"/>
        </w:rPr>
        <w:t>-</w:t>
      </w:r>
      <w:r w:rsidRPr="005C6578">
        <w:rPr>
          <w:rFonts w:ascii="Times New Roman" w:hAnsi="Times New Roman" w:cs="Times New Roman"/>
          <w:bCs/>
          <w:sz w:val="24"/>
          <w:szCs w:val="24"/>
        </w:rPr>
        <w:t>log₁₀ p</w:t>
      </w:r>
      <w:r w:rsidR="000E47F2" w:rsidRPr="005C6578">
        <w:rPr>
          <w:rFonts w:ascii="Times New Roman" w:hAnsi="Times New Roman" w:cs="Times New Roman"/>
          <w:bCs/>
          <w:sz w:val="24"/>
          <w:szCs w:val="24"/>
        </w:rPr>
        <w:t>-value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for each miRNA. Dark blue, </w:t>
      </w:r>
      <w:r w:rsidRPr="005C6578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&lt; 0.05; light blue, 0.05 ≤ </w:t>
      </w:r>
      <w:r w:rsidRPr="005C6578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&lt; 0.1. The dashed line indicates nominal </w:t>
      </w:r>
      <w:r w:rsidRPr="005C6578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= 0.05. </w:t>
      </w:r>
      <w:r w:rsidRPr="005C6578">
        <w:rPr>
          <w:rFonts w:ascii="Times New Roman" w:hAnsi="Times New Roman" w:cs="Times New Roman"/>
          <w:b/>
          <w:sz w:val="24"/>
          <w:szCs w:val="24"/>
        </w:rPr>
        <w:t>c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Heatmap of the </w:t>
      </w:r>
      <w:r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34 DEmiRs </w:t>
      </w:r>
      <w:r w:rsidR="000E47F2"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r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E47F2"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55</w:t>
      </w:r>
      <w:r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miRNAs with </w:t>
      </w:r>
      <w:r w:rsidRPr="005C6578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p</w:t>
      </w:r>
      <w:r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&lt; 0.1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. Values </w:t>
      </w:r>
      <w:r w:rsidR="000E47F2" w:rsidRPr="005C6578">
        <w:rPr>
          <w:rFonts w:ascii="Times New Roman" w:hAnsi="Times New Roman" w:cs="Times New Roman"/>
          <w:bCs/>
          <w:sz w:val="24"/>
          <w:szCs w:val="24"/>
        </w:rPr>
        <w:t>are row-scaled z-scores of log₂-(TMM-normalized CPM + 1)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. miRNAs </w:t>
      </w:r>
      <w:r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 samples</w:t>
      </w:r>
      <w:r w:rsidRPr="005C6578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5C6578">
        <w:rPr>
          <w:rFonts w:ascii="Times New Roman" w:hAnsi="Times New Roman" w:cs="Times New Roman"/>
          <w:bCs/>
          <w:sz w:val="24"/>
          <w:szCs w:val="24"/>
        </w:rPr>
        <w:t>were clustered by hierarchical clustering (</w:t>
      </w:r>
      <w:r w:rsidR="000E47F2" w:rsidRPr="005C6578">
        <w:rPr>
          <w:rFonts w:ascii="Times New Roman" w:hAnsi="Times New Roman" w:cs="Times New Roman"/>
          <w:bCs/>
          <w:sz w:val="24"/>
          <w:szCs w:val="24"/>
        </w:rPr>
        <w:t>1 - Pearson correlation distance, Ward’s linkage; ComplexHeatmap, R</w:t>
      </w:r>
      <w:r w:rsidRPr="005C6578">
        <w:rPr>
          <w:rFonts w:ascii="Times New Roman" w:hAnsi="Times New Roman" w:cs="Times New Roman"/>
          <w:bCs/>
          <w:sz w:val="24"/>
          <w:szCs w:val="24"/>
        </w:rPr>
        <w:t>). C, control; D, MDD-S; numbers correspond to the p</w:t>
      </w:r>
      <w:r w:rsidR="000E47F2" w:rsidRPr="005C6578">
        <w:rPr>
          <w:rFonts w:ascii="Times New Roman" w:hAnsi="Times New Roman" w:cs="Times New Roman"/>
          <w:bCs/>
          <w:sz w:val="24"/>
          <w:szCs w:val="24"/>
        </w:rPr>
        <w:t xml:space="preserve">air ID (Supplementary Table 1). </w:t>
      </w:r>
      <w:r w:rsidRPr="005C6578">
        <w:rPr>
          <w:rFonts w:ascii="Times New Roman" w:hAnsi="Times New Roman" w:cs="Times New Roman"/>
          <w:bCs/>
          <w:sz w:val="24"/>
          <w:szCs w:val="24"/>
        </w:rPr>
        <w:t>Differential expression was assessed w</w:t>
      </w:r>
      <w:r w:rsidR="000E47F2" w:rsidRPr="005C6578">
        <w:rPr>
          <w:rFonts w:ascii="Times New Roman" w:hAnsi="Times New Roman" w:cs="Times New Roman"/>
          <w:bCs/>
          <w:sz w:val="24"/>
          <w:szCs w:val="24"/>
        </w:rPr>
        <w:t>ith DESeq2, including case-</w:t>
      </w:r>
      <w:r w:rsidRPr="005C6578">
        <w:rPr>
          <w:rFonts w:ascii="Times New Roman" w:hAnsi="Times New Roman" w:cs="Times New Roman"/>
          <w:bCs/>
          <w:sz w:val="24"/>
          <w:szCs w:val="24"/>
        </w:rPr>
        <w:t>control pai</w:t>
      </w:r>
      <w:r w:rsidR="000E47F2" w:rsidRPr="005C6578">
        <w:rPr>
          <w:rFonts w:ascii="Times New Roman" w:hAnsi="Times New Roman" w:cs="Times New Roman"/>
          <w:bCs/>
          <w:sz w:val="24"/>
          <w:szCs w:val="24"/>
        </w:rPr>
        <w:t>r and diagnosis in the model; p-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values are nominal (uncorrected). DEmiRs were defined as </w:t>
      </w:r>
      <w:r w:rsidRPr="005C6578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bCs/>
          <w:sz w:val="24"/>
          <w:szCs w:val="24"/>
        </w:rPr>
        <w:t xml:space="preserve"> &lt; 0.05.</w:t>
      </w:r>
      <w:r w:rsidR="00522739" w:rsidRPr="005C65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2739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26CCF43A" w14:textId="67647A68" w:rsidR="00B56795" w:rsidRPr="005C6578" w:rsidRDefault="00B56795" w:rsidP="005C6578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D2A7E7" w14:textId="77777777" w:rsidR="00DC452B" w:rsidRPr="005C6578" w:rsidRDefault="00DC452B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B3FB7F7" w14:textId="77777777" w:rsidR="00EF4E21" w:rsidRPr="005C6578" w:rsidRDefault="00EF4E21" w:rsidP="005C6578">
      <w:pPr>
        <w:spacing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5C6578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br w:type="page"/>
      </w:r>
    </w:p>
    <w:p w14:paraId="43AFEBF2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5C7A9" w14:textId="4EC9A172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2E3">
        <w:drawing>
          <wp:anchor distT="0" distB="0" distL="114300" distR="114300" simplePos="0" relativeHeight="251659264" behindDoc="0" locked="0" layoutInCell="1" allowOverlap="1" wp14:anchorId="4599ADE3" wp14:editId="1D1BE105">
            <wp:simplePos x="0" y="0"/>
            <wp:positionH relativeFrom="column">
              <wp:posOffset>5715</wp:posOffset>
            </wp:positionH>
            <wp:positionV relativeFrom="paragraph">
              <wp:posOffset>4445</wp:posOffset>
            </wp:positionV>
            <wp:extent cx="5400040" cy="725104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5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41488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3D04B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EEFF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25519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8DFDF5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F92FB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6D71F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04ADA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36DD8E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5DF2F" w14:textId="51943C81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209D7" w14:textId="49070A13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A63B1" w14:textId="456F44EF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4512D" w14:textId="189B08B6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9EE09" w14:textId="281D806D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48F12" w14:textId="0B81653B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54B0B" w14:textId="11ECD132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2229BB" w14:textId="4AA7B81C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EE776" w14:textId="311252D0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FFD134" w14:textId="3F0970FD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05D1E" w14:textId="0841457B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1343A5" w14:textId="3D16E11D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6FD03" w14:textId="39E53003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FA75A" w14:textId="5E73ED61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5F04BC" w14:textId="40456049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1E78B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AEA9F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A69E8" w14:textId="51705600" w:rsidR="005C6578" w:rsidRPr="005C6578" w:rsidRDefault="00EF4E21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3. </w:t>
      </w:r>
      <w:r w:rsidR="00163D8D" w:rsidRPr="005C6578">
        <w:rPr>
          <w:rStyle w:val="Textoennegrita"/>
          <w:rFonts w:ascii="Times New Roman" w:hAnsi="Times New Roman" w:cs="Times New Roman"/>
          <w:sz w:val="24"/>
          <w:szCs w:val="24"/>
        </w:rPr>
        <w:t>RT-qPCR technical validation of candidate miRNAs in males of the discovery cohort.</w:t>
      </w:r>
      <w:r w:rsidR="00163D8D" w:rsidRPr="005C6578">
        <w:rPr>
          <w:rFonts w:ascii="Times New Roman" w:hAnsi="Times New Roman" w:cs="Times New Roman"/>
          <w:sz w:val="24"/>
          <w:szCs w:val="24"/>
        </w:rPr>
        <w:t xml:space="preserve"> Expression of the 37 candidate miRNAs selected from the sequencing data, measured by RT-qPCR (miRCURY LNA miRNA PCR Panel; QIAGEN) in the dlPFC of 10 male MDD-S/control pairs. </w:t>
      </w:r>
      <w:r w:rsidR="000E47F2" w:rsidRPr="005C6578">
        <w:rPr>
          <w:rFonts w:ascii="Times New Roman" w:hAnsi="Times New Roman" w:cs="Times New Roman"/>
          <w:sz w:val="24"/>
          <w:szCs w:val="24"/>
        </w:rPr>
        <w:t>Relative expression was calculated as 2</w:t>
      </w:r>
      <w:r w:rsidR="000E47F2" w:rsidRPr="005C6578">
        <w:rPr>
          <w:rFonts w:ascii="Times New Roman" w:hAnsi="Times New Roman" w:cs="Times New Roman"/>
          <w:sz w:val="24"/>
          <w:szCs w:val="24"/>
          <w:vertAlign w:val="superscript"/>
        </w:rPr>
        <w:t>-ΔCt</w:t>
      </w:r>
      <w:r w:rsidR="000E47F2" w:rsidRPr="005C6578">
        <w:rPr>
          <w:rFonts w:ascii="Times New Roman" w:hAnsi="Times New Roman" w:cs="Times New Roman"/>
          <w:sz w:val="24"/>
          <w:szCs w:val="24"/>
        </w:rPr>
        <w:t xml:space="preserve">, with ΔCt relative to the geometric mean of miR-9-3p, miR-103a-3p and miR-30e-5p, and expressed relative to the mean of the control group. </w:t>
      </w:r>
      <w:r w:rsidR="00163D8D" w:rsidRPr="005C6578">
        <w:rPr>
          <w:rFonts w:ascii="Times New Roman" w:hAnsi="Times New Roman" w:cs="Times New Roman"/>
          <w:sz w:val="24"/>
          <w:szCs w:val="24"/>
        </w:rPr>
        <w:t xml:space="preserve">Box plots show </w:t>
      </w:r>
      <w:r w:rsidR="00163D8D" w:rsidRPr="005C6578">
        <w:rPr>
          <w:rFonts w:ascii="Times New Roman" w:hAnsi="Times New Roman" w:cs="Times New Roman"/>
          <w:sz w:val="24"/>
          <w:szCs w:val="24"/>
        </w:rPr>
        <w:lastRenderedPageBreak/>
        <w:t>the median and the 25</w:t>
      </w:r>
      <w:r w:rsidR="00163D8D"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F3A60" w:rsidRPr="005C6578">
        <w:rPr>
          <w:rFonts w:ascii="Times New Roman" w:hAnsi="Times New Roman" w:cs="Times New Roman"/>
          <w:sz w:val="24"/>
          <w:szCs w:val="24"/>
        </w:rPr>
        <w:t>-</w:t>
      </w:r>
      <w:r w:rsidR="00163D8D" w:rsidRPr="005C6578">
        <w:rPr>
          <w:rFonts w:ascii="Times New Roman" w:hAnsi="Times New Roman" w:cs="Times New Roman"/>
          <w:sz w:val="24"/>
          <w:szCs w:val="24"/>
        </w:rPr>
        <w:t>75</w:t>
      </w:r>
      <w:r w:rsidR="00163D8D"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63D8D" w:rsidRPr="005C6578">
        <w:rPr>
          <w:rFonts w:ascii="Times New Roman" w:hAnsi="Times New Roman" w:cs="Times New Roman"/>
          <w:sz w:val="24"/>
          <w:szCs w:val="24"/>
        </w:rPr>
        <w:t xml:space="preserve"> percentiles; whiskers indicate minimum and maximum values; dots represent individual subjects. The number of subjects varies between miRNAs because samples in which the miRNA was not detected (</w:t>
      </w:r>
      <w:r w:rsidR="00163D8D"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Ct &gt; </w:t>
      </w:r>
      <w:r w:rsidR="00DF3A60"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>37</w:t>
      </w:r>
      <w:r w:rsidR="00163D8D" w:rsidRPr="005C6578">
        <w:rPr>
          <w:rFonts w:ascii="Times New Roman" w:hAnsi="Times New Roman" w:cs="Times New Roman"/>
          <w:sz w:val="24"/>
          <w:szCs w:val="24"/>
        </w:rPr>
        <w:t>) were excluded</w:t>
      </w:r>
      <w:r w:rsidR="009718C1" w:rsidRPr="005C6578">
        <w:rPr>
          <w:rFonts w:ascii="Times New Roman" w:hAnsi="Times New Roman" w:cs="Times New Roman"/>
          <w:sz w:val="24"/>
          <w:szCs w:val="24"/>
        </w:rPr>
        <w:t>. Values lacking a matched counterpart (e.g., because the paired sample was excluded) are shown but were not included in paired tests.</w:t>
      </w:r>
      <w:r w:rsidR="00DF3A60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163D8D" w:rsidRPr="005C6578">
        <w:rPr>
          <w:rFonts w:ascii="Times New Roman" w:hAnsi="Times New Roman" w:cs="Times New Roman"/>
          <w:sz w:val="24"/>
          <w:szCs w:val="24"/>
        </w:rPr>
        <w:t xml:space="preserve">Groups were compared with a paired Student’s </w:t>
      </w:r>
      <w:r w:rsidR="00163D8D" w:rsidRPr="005C6578">
        <w:rPr>
          <w:rFonts w:ascii="Times New Roman" w:hAnsi="Times New Roman" w:cs="Times New Roman"/>
          <w:i/>
          <w:sz w:val="24"/>
          <w:szCs w:val="24"/>
        </w:rPr>
        <w:t>t</w:t>
      </w:r>
      <w:r w:rsidR="00163D8D" w:rsidRPr="005C6578">
        <w:rPr>
          <w:rFonts w:ascii="Times New Roman" w:hAnsi="Times New Roman" w:cs="Times New Roman"/>
          <w:sz w:val="24"/>
          <w:szCs w:val="24"/>
        </w:rPr>
        <w:t xml:space="preserve">-test or a Wilcoxon matched-pairs signed-rank test according to the normality of </w:t>
      </w:r>
      <w:r w:rsidR="009718C1" w:rsidRPr="005C6578">
        <w:rPr>
          <w:rFonts w:ascii="Times New Roman" w:hAnsi="Times New Roman" w:cs="Times New Roman"/>
          <w:sz w:val="24"/>
          <w:szCs w:val="24"/>
        </w:rPr>
        <w:t>each groups (Shapiro-</w:t>
      </w:r>
      <w:r w:rsidR="00163D8D" w:rsidRPr="005C6578">
        <w:rPr>
          <w:rFonts w:ascii="Times New Roman" w:hAnsi="Times New Roman" w:cs="Times New Roman"/>
          <w:sz w:val="24"/>
          <w:szCs w:val="24"/>
        </w:rPr>
        <w:t xml:space="preserve">Wilk). </w:t>
      </w:r>
      <w:r w:rsidR="009718C1" w:rsidRPr="005C6578">
        <w:rPr>
          <w:rFonts w:ascii="Times New Roman" w:hAnsi="Times New Roman" w:cs="Times New Roman"/>
          <w:sz w:val="24"/>
          <w:szCs w:val="24"/>
        </w:rPr>
        <w:t xml:space="preserve">For miRNAs with fewer than three complete pairs (miR-574-5p and miR-6734-5p), unpaired </w:t>
      </w:r>
      <w:r w:rsidR="009718C1" w:rsidRPr="005C6578">
        <w:rPr>
          <w:rFonts w:ascii="Times New Roman" w:hAnsi="Times New Roman" w:cs="Times New Roman"/>
          <w:i/>
          <w:sz w:val="24"/>
          <w:szCs w:val="24"/>
        </w:rPr>
        <w:t>t</w:t>
      </w:r>
      <w:r w:rsidR="009718C1" w:rsidRPr="005C6578">
        <w:rPr>
          <w:rFonts w:ascii="Times New Roman" w:hAnsi="Times New Roman" w:cs="Times New Roman"/>
          <w:sz w:val="24"/>
          <w:szCs w:val="24"/>
        </w:rPr>
        <w:t xml:space="preserve">-tests were used instead. </w:t>
      </w:r>
      <w:r w:rsidR="00163D8D" w:rsidRPr="005C6578">
        <w:rPr>
          <w:rFonts w:ascii="Times New Roman" w:hAnsi="Times New Roman" w:cs="Times New Roman"/>
          <w:sz w:val="24"/>
          <w:szCs w:val="24"/>
        </w:rPr>
        <w:t>*</w:t>
      </w:r>
      <w:r w:rsidR="00163D8D"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="00163D8D" w:rsidRPr="005C6578">
        <w:rPr>
          <w:rFonts w:ascii="Times New Roman" w:hAnsi="Times New Roman" w:cs="Times New Roman"/>
          <w:sz w:val="24"/>
          <w:szCs w:val="24"/>
        </w:rPr>
        <w:t xml:space="preserve"> &lt; 0.05</w:t>
      </w:r>
      <w:r w:rsidR="001156F2" w:rsidRPr="005C6578">
        <w:rPr>
          <w:rFonts w:ascii="Times New Roman" w:hAnsi="Times New Roman" w:cs="Times New Roman"/>
          <w:sz w:val="24"/>
          <w:szCs w:val="24"/>
        </w:rPr>
        <w:t>, **</w:t>
      </w:r>
      <w:r w:rsidR="001156F2"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="001156F2" w:rsidRPr="005C6578">
        <w:rPr>
          <w:rFonts w:ascii="Times New Roman" w:hAnsi="Times New Roman" w:cs="Times New Roman"/>
          <w:sz w:val="24"/>
          <w:szCs w:val="24"/>
        </w:rPr>
        <w:t xml:space="preserve"> &lt; 0.01; </w:t>
      </w:r>
      <w:r w:rsidR="00163D8D" w:rsidRPr="005C6578">
        <w:rPr>
          <w:rFonts w:ascii="Times New Roman" w:hAnsi="Times New Roman" w:cs="Times New Roman"/>
          <w:sz w:val="24"/>
          <w:szCs w:val="24"/>
        </w:rPr>
        <w:t>exact p</w:t>
      </w:r>
      <w:r w:rsidR="009718C1" w:rsidRPr="005C6578">
        <w:rPr>
          <w:rFonts w:ascii="Times New Roman" w:hAnsi="Times New Roman" w:cs="Times New Roman"/>
          <w:sz w:val="24"/>
          <w:szCs w:val="24"/>
        </w:rPr>
        <w:t>-</w:t>
      </w:r>
      <w:r w:rsidR="00163D8D" w:rsidRPr="005C6578">
        <w:rPr>
          <w:rFonts w:ascii="Times New Roman" w:hAnsi="Times New Roman" w:cs="Times New Roman"/>
          <w:sz w:val="24"/>
          <w:szCs w:val="24"/>
        </w:rPr>
        <w:t xml:space="preserve">values are shown for </w:t>
      </w:r>
      <w:r w:rsidR="00163D8D"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="00163D8D" w:rsidRPr="005C6578">
        <w:rPr>
          <w:rFonts w:ascii="Times New Roman" w:hAnsi="Times New Roman" w:cs="Times New Roman"/>
          <w:sz w:val="24"/>
          <w:szCs w:val="24"/>
        </w:rPr>
        <w:t xml:space="preserve"> ≥ 0.0</w:t>
      </w:r>
      <w:r w:rsidR="009718C1" w:rsidRPr="005C6578">
        <w:rPr>
          <w:rFonts w:ascii="Times New Roman" w:hAnsi="Times New Roman" w:cs="Times New Roman"/>
          <w:sz w:val="24"/>
          <w:szCs w:val="24"/>
        </w:rPr>
        <w:t>5. P-</w:t>
      </w:r>
      <w:r w:rsidR="00163D8D" w:rsidRPr="005C6578">
        <w:rPr>
          <w:rFonts w:ascii="Times New Roman" w:hAnsi="Times New Roman" w:cs="Times New Roman"/>
          <w:sz w:val="24"/>
          <w:szCs w:val="24"/>
        </w:rPr>
        <w:t>values are nominal (uncorrected).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172E8591" w14:textId="1C66DD04" w:rsidR="00163D8D" w:rsidRPr="005C6578" w:rsidRDefault="00163D8D" w:rsidP="005C657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EF2F9" w14:textId="77777777" w:rsidR="00163D8D" w:rsidRPr="005C6578" w:rsidRDefault="00163D8D" w:rsidP="005C6578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710F5" w14:textId="77777777" w:rsidR="004737D8" w:rsidRPr="005C6578" w:rsidRDefault="004737D8" w:rsidP="005C65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</w:p>
    <w:p w14:paraId="259E250F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19031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8940B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B259D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31B0E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89F5E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52BB7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E276B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A3676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DFB9B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3538CE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999DF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4740F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DF583" w14:textId="77777777" w:rsidR="00436D2B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E3A48" w14:textId="77777777" w:rsidR="009718C1" w:rsidRPr="005C6578" w:rsidRDefault="009718C1" w:rsidP="005C657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657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781D3E3" w14:textId="1BFB7FF1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2E3">
        <w:lastRenderedPageBreak/>
        <w:drawing>
          <wp:inline distT="0" distB="0" distL="0" distR="0" wp14:anchorId="4E2BA13D" wp14:editId="22646457">
            <wp:extent cx="5400040" cy="66414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64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4DF6C" w14:textId="77777777" w:rsidR="00B252E3" w:rsidRDefault="00B252E3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06D5B1" w14:textId="0AAA7E1D" w:rsidR="005C6578" w:rsidRPr="005C6578" w:rsidRDefault="00436D2B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4.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 xml:space="preserve">RT-qPCR technical validation of candidate miRNAs in </w:t>
      </w:r>
      <w:r w:rsidR="00B7074F" w:rsidRPr="005C6578">
        <w:rPr>
          <w:rStyle w:val="Textoennegrita"/>
          <w:rFonts w:ascii="Times New Roman" w:hAnsi="Times New Roman" w:cs="Times New Roman"/>
          <w:sz w:val="24"/>
          <w:szCs w:val="24"/>
        </w:rPr>
        <w:t>fe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males of the discovery cohort</w:t>
      </w:r>
      <w:r w:rsidR="00B7074F" w:rsidRPr="005C6578">
        <w:rPr>
          <w:rStyle w:val="Textoennegrita"/>
          <w:rFonts w:ascii="Times New Roman" w:hAnsi="Times New Roman" w:cs="Times New Roman"/>
          <w:sz w:val="24"/>
          <w:szCs w:val="24"/>
        </w:rPr>
        <w:t xml:space="preserve">. </w:t>
      </w:r>
      <w:r w:rsidR="00B7074F" w:rsidRPr="005C6578">
        <w:rPr>
          <w:rStyle w:val="Textoennegrita"/>
          <w:rFonts w:ascii="Times New Roman" w:hAnsi="Times New Roman" w:cs="Times New Roman"/>
          <w:b w:val="0"/>
          <w:sz w:val="24"/>
          <w:szCs w:val="24"/>
        </w:rPr>
        <w:t>Expression of the 37 candidate miRNAs selected from the sequencing data, measured by RT-qPCR (miRCURY LNA miRNA PCR Panel; QIAGEN) in the dlPFC of 7 female MDD-S/control pairs.</w:t>
      </w:r>
      <w:r w:rsidR="009718C1" w:rsidRPr="005C6578">
        <w:rPr>
          <w:rStyle w:val="Textoennegrita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718C1" w:rsidRPr="005C6578">
        <w:rPr>
          <w:rFonts w:ascii="Times New Roman" w:hAnsi="Times New Roman" w:cs="Times New Roman"/>
          <w:sz w:val="24"/>
          <w:szCs w:val="24"/>
        </w:rPr>
        <w:t>Relative expression was calculated as 2</w:t>
      </w:r>
      <w:r w:rsidR="009718C1" w:rsidRPr="005C6578">
        <w:rPr>
          <w:rFonts w:ascii="Times New Roman" w:hAnsi="Times New Roman" w:cs="Times New Roman"/>
          <w:sz w:val="24"/>
          <w:szCs w:val="24"/>
          <w:vertAlign w:val="superscript"/>
        </w:rPr>
        <w:t>-ΔCt</w:t>
      </w:r>
      <w:r w:rsidR="009718C1" w:rsidRPr="005C6578">
        <w:rPr>
          <w:rFonts w:ascii="Times New Roman" w:hAnsi="Times New Roman" w:cs="Times New Roman"/>
          <w:sz w:val="24"/>
          <w:szCs w:val="24"/>
        </w:rPr>
        <w:t>, with ΔCt relative to the geometric mean of miR-9-3p, miR-103a-3p and miR-30e-5p, and expressed relative to the mean of the control group</w:t>
      </w:r>
      <w:r w:rsidR="00B7074F" w:rsidRPr="005C6578">
        <w:rPr>
          <w:rStyle w:val="Textoennegrita"/>
          <w:rFonts w:ascii="Times New Roman" w:hAnsi="Times New Roman" w:cs="Times New Roman"/>
          <w:b w:val="0"/>
          <w:sz w:val="24"/>
          <w:szCs w:val="24"/>
        </w:rPr>
        <w:t>. Box plots show the median and the 25</w:t>
      </w:r>
      <w:r w:rsidR="00B7074F" w:rsidRPr="005C6578">
        <w:rPr>
          <w:rStyle w:val="Textoennegrita"/>
          <w:rFonts w:ascii="Times New Roman" w:hAnsi="Times New Roman" w:cs="Times New Roman"/>
          <w:b w:val="0"/>
          <w:sz w:val="24"/>
          <w:szCs w:val="24"/>
          <w:vertAlign w:val="superscript"/>
        </w:rPr>
        <w:t>th</w:t>
      </w:r>
      <w:r w:rsidR="009718C1" w:rsidRPr="005C6578">
        <w:rPr>
          <w:rStyle w:val="Textoennegrita"/>
          <w:rFonts w:ascii="Times New Roman" w:hAnsi="Times New Roman" w:cs="Times New Roman"/>
          <w:b w:val="0"/>
          <w:sz w:val="24"/>
          <w:szCs w:val="24"/>
        </w:rPr>
        <w:t>-</w:t>
      </w:r>
      <w:r w:rsidR="00B7074F" w:rsidRPr="005C6578">
        <w:rPr>
          <w:rStyle w:val="Textoennegrita"/>
          <w:rFonts w:ascii="Times New Roman" w:hAnsi="Times New Roman" w:cs="Times New Roman"/>
          <w:b w:val="0"/>
          <w:sz w:val="24"/>
          <w:szCs w:val="24"/>
        </w:rPr>
        <w:t>75</w:t>
      </w:r>
      <w:r w:rsidR="00B7074F" w:rsidRPr="005C6578">
        <w:rPr>
          <w:rStyle w:val="Textoennegrita"/>
          <w:rFonts w:ascii="Times New Roman" w:hAnsi="Times New Roman" w:cs="Times New Roman"/>
          <w:b w:val="0"/>
          <w:sz w:val="24"/>
          <w:szCs w:val="24"/>
          <w:vertAlign w:val="superscript"/>
        </w:rPr>
        <w:t>th</w:t>
      </w:r>
      <w:r w:rsidR="00B7074F" w:rsidRPr="005C6578">
        <w:rPr>
          <w:rStyle w:val="Textoennegrita"/>
          <w:rFonts w:ascii="Times New Roman" w:hAnsi="Times New Roman" w:cs="Times New Roman"/>
          <w:b w:val="0"/>
          <w:sz w:val="24"/>
          <w:szCs w:val="24"/>
        </w:rPr>
        <w:t xml:space="preserve"> percentiles; whiskers indicate minimum and maximum values; dots represent individual subjects. The number of subjects varies between miRNAs because samples in which the miRNA was not detected </w:t>
      </w:r>
      <w:r w:rsidR="00B7074F" w:rsidRPr="005C6578">
        <w:rPr>
          <w:rStyle w:val="Textoennegrit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(Ct &gt; </w:t>
      </w:r>
      <w:r w:rsidR="009718C1" w:rsidRPr="005C6578">
        <w:rPr>
          <w:rStyle w:val="Textoennegrita"/>
          <w:rFonts w:ascii="Times New Roman" w:hAnsi="Times New Roman" w:cs="Times New Roman"/>
          <w:b w:val="0"/>
          <w:color w:val="000000" w:themeColor="text1"/>
          <w:sz w:val="24"/>
          <w:szCs w:val="24"/>
        </w:rPr>
        <w:t>37</w:t>
      </w:r>
      <w:r w:rsidR="00B7074F" w:rsidRPr="005C6578">
        <w:rPr>
          <w:rStyle w:val="Textoennegrit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) </w:t>
      </w:r>
      <w:r w:rsidR="009718C1" w:rsidRPr="005C6578">
        <w:rPr>
          <w:rStyle w:val="Textoennegrita"/>
          <w:rFonts w:ascii="Times New Roman" w:hAnsi="Times New Roman" w:cs="Times New Roman"/>
          <w:b w:val="0"/>
          <w:sz w:val="24"/>
          <w:szCs w:val="24"/>
        </w:rPr>
        <w:t>were excluded.</w:t>
      </w:r>
      <w:r w:rsidR="009718C1" w:rsidRPr="005C6578">
        <w:rPr>
          <w:rFonts w:ascii="Times New Roman" w:hAnsi="Times New Roman" w:cs="Times New Roman"/>
          <w:sz w:val="24"/>
          <w:szCs w:val="24"/>
        </w:rPr>
        <w:t xml:space="preserve"> Values lacking a matched counterpart (e.g., because the paired sample was excluded) are </w:t>
      </w:r>
      <w:r w:rsidR="009718C1" w:rsidRPr="005C6578">
        <w:rPr>
          <w:rFonts w:ascii="Times New Roman" w:hAnsi="Times New Roman" w:cs="Times New Roman"/>
          <w:sz w:val="24"/>
          <w:szCs w:val="24"/>
        </w:rPr>
        <w:lastRenderedPageBreak/>
        <w:t xml:space="preserve">shown but were not included in paired tests. Groups were compared with a paired Student’s </w:t>
      </w:r>
      <w:r w:rsidR="009718C1" w:rsidRPr="005C6578">
        <w:rPr>
          <w:rFonts w:ascii="Times New Roman" w:hAnsi="Times New Roman" w:cs="Times New Roman"/>
          <w:i/>
          <w:sz w:val="24"/>
          <w:szCs w:val="24"/>
        </w:rPr>
        <w:t>t</w:t>
      </w:r>
      <w:r w:rsidR="009718C1" w:rsidRPr="005C6578">
        <w:rPr>
          <w:rFonts w:ascii="Times New Roman" w:hAnsi="Times New Roman" w:cs="Times New Roman"/>
          <w:sz w:val="24"/>
          <w:szCs w:val="24"/>
        </w:rPr>
        <w:t xml:space="preserve">-test or a Wilcoxon matched-pairs signed-rank test according to the normality of each groups (Shapiro-Wilk). For miRNAs with fewer than three complete pairs (miR-574-5p, miR-5584-5p and miR-6734-5p), unpaired </w:t>
      </w:r>
      <w:r w:rsidR="009718C1" w:rsidRPr="005C6578">
        <w:rPr>
          <w:rFonts w:ascii="Times New Roman" w:hAnsi="Times New Roman" w:cs="Times New Roman"/>
          <w:i/>
          <w:sz w:val="24"/>
          <w:szCs w:val="24"/>
        </w:rPr>
        <w:t>t</w:t>
      </w:r>
      <w:r w:rsidR="009718C1" w:rsidRPr="005C6578">
        <w:rPr>
          <w:rFonts w:ascii="Times New Roman" w:hAnsi="Times New Roman" w:cs="Times New Roman"/>
          <w:sz w:val="24"/>
          <w:szCs w:val="24"/>
        </w:rPr>
        <w:t>-tests were used instead. *</w:t>
      </w:r>
      <w:r w:rsidR="009718C1"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="009718C1" w:rsidRPr="005C6578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9718C1"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="009718C1" w:rsidRPr="005C6578">
        <w:rPr>
          <w:rFonts w:ascii="Times New Roman" w:hAnsi="Times New Roman" w:cs="Times New Roman"/>
          <w:sz w:val="24"/>
          <w:szCs w:val="24"/>
        </w:rPr>
        <w:t xml:space="preserve"> &lt; 0.01; exact p-values are shown for </w:t>
      </w:r>
      <w:r w:rsidR="009718C1"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="009718C1" w:rsidRPr="005C6578">
        <w:rPr>
          <w:rFonts w:ascii="Times New Roman" w:hAnsi="Times New Roman" w:cs="Times New Roman"/>
          <w:sz w:val="24"/>
          <w:szCs w:val="24"/>
        </w:rPr>
        <w:t xml:space="preserve"> ≥ 0.05. P-values are nominal (uncorrected).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4BC82485" w14:textId="107DBEA1" w:rsidR="009718C1" w:rsidRPr="005C6578" w:rsidRDefault="009718C1" w:rsidP="005C657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64BD4" w14:textId="77777777" w:rsidR="009718C1" w:rsidRPr="005C6578" w:rsidRDefault="009718C1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b w:val="0"/>
          <w:sz w:val="24"/>
          <w:szCs w:val="24"/>
        </w:rPr>
      </w:pPr>
    </w:p>
    <w:p w14:paraId="01B27C45" w14:textId="77777777" w:rsidR="009718C1" w:rsidRPr="005C6578" w:rsidRDefault="009718C1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b w:val="0"/>
          <w:sz w:val="24"/>
          <w:szCs w:val="24"/>
        </w:rPr>
      </w:pPr>
    </w:p>
    <w:p w14:paraId="35BEFF29" w14:textId="253B8ED8" w:rsidR="007B25F1" w:rsidRPr="005C6578" w:rsidRDefault="007B25F1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8E3A89E" w14:textId="50C89F6C" w:rsidR="00B653D9" w:rsidRPr="005C6578" w:rsidRDefault="00B653D9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0D5AFF6" w14:textId="77777777" w:rsidR="009718C1" w:rsidRPr="005C6578" w:rsidRDefault="009718C1" w:rsidP="005C6578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br w:type="page"/>
      </w:r>
    </w:p>
    <w:p w14:paraId="6018D7C9" w14:textId="03ED31B5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  <w:r w:rsidRPr="00B252E3">
        <w:rPr>
          <w:rStyle w:val="Textoennegrita"/>
          <w:b w:val="0"/>
          <w:bCs w:val="0"/>
        </w:rPr>
        <w:lastRenderedPageBreak/>
        <w:drawing>
          <wp:anchor distT="0" distB="0" distL="114300" distR="114300" simplePos="0" relativeHeight="251660288" behindDoc="0" locked="0" layoutInCell="1" allowOverlap="1" wp14:anchorId="7CD60964" wp14:editId="716570A6">
            <wp:simplePos x="0" y="0"/>
            <wp:positionH relativeFrom="column">
              <wp:posOffset>-1833</wp:posOffset>
            </wp:positionH>
            <wp:positionV relativeFrom="paragraph">
              <wp:posOffset>74990</wp:posOffset>
            </wp:positionV>
            <wp:extent cx="5486171" cy="6959170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111" cy="696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33065" w14:textId="7AD75D86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26485C9" w14:textId="4DB20BFB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96D147E" w14:textId="23BCB61B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07239C9" w14:textId="0BCF2FE2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CC88057" w14:textId="45113366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9637242" w14:textId="4919ED28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12509CFF" w14:textId="35186526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47D7FCD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949A16C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7B2CEB1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C681F4C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B835797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1A4C93A8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35311B0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E6E3AF2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140595C2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2156CC0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B3C8620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CB7B409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5D17D7A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3C4E376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B51D7C9" w14:textId="3D98AA7F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4D19764" w14:textId="1B276DD0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2AC732B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7147CF1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9BC770A" w14:textId="0DD031D5" w:rsidR="005C6578" w:rsidRPr="005C6578" w:rsidRDefault="009A1AAA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5. Correlation between sequencing and RT-qPCR measurements of candidate miRNAs.</w:t>
      </w:r>
      <w:r w:rsidRPr="005C6578">
        <w:rPr>
          <w:rFonts w:ascii="Times New Roman" w:hAnsi="Times New Roman" w:cs="Times New Roman"/>
          <w:sz w:val="24"/>
          <w:szCs w:val="24"/>
        </w:rPr>
        <w:t xml:space="preserve"> Expression of the 37 candidate miRNAs in the discovery cohort (17 MDD-S and 17 control subjects; both sexes and diagnostic groups combined), measured by small RNA sequencing (</w:t>
      </w:r>
      <w:r w:rsidR="00866DF9"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>log₂-TMM-normalized CPM + 1</w:t>
      </w:r>
      <w:r w:rsidRPr="005C6578">
        <w:rPr>
          <w:rFonts w:ascii="Times New Roman" w:hAnsi="Times New Roman" w:cs="Times New Roman"/>
          <w:sz w:val="24"/>
          <w:szCs w:val="24"/>
        </w:rPr>
        <w:t>) and by RT-qPCR in the technical validation (−ΔCt relative to the geometric mean of miR-9-3p, miR-103a-3p, and miR-30e-5p). Each dot represents one subject. The number of subjects varies between miRNAs because samples without an RT-qPCR value were excluded. Correlations were assessed with Spearman’s rank correlation coefficient (</w:t>
      </w:r>
      <w:r w:rsidRPr="005C6578">
        <w:rPr>
          <w:rFonts w:ascii="Times New Roman" w:hAnsi="Times New Roman" w:cs="Times New Roman"/>
          <w:i/>
          <w:sz w:val="24"/>
          <w:szCs w:val="24"/>
        </w:rPr>
        <w:t>r</w:t>
      </w:r>
      <w:r w:rsidRPr="005C6578">
        <w:rPr>
          <w:rFonts w:ascii="Times New Roman" w:hAnsi="Times New Roman" w:cs="Times New Roman"/>
          <w:sz w:val="24"/>
          <w:szCs w:val="24"/>
        </w:rPr>
        <w:t xml:space="preserve">s); </w:t>
      </w:r>
      <w:r w:rsidRPr="005C6578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06425A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>values are nominal (two-sided). Regression lines are shown for visualization only.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3B98CCF9" w14:textId="7840D1C5" w:rsidR="00B653D9" w:rsidRPr="005C6578" w:rsidRDefault="00B653D9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24E3F" w14:textId="7A60AC1D" w:rsidR="009A1AAA" w:rsidRPr="005C6578" w:rsidRDefault="009A1AAA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17B07C3" w14:textId="77777777" w:rsidR="00264713" w:rsidRPr="005C6578" w:rsidRDefault="0026471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246D26A" w14:textId="77777777" w:rsidR="0006425A" w:rsidRPr="005C6578" w:rsidRDefault="0006425A" w:rsidP="005C6578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br w:type="page"/>
      </w:r>
    </w:p>
    <w:p w14:paraId="7520172E" w14:textId="0928BFF2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  <w:r w:rsidRPr="00B252E3">
        <w:rPr>
          <w:rStyle w:val="Textoennegrita"/>
          <w:b w:val="0"/>
          <w:bCs w:val="0"/>
        </w:rPr>
        <w:lastRenderedPageBreak/>
        <w:drawing>
          <wp:inline distT="0" distB="0" distL="0" distR="0" wp14:anchorId="33296555" wp14:editId="4DA99822">
            <wp:extent cx="5468964" cy="7077483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063" cy="708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E59EE" w14:textId="77777777" w:rsidR="00B252E3" w:rsidRDefault="00B252E3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32EAE52" w14:textId="6B263439" w:rsidR="005C6578" w:rsidRPr="005C6578" w:rsidRDefault="00264713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6. Correlation between miRNA expression and age at death.</w:t>
      </w:r>
      <w:r w:rsidRPr="005C6578">
        <w:rPr>
          <w:rFonts w:ascii="Times New Roman" w:hAnsi="Times New Roman" w:cs="Times New Roman"/>
          <w:sz w:val="24"/>
          <w:szCs w:val="24"/>
        </w:rPr>
        <w:t xml:space="preserve"> RT-qPCR levels (−ΔCt) of the 37 candidate miRNAs in the technical validation, plotted against age at death in the discovery cohort (17 MDD-S and 17 control subjects; both sexes and diagnostic groups combined). Each dot represents one subject. Correlations were assessed with Spearman’s rank correlation coefficient (</w:t>
      </w:r>
      <w:r w:rsidRPr="005C6578">
        <w:rPr>
          <w:rFonts w:ascii="Times New Roman" w:hAnsi="Times New Roman" w:cs="Times New Roman"/>
          <w:i/>
          <w:sz w:val="24"/>
          <w:szCs w:val="24"/>
        </w:rPr>
        <w:t>r</w:t>
      </w:r>
      <w:r w:rsidRPr="005C6578">
        <w:rPr>
          <w:rFonts w:ascii="Times New Roman" w:hAnsi="Times New Roman" w:cs="Times New Roman"/>
          <w:sz w:val="24"/>
          <w:szCs w:val="24"/>
        </w:rPr>
        <w:t>s</w:t>
      </w:r>
      <w:r w:rsidR="0006425A" w:rsidRPr="005C6578">
        <w:rPr>
          <w:rFonts w:ascii="Times New Roman" w:hAnsi="Times New Roman" w:cs="Times New Roman"/>
          <w:sz w:val="24"/>
          <w:szCs w:val="24"/>
        </w:rPr>
        <w:t>); p-</w:t>
      </w:r>
      <w:r w:rsidRPr="005C6578">
        <w:rPr>
          <w:rFonts w:ascii="Times New Roman" w:hAnsi="Times New Roman" w:cs="Times New Roman"/>
          <w:sz w:val="24"/>
          <w:szCs w:val="24"/>
        </w:rPr>
        <w:t>values are nominal (two-sided). Regression lines are shown for visualization only.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06F2671E" w14:textId="1411BB7E" w:rsidR="00792F89" w:rsidRDefault="00792F89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CE3685A" w14:textId="408CF5F6" w:rsidR="00732DD7" w:rsidRDefault="00792F89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  <w:r w:rsidRPr="00792F89">
        <w:rPr>
          <w:rStyle w:val="Textoennegrita"/>
          <w:b w:val="0"/>
          <w:bCs w:val="0"/>
        </w:rPr>
        <w:drawing>
          <wp:inline distT="0" distB="0" distL="0" distR="0" wp14:anchorId="7A747581" wp14:editId="24F62269">
            <wp:extent cx="5549598" cy="713740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85" cy="7139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5329F" w14:textId="690C4D37" w:rsidR="00264713" w:rsidRPr="005C6578" w:rsidRDefault="00264713" w:rsidP="007D6C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7. Correlation between miRNA expression and postmortem interval.</w:t>
      </w:r>
      <w:r w:rsidRPr="005C6578">
        <w:rPr>
          <w:rFonts w:ascii="Times New Roman" w:hAnsi="Times New Roman" w:cs="Times New Roman"/>
          <w:sz w:val="24"/>
          <w:szCs w:val="24"/>
        </w:rPr>
        <w:t xml:space="preserve"> RT-qPCR levels (−ΔCt) of the 37 candidate miRNAs in the technical validation plotted against postmortem interval (PMI, hours) in the discovery cohort (17 MDD-S and 17 control subjects; both sexes and diagnostic groups combined). Each dot represents one subject. Correlations were assessed with Spearman’s rank correlation coefficient (</w:t>
      </w:r>
      <w:r w:rsidRPr="005C6578">
        <w:rPr>
          <w:rFonts w:ascii="Times New Roman" w:hAnsi="Times New Roman" w:cs="Times New Roman"/>
          <w:i/>
          <w:sz w:val="24"/>
          <w:szCs w:val="24"/>
        </w:rPr>
        <w:t>r</w:t>
      </w:r>
      <w:r w:rsidRPr="005C6578">
        <w:rPr>
          <w:rFonts w:ascii="Times New Roman" w:hAnsi="Times New Roman" w:cs="Times New Roman"/>
          <w:sz w:val="24"/>
          <w:szCs w:val="24"/>
        </w:rPr>
        <w:t>s</w:t>
      </w:r>
      <w:r w:rsidR="0006425A" w:rsidRPr="005C6578">
        <w:rPr>
          <w:rFonts w:ascii="Times New Roman" w:hAnsi="Times New Roman" w:cs="Times New Roman"/>
          <w:sz w:val="24"/>
          <w:szCs w:val="24"/>
        </w:rPr>
        <w:t>); p-</w:t>
      </w:r>
      <w:r w:rsidRPr="005C6578">
        <w:rPr>
          <w:rFonts w:ascii="Times New Roman" w:hAnsi="Times New Roman" w:cs="Times New Roman"/>
          <w:sz w:val="24"/>
          <w:szCs w:val="24"/>
        </w:rPr>
        <w:t>values are nominal (two-sided). Regression lines are shown for visualization only.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  <w:r w:rsidR="007D6CC6">
        <w:rPr>
          <w:rFonts w:ascii="Times New Roman" w:hAnsi="Times New Roman" w:cs="Times New Roman"/>
          <w:sz w:val="24"/>
          <w:szCs w:val="24"/>
        </w:rPr>
        <w:br w:type="page"/>
      </w:r>
    </w:p>
    <w:p w14:paraId="0EEBB0C3" w14:textId="01363A84" w:rsidR="009510E3" w:rsidRPr="005C6578" w:rsidRDefault="00732DD7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32DD7">
        <w:rPr>
          <w:rStyle w:val="Textoennegrita"/>
          <w:b w:val="0"/>
          <w:bCs w:val="0"/>
        </w:rPr>
        <w:lastRenderedPageBreak/>
        <w:drawing>
          <wp:anchor distT="0" distB="0" distL="114300" distR="114300" simplePos="0" relativeHeight="251661312" behindDoc="0" locked="0" layoutInCell="1" allowOverlap="1" wp14:anchorId="30158981" wp14:editId="00C7C8AB">
            <wp:simplePos x="0" y="0"/>
            <wp:positionH relativeFrom="column">
              <wp:posOffset>65092</wp:posOffset>
            </wp:positionH>
            <wp:positionV relativeFrom="paragraph">
              <wp:posOffset>74187</wp:posOffset>
            </wp:positionV>
            <wp:extent cx="5400040" cy="6944995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4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1A23A" w14:textId="387F9836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72AA3CC" w14:textId="1D6FC1A1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07FAEA7" w14:textId="12C62180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0A76D18" w14:textId="08AE25B6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7A3E8B1" w14:textId="12DD63DD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BB5D1F3" w14:textId="5612567B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468883F" w14:textId="52E5B0E2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1E3C3E47" w14:textId="083F072A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226F664" w14:textId="4229B9B2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9142EA5" w14:textId="164E6DC0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9D51153" w14:textId="5E068E4B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C8DB7BA" w14:textId="23CE244D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6536D9F" w14:textId="39A149D3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B99EE0E" w14:textId="5B4E7716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C3B6553" w14:textId="3DAB154B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75CA6B3" w14:textId="687413AA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8235D83" w14:textId="0FC754FE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D14450D" w14:textId="3DA9E714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A12BEB6" w14:textId="7C2B1ACA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1CAFACF3" w14:textId="1A8A999B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233930B" w14:textId="1F9CEEA1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27B63F6" w14:textId="32B6CD87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9F782DF" w14:textId="17645BC9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021FF65" w14:textId="334F8335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BEF13C9" w14:textId="6DD6AE41" w:rsidR="00732DD7" w:rsidRDefault="00732DD7" w:rsidP="00732DD7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A7D2EFE" w14:textId="1B0C2EF1" w:rsidR="005C6578" w:rsidRPr="005C6578" w:rsidRDefault="009510E3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8. Correlation between miRNA expression and RNA integrity number.</w:t>
      </w:r>
      <w:r w:rsidRPr="005C6578">
        <w:rPr>
          <w:rFonts w:ascii="Times New Roman" w:hAnsi="Times New Roman" w:cs="Times New Roman"/>
          <w:sz w:val="24"/>
          <w:szCs w:val="24"/>
        </w:rPr>
        <w:t xml:space="preserve"> RT-qPCR levels (−ΔCt) of the 37 candidate miRNAs in the technical validation plotted against RNA integrity number (RIN) in the discovery cohort (17 MDD-S and 17 control subjects; both sexes and diagnostic groups combined). Each dot represents one subject. Correlations were assessed with Spearman’s rank correlation coefficient (</w:t>
      </w:r>
      <w:r w:rsidRPr="005C6578">
        <w:rPr>
          <w:rFonts w:ascii="Times New Roman" w:hAnsi="Times New Roman" w:cs="Times New Roman"/>
          <w:i/>
          <w:sz w:val="24"/>
          <w:szCs w:val="24"/>
        </w:rPr>
        <w:t>r</w:t>
      </w:r>
      <w:r w:rsidRPr="005C6578">
        <w:rPr>
          <w:rFonts w:ascii="Times New Roman" w:hAnsi="Times New Roman" w:cs="Times New Roman"/>
          <w:sz w:val="24"/>
          <w:szCs w:val="24"/>
        </w:rPr>
        <w:t>s</w:t>
      </w:r>
      <w:r w:rsidR="0006425A" w:rsidRPr="005C6578">
        <w:rPr>
          <w:rFonts w:ascii="Times New Roman" w:hAnsi="Times New Roman" w:cs="Times New Roman"/>
          <w:sz w:val="24"/>
          <w:szCs w:val="24"/>
        </w:rPr>
        <w:t>); p-</w:t>
      </w:r>
      <w:r w:rsidRPr="005C6578">
        <w:rPr>
          <w:rFonts w:ascii="Times New Roman" w:hAnsi="Times New Roman" w:cs="Times New Roman"/>
          <w:sz w:val="24"/>
          <w:szCs w:val="24"/>
        </w:rPr>
        <w:t>values are nominal (two-sided). Regression lines are shown for visualization only.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39CC076F" w14:textId="2752B1D6" w:rsidR="009510E3" w:rsidRPr="005C6578" w:rsidRDefault="009510E3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28E46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32DD7">
        <w:lastRenderedPageBreak/>
        <w:drawing>
          <wp:anchor distT="0" distB="0" distL="114300" distR="114300" simplePos="0" relativeHeight="251662336" behindDoc="0" locked="0" layoutInCell="1" allowOverlap="1" wp14:anchorId="5465CD63" wp14:editId="70EB27F4">
            <wp:simplePos x="0" y="0"/>
            <wp:positionH relativeFrom="column">
              <wp:posOffset>5715</wp:posOffset>
            </wp:positionH>
            <wp:positionV relativeFrom="paragraph">
              <wp:posOffset>4445</wp:posOffset>
            </wp:positionV>
            <wp:extent cx="5400040" cy="5868336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868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5B188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E1BF136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417A0C0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DDF3D27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63375BC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9067FF9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CE6A246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9682C93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0C243F9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2BB6DA0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A548590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E008929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047D31B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F052761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979A530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F4D66EA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884641B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5E34DF9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6670C86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85AC00D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D392B1D" w14:textId="77777777" w:rsidR="00732DD7" w:rsidRDefault="00732DD7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9367222" w14:textId="77777777" w:rsidR="007D6CC6" w:rsidRDefault="007D6CC6" w:rsidP="00732DD7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1E208DC" w14:textId="17FB27E6" w:rsidR="005C6578" w:rsidRPr="00732DD7" w:rsidRDefault="00383BFD" w:rsidP="00732DD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9. miRNA changes in females with MDD do not differ by cause of death.</w:t>
      </w:r>
      <w:r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a</w:t>
      </w:r>
      <w:r w:rsidRPr="005C6578">
        <w:rPr>
          <w:rFonts w:ascii="Times New Roman" w:hAnsi="Times New Roman" w:cs="Times New Roman"/>
          <w:sz w:val="24"/>
          <w:szCs w:val="24"/>
        </w:rPr>
        <w:t xml:space="preserve"> RT-qPCR levels of the 13 female DEmiRs in the extended cohort, shown separately for MDD subjects who died by suicide (MDD-S; 9 pairs) or from natural causes (MDD-N; 6 pairs) and their matched controls. </w:t>
      </w:r>
      <w:r w:rsidR="0006425A" w:rsidRPr="005C6578">
        <w:rPr>
          <w:rFonts w:ascii="Times New Roman" w:hAnsi="Times New Roman" w:cs="Times New Roman"/>
          <w:sz w:val="24"/>
          <w:szCs w:val="24"/>
        </w:rPr>
        <w:t>Relative expression was calculated as 2</w:t>
      </w:r>
      <w:r w:rsidR="0006425A" w:rsidRPr="005C6578">
        <w:rPr>
          <w:rFonts w:ascii="Times New Roman" w:hAnsi="Times New Roman" w:cs="Times New Roman"/>
          <w:sz w:val="24"/>
          <w:szCs w:val="24"/>
          <w:vertAlign w:val="superscript"/>
        </w:rPr>
        <w:t>-ΔCt</w:t>
      </w:r>
      <w:r w:rsidR="0006425A" w:rsidRPr="005C6578">
        <w:rPr>
          <w:rFonts w:ascii="Times New Roman" w:hAnsi="Times New Roman" w:cs="Times New Roman"/>
          <w:sz w:val="24"/>
          <w:szCs w:val="24"/>
        </w:rPr>
        <w:t>, with ΔCt relative to the geometric mean of miR-9-3p, miR-103a-3p, miR-30e-5p and RNU6, and expressed relative to the mean of all female controls.</w:t>
      </w:r>
      <w:r w:rsidRPr="005C6578">
        <w:rPr>
          <w:rFonts w:ascii="Times New Roman" w:hAnsi="Times New Roman" w:cs="Times New Roman"/>
          <w:sz w:val="24"/>
          <w:szCs w:val="24"/>
        </w:rPr>
        <w:t>Box plots show the median and the 25</w:t>
      </w:r>
      <w:r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6425A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>75</w:t>
      </w:r>
      <w:r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C6578">
        <w:rPr>
          <w:rFonts w:ascii="Times New Roman" w:hAnsi="Times New Roman" w:cs="Times New Roman"/>
          <w:sz w:val="24"/>
          <w:szCs w:val="24"/>
        </w:rPr>
        <w:t xml:space="preserve"> percentiles; whiskers indicate minimum and maximum values; dots represent individual subjects. </w:t>
      </w:r>
      <w:r w:rsidR="001A2304" w:rsidRPr="005C6578">
        <w:rPr>
          <w:rFonts w:ascii="Times New Roman" w:hAnsi="Times New Roman" w:cs="Times New Roman"/>
          <w:sz w:val="24"/>
          <w:szCs w:val="24"/>
        </w:rPr>
        <w:t xml:space="preserve">Data were analyzed by two-way repeated-measures ANOVA (diagnosis within pairs × mode of death between pairs). MDD and control subjects were compared within each mode of death with uncorrected Fisher’s LSD tests. </w:t>
      </w:r>
      <w:r w:rsidRPr="005C6578">
        <w:rPr>
          <w:rFonts w:ascii="Times New Roman" w:hAnsi="Times New Roman" w:cs="Times New Roman"/>
          <w:sz w:val="24"/>
          <w:szCs w:val="24"/>
        </w:rPr>
        <w:t>*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sz w:val="24"/>
          <w:szCs w:val="24"/>
        </w:rPr>
        <w:t xml:space="preserve"> &lt; 0.001, ****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sz w:val="24"/>
          <w:szCs w:val="24"/>
        </w:rPr>
        <w:t xml:space="preserve"> &lt; 0.0001; exact 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sz w:val="24"/>
          <w:szCs w:val="24"/>
        </w:rPr>
        <w:t xml:space="preserve"> values are shown for 0.05 ≤ 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sz w:val="24"/>
          <w:szCs w:val="24"/>
        </w:rPr>
        <w:t xml:space="preserve"> &lt; 0.10.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b</w:t>
      </w:r>
      <w:r w:rsidRPr="005C6578">
        <w:rPr>
          <w:rFonts w:ascii="Times New Roman" w:hAnsi="Times New Roman" w:cs="Times New Roman"/>
          <w:sz w:val="24"/>
          <w:szCs w:val="24"/>
        </w:rPr>
        <w:t xml:space="preserve"> Standardized difference (δ) </w:t>
      </w:r>
      <w:r w:rsidR="00183A8E" w:rsidRPr="005C6578">
        <w:rPr>
          <w:rFonts w:ascii="Times New Roman" w:hAnsi="Times New Roman" w:cs="Times New Roman"/>
          <w:sz w:val="24"/>
          <w:szCs w:val="24"/>
        </w:rPr>
        <w:t xml:space="preserve">in expression relative to matched controls </w:t>
      </w:r>
      <w:r w:rsidRPr="005C6578">
        <w:rPr>
          <w:rFonts w:ascii="Times New Roman" w:hAnsi="Times New Roman" w:cs="Times New Roman"/>
          <w:sz w:val="24"/>
          <w:szCs w:val="24"/>
        </w:rPr>
        <w:t xml:space="preserve">between MDD-N and MDD-S, estimated by Bayesian </w:t>
      </w:r>
      <w:r w:rsidR="00183A8E" w:rsidRPr="005C6578">
        <w:rPr>
          <w:rFonts w:ascii="Times New Roman" w:hAnsi="Times New Roman" w:cs="Times New Roman"/>
          <w:sz w:val="24"/>
          <w:szCs w:val="24"/>
        </w:rPr>
        <w:t>two-sample</w:t>
      </w:r>
      <w:r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Pr="005C6578">
        <w:rPr>
          <w:rFonts w:ascii="Times New Roman" w:hAnsi="Times New Roman" w:cs="Times New Roman"/>
          <w:i/>
          <w:sz w:val="24"/>
          <w:szCs w:val="24"/>
        </w:rPr>
        <w:t>t</w:t>
      </w:r>
      <w:r w:rsidRPr="005C6578">
        <w:rPr>
          <w:rFonts w:ascii="Times New Roman" w:hAnsi="Times New Roman" w:cs="Times New Roman"/>
          <w:sz w:val="24"/>
          <w:szCs w:val="24"/>
        </w:rPr>
        <w:t xml:space="preserve">-tests (posterior median and 95% credible interval). The shaded area indicates the </w:t>
      </w:r>
      <w:r w:rsidRPr="005C6578">
        <w:rPr>
          <w:rFonts w:ascii="Times New Roman" w:hAnsi="Times New Roman" w:cs="Times New Roman"/>
          <w:sz w:val="24"/>
          <w:szCs w:val="24"/>
        </w:rPr>
        <w:lastRenderedPageBreak/>
        <w:t>equivalence interval (</w:t>
      </w:r>
      <w:r w:rsidR="001A2304" w:rsidRPr="005C6578">
        <w:rPr>
          <w:rFonts w:ascii="Times New Roman" w:hAnsi="Times New Roman" w:cs="Times New Roman"/>
          <w:sz w:val="24"/>
          <w:szCs w:val="24"/>
        </w:rPr>
        <w:t>-</w:t>
      </w:r>
      <w:r w:rsidR="00183A8E" w:rsidRPr="005C6578">
        <w:rPr>
          <w:rFonts w:ascii="Times New Roman" w:hAnsi="Times New Roman" w:cs="Times New Roman"/>
          <w:sz w:val="24"/>
          <w:szCs w:val="24"/>
        </w:rPr>
        <w:t xml:space="preserve">0.5 &lt; δ &lt; 0.5).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c</w:t>
      </w:r>
      <w:r w:rsidR="001A2304" w:rsidRPr="005C6578">
        <w:rPr>
          <w:rFonts w:ascii="Times New Roman" w:hAnsi="Times New Roman" w:cs="Times New Roman"/>
          <w:sz w:val="24"/>
          <w:szCs w:val="24"/>
        </w:rPr>
        <w:t xml:space="preserve"> Bayes factors in favo</w:t>
      </w:r>
      <w:r w:rsidRPr="005C6578">
        <w:rPr>
          <w:rFonts w:ascii="Times New Roman" w:hAnsi="Times New Roman" w:cs="Times New Roman"/>
          <w:sz w:val="24"/>
          <w:szCs w:val="24"/>
        </w:rPr>
        <w:t xml:space="preserve">r of </w:t>
      </w:r>
      <w:r w:rsidR="00183A8E" w:rsidRPr="005C6578">
        <w:rPr>
          <w:rFonts w:ascii="Times New Roman" w:hAnsi="Times New Roman" w:cs="Times New Roman"/>
          <w:sz w:val="24"/>
          <w:szCs w:val="24"/>
        </w:rPr>
        <w:t>the null hypothesis</w:t>
      </w:r>
      <w:r w:rsidRPr="005C6578">
        <w:rPr>
          <w:rFonts w:ascii="Times New Roman" w:hAnsi="Times New Roman" w:cs="Times New Roman"/>
          <w:sz w:val="24"/>
          <w:szCs w:val="24"/>
        </w:rPr>
        <w:t xml:space="preserve"> (BF₀₁) obtained with the default Cauchy prior (r = 0.707), </w:t>
      </w:r>
      <w:r w:rsidR="00183A8E" w:rsidRPr="005C6578">
        <w:rPr>
          <w:rFonts w:ascii="Times New Roman" w:hAnsi="Times New Roman" w:cs="Times New Roman"/>
          <w:sz w:val="24"/>
          <w:szCs w:val="24"/>
        </w:rPr>
        <w:t xml:space="preserve">together with </w:t>
      </w:r>
      <w:r w:rsidRPr="005C6578">
        <w:rPr>
          <w:rFonts w:ascii="Times New Roman" w:hAnsi="Times New Roman" w:cs="Times New Roman"/>
          <w:sz w:val="24"/>
          <w:szCs w:val="24"/>
        </w:rPr>
        <w:t>the range obtained across prior widths of r = 0.3</w:t>
      </w:r>
      <w:r w:rsidR="001A2304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>2 (robustness analysis). BF₀₁ values of 3</w:t>
      </w:r>
      <w:r w:rsidR="001A2304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 xml:space="preserve">10 indicate moderate evidence for </w:t>
      </w:r>
      <w:r w:rsidR="00183A8E" w:rsidRPr="005C6578">
        <w:rPr>
          <w:rFonts w:ascii="Times New Roman" w:hAnsi="Times New Roman" w:cs="Times New Roman"/>
          <w:sz w:val="24"/>
          <w:szCs w:val="24"/>
        </w:rPr>
        <w:t>the null hypothesis</w:t>
      </w:r>
      <w:r w:rsidRPr="005C6578">
        <w:rPr>
          <w:rFonts w:ascii="Times New Roman" w:hAnsi="Times New Roman" w:cs="Times New Roman"/>
          <w:sz w:val="24"/>
          <w:szCs w:val="24"/>
        </w:rPr>
        <w:t>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79E57CC3" w14:textId="1F808E5B" w:rsidR="009510E3" w:rsidRPr="005C6578" w:rsidRDefault="009510E3" w:rsidP="005C657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5B6FEE" w14:textId="65480B74" w:rsidR="009510E3" w:rsidRPr="005C6578" w:rsidRDefault="009510E3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7EC4699" w14:textId="5E5D0CCF" w:rsidR="00D26082" w:rsidRPr="005C6578" w:rsidRDefault="00D26082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0F9E2B9" w14:textId="77777777" w:rsidR="00183A8E" w:rsidRPr="005C6578" w:rsidRDefault="00183A8E" w:rsidP="005C6578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br w:type="page"/>
      </w:r>
    </w:p>
    <w:p w14:paraId="4A351131" w14:textId="3E01C88B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732DD7">
        <w:lastRenderedPageBreak/>
        <w:drawing>
          <wp:anchor distT="0" distB="0" distL="114300" distR="114300" simplePos="0" relativeHeight="251663360" behindDoc="0" locked="0" layoutInCell="1" allowOverlap="1" wp14:anchorId="65773EBB" wp14:editId="72EB2C6B">
            <wp:simplePos x="0" y="0"/>
            <wp:positionH relativeFrom="column">
              <wp:posOffset>5715</wp:posOffset>
            </wp:positionH>
            <wp:positionV relativeFrom="paragraph">
              <wp:posOffset>128905</wp:posOffset>
            </wp:positionV>
            <wp:extent cx="5332056" cy="2476500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56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D3748" w14:textId="77777777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1AF9F1D2" w14:textId="77777777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0D1F04BD" w14:textId="77777777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425614E9" w14:textId="77777777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21474A95" w14:textId="77777777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25B30C41" w14:textId="77777777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0730DD38" w14:textId="77777777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2C4246EE" w14:textId="77777777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5590E4C8" w14:textId="493425D6" w:rsidR="00732DD7" w:rsidRDefault="00732DD7" w:rsidP="005C657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777AA48E" w14:textId="1CBB3946" w:rsidR="005C6578" w:rsidRPr="005C6578" w:rsidRDefault="00183A8E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Supplementary Figure 10.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Opposite transcriptomic changes in males and females with MDD-S in an independent cohort.</w:t>
      </w:r>
      <w:r w:rsidRPr="005C6578">
        <w:rPr>
          <w:rFonts w:ascii="Times New Roman" w:hAnsi="Times New Roman" w:cs="Times New Roman"/>
          <w:sz w:val="24"/>
          <w:szCs w:val="24"/>
        </w:rPr>
        <w:t xml:space="preserve"> Rank-rank hypergeometric overlap (RRHO2) of genome-wide differential expression (MDD-S vs. control) in males (x-axis) and femal</w:t>
      </w:r>
      <w:r w:rsidR="007338A7" w:rsidRPr="005C6578">
        <w:rPr>
          <w:rFonts w:ascii="Times New Roman" w:hAnsi="Times New Roman" w:cs="Times New Roman"/>
          <w:sz w:val="24"/>
          <w:szCs w:val="24"/>
        </w:rPr>
        <w:t>es (y-axis) in the dlPFC</w:t>
      </w:r>
      <w:r w:rsidRPr="005C6578">
        <w:rPr>
          <w:rFonts w:ascii="Times New Roman" w:hAnsi="Times New Roman" w:cs="Times New Roman"/>
          <w:sz w:val="24"/>
          <w:szCs w:val="24"/>
        </w:rPr>
        <w:t>. RNA-seq dataset of Labonté et al.</w:t>
      </w:r>
      <w:r w:rsidR="007338A7" w:rsidRPr="005C6578">
        <w:rPr>
          <w:rFonts w:ascii="Times New Roman" w:hAnsi="Times New Roman" w:cs="Times New Roman"/>
          <w:sz w:val="24"/>
          <w:szCs w:val="24"/>
        </w:rPr>
        <w:t>²²</w:t>
      </w:r>
      <w:r w:rsidRPr="005C6578">
        <w:rPr>
          <w:rFonts w:ascii="Times New Roman" w:hAnsi="Times New Roman" w:cs="Times New Roman"/>
          <w:sz w:val="24"/>
          <w:szCs w:val="24"/>
        </w:rPr>
        <w:t xml:space="preserve"> (GEO: GSE102556; 13 MDD-S and 13 control males; 13 MDD-S and 9 control females). Genes </w:t>
      </w:r>
      <w:r w:rsidR="00B412AA" w:rsidRPr="005C6578">
        <w:rPr>
          <w:rFonts w:ascii="Times New Roman" w:hAnsi="Times New Roman" w:cs="Times New Roman"/>
          <w:sz w:val="24"/>
          <w:szCs w:val="24"/>
        </w:rPr>
        <w:t xml:space="preserve">(n = 15,700 common to both sexes) </w:t>
      </w:r>
      <w:r w:rsidRPr="005C6578">
        <w:rPr>
          <w:rFonts w:ascii="Times New Roman" w:hAnsi="Times New Roman" w:cs="Times New Roman"/>
          <w:sz w:val="24"/>
          <w:szCs w:val="24"/>
        </w:rPr>
        <w:t>were ranked from most upregulated t</w:t>
      </w:r>
      <w:r w:rsidR="00B412AA" w:rsidRPr="005C6578">
        <w:rPr>
          <w:rFonts w:ascii="Times New Roman" w:hAnsi="Times New Roman" w:cs="Times New Roman"/>
          <w:sz w:val="24"/>
          <w:szCs w:val="24"/>
        </w:rPr>
        <w:t>o most downregulated in MDD by -</w:t>
      </w:r>
      <w:r w:rsidRPr="005C6578">
        <w:rPr>
          <w:rFonts w:ascii="Times New Roman" w:hAnsi="Times New Roman" w:cs="Times New Roman"/>
          <w:sz w:val="24"/>
          <w:szCs w:val="24"/>
        </w:rPr>
        <w:t>log₁₀</w:t>
      </w:r>
      <w:r w:rsidR="00B412AA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>(p</w:t>
      </w:r>
      <w:r w:rsidR="00B412AA" w:rsidRPr="005C6578">
        <w:rPr>
          <w:rFonts w:ascii="Times New Roman" w:hAnsi="Times New Roman" w:cs="Times New Roman"/>
          <w:sz w:val="24"/>
          <w:szCs w:val="24"/>
        </w:rPr>
        <w:t>-value) × sign(log₂FC). Colo</w:t>
      </w:r>
      <w:r w:rsidRPr="005C6578">
        <w:rPr>
          <w:rFonts w:ascii="Times New Roman" w:hAnsi="Times New Roman" w:cs="Times New Roman"/>
          <w:sz w:val="24"/>
          <w:szCs w:val="24"/>
        </w:rPr>
        <w:t xml:space="preserve">r indicates the </w:t>
      </w:r>
      <w:r w:rsidR="00B412AA" w:rsidRPr="005C6578">
        <w:rPr>
          <w:rFonts w:ascii="Times New Roman" w:hAnsi="Times New Roman" w:cs="Times New Roman"/>
          <w:sz w:val="24"/>
          <w:szCs w:val="24"/>
        </w:rPr>
        <w:t>-log₁₀ Benjamini-</w:t>
      </w:r>
      <w:r w:rsidRPr="005C6578">
        <w:rPr>
          <w:rFonts w:ascii="Times New Roman" w:hAnsi="Times New Roman" w:cs="Times New Roman"/>
          <w:sz w:val="24"/>
          <w:szCs w:val="24"/>
        </w:rPr>
        <w:t xml:space="preserve">Hochberg-adjusted hypergeometric p of the overlap (scale capped at 60). The schematic indicates the direction of change represented by each quadrant. </w:t>
      </w:r>
      <w:r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>Spearman ρ = -0.</w:t>
      </w:r>
      <w:r w:rsidR="00B412AA"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>102</w:t>
      </w:r>
      <w:r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C65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="00B412AA"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77</w:t>
      </w:r>
      <w:r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x10</w:t>
      </w:r>
      <w:r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-</w:t>
      </w:r>
      <w:r w:rsidR="00B412AA" w:rsidRPr="005C6578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37</w:t>
      </w:r>
      <w:r w:rsidRPr="005C65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65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243501EF" w14:textId="23299384" w:rsidR="00183A8E" w:rsidRPr="005C6578" w:rsidRDefault="00183A8E" w:rsidP="005C65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"/>
        </w:rPr>
      </w:pPr>
    </w:p>
    <w:p w14:paraId="55092905" w14:textId="77777777" w:rsidR="00183A8E" w:rsidRPr="005C6578" w:rsidRDefault="00183A8E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16871390" w14:textId="77777777" w:rsidR="00183A8E" w:rsidRPr="005C6578" w:rsidRDefault="00183A8E" w:rsidP="005C6578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br w:type="page"/>
      </w:r>
    </w:p>
    <w:p w14:paraId="73414DFE" w14:textId="001F56D4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  <w:r w:rsidRPr="00732DD7">
        <w:rPr>
          <w:rStyle w:val="Textoennegrita"/>
          <w:b w:val="0"/>
          <w:bCs w:val="0"/>
        </w:rPr>
        <w:lastRenderedPageBreak/>
        <w:drawing>
          <wp:anchor distT="0" distB="0" distL="114300" distR="114300" simplePos="0" relativeHeight="251664384" behindDoc="0" locked="0" layoutInCell="1" allowOverlap="1" wp14:anchorId="0CA1DC34" wp14:editId="0A88E26A">
            <wp:simplePos x="0" y="0"/>
            <wp:positionH relativeFrom="column">
              <wp:posOffset>-165735</wp:posOffset>
            </wp:positionH>
            <wp:positionV relativeFrom="paragraph">
              <wp:posOffset>-156845</wp:posOffset>
            </wp:positionV>
            <wp:extent cx="5400040" cy="8044634"/>
            <wp:effectExtent l="0" t="0" r="0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4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E126A" w14:textId="495FED4C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F06E08C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35510A0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E497555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ACC01CA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3216C76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32FA804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0893714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2843AE5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21DAAD3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A1D42DC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F9C141E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AAADDC9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E165E34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7FEADB6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7E91BE8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1DB0385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4FAA8AB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1AED5CB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CACF49C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4AD5D9B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2791491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3DA128C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262A88F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588A625E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184B46D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F260899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D301182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201F1E28" w14:textId="77777777" w:rsidR="007D6CC6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3FFB4EFF" w14:textId="58C53214" w:rsidR="005C6578" w:rsidRPr="005C6578" w:rsidRDefault="00D26082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1</w:t>
      </w:r>
      <w:r w:rsidR="00B412AA" w:rsidRPr="005C6578">
        <w:rPr>
          <w:rStyle w:val="Textoennegrita"/>
          <w:rFonts w:ascii="Times New Roman" w:hAnsi="Times New Roman" w:cs="Times New Roman"/>
          <w:sz w:val="24"/>
          <w:szCs w:val="24"/>
        </w:rPr>
        <w:t>1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 xml:space="preserve">. </w:t>
      </w:r>
      <w:r w:rsidR="00B412AA" w:rsidRPr="005C6578">
        <w:rPr>
          <w:rStyle w:val="Textoennegrita"/>
          <w:rFonts w:ascii="Times New Roman" w:hAnsi="Times New Roman" w:cs="Times New Roman"/>
          <w:sz w:val="24"/>
          <w:szCs w:val="24"/>
        </w:rPr>
        <w:t>B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inding sites of DEmiRs in RT-qPCR-validated target mRNAs.</w:t>
      </w:r>
      <w:r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45590F" w:rsidRPr="005C6578">
        <w:rPr>
          <w:rFonts w:ascii="Times New Roman" w:hAnsi="Times New Roman" w:cs="Times New Roman"/>
          <w:sz w:val="24"/>
          <w:szCs w:val="24"/>
        </w:rPr>
        <w:t>Schematic representation of the d</w:t>
      </w:r>
      <w:r w:rsidRPr="005C6578">
        <w:rPr>
          <w:rFonts w:ascii="Times New Roman" w:hAnsi="Times New Roman" w:cs="Times New Roman"/>
          <w:sz w:val="24"/>
          <w:szCs w:val="24"/>
        </w:rPr>
        <w:t xml:space="preserve">uplexes </w:t>
      </w:r>
      <w:r w:rsidR="0045590F" w:rsidRPr="005C6578">
        <w:rPr>
          <w:rFonts w:ascii="Times New Roman" w:hAnsi="Times New Roman" w:cs="Times New Roman"/>
          <w:sz w:val="24"/>
          <w:szCs w:val="24"/>
        </w:rPr>
        <w:t xml:space="preserve">formed </w:t>
      </w:r>
      <w:r w:rsidRPr="005C6578">
        <w:rPr>
          <w:rFonts w:ascii="Times New Roman" w:hAnsi="Times New Roman" w:cs="Times New Roman"/>
          <w:sz w:val="24"/>
          <w:szCs w:val="24"/>
        </w:rPr>
        <w:t>between DEmiRs and their RT-qPCR</w:t>
      </w:r>
      <w:r w:rsidR="0045590F" w:rsidRPr="005C6578">
        <w:rPr>
          <w:rFonts w:ascii="Times New Roman" w:hAnsi="Times New Roman" w:cs="Times New Roman"/>
          <w:sz w:val="24"/>
          <w:szCs w:val="24"/>
        </w:rPr>
        <w:t>-validated target mRNAs</w:t>
      </w:r>
      <w:r w:rsidRPr="005C6578">
        <w:rPr>
          <w:rFonts w:ascii="Times New Roman" w:hAnsi="Times New Roman" w:cs="Times New Roman"/>
          <w:sz w:val="24"/>
          <w:szCs w:val="24"/>
        </w:rPr>
        <w:t xml:space="preserve"> in males (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a</w:t>
      </w:r>
      <w:r w:rsidRPr="005C6578">
        <w:rPr>
          <w:rFonts w:ascii="Times New Roman" w:hAnsi="Times New Roman" w:cs="Times New Roman"/>
          <w:sz w:val="24"/>
          <w:szCs w:val="24"/>
        </w:rPr>
        <w:t>) and females (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b</w:t>
      </w:r>
      <w:r w:rsidRPr="005C6578">
        <w:rPr>
          <w:rFonts w:ascii="Times New Roman" w:hAnsi="Times New Roman" w:cs="Times New Roman"/>
          <w:sz w:val="24"/>
          <w:szCs w:val="24"/>
        </w:rPr>
        <w:t xml:space="preserve">). miRNA sequences are </w:t>
      </w:r>
      <w:r w:rsidRPr="005C6578">
        <w:rPr>
          <w:rFonts w:ascii="Times New Roman" w:hAnsi="Times New Roman" w:cs="Times New Roman"/>
          <w:sz w:val="24"/>
          <w:szCs w:val="24"/>
        </w:rPr>
        <w:lastRenderedPageBreak/>
        <w:t xml:space="preserve">shown 3′→5′ (top) and target sequences 5′→3′ (bottom). The miRNA seed region (nucleotides 2–8) and the complementary target sequence are shown in bold. Vertical lines indicate Watson–Crick pairs, and colons indicate G:U wobble pairs. For each interaction, the miRTarBase identifier (red) and the position of the binding site in the 3′UTR or coding sequence (CDS) of the target transcript are shown. </w:t>
      </w:r>
      <w:r w:rsidR="0045590F" w:rsidRPr="005C6578">
        <w:rPr>
          <w:rFonts w:ascii="Times New Roman" w:hAnsi="Times New Roman" w:cs="Times New Roman"/>
          <w:sz w:val="24"/>
          <w:szCs w:val="24"/>
        </w:rPr>
        <w:t>Duplexes and binding-site positions were retrieved from miRTarBase or from the original publications cited therein.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32C14801" w14:textId="3707C41D" w:rsidR="00D26082" w:rsidRPr="005C6578" w:rsidRDefault="00D26082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4C53F" w14:textId="60693D2B" w:rsidR="00DA555A" w:rsidRPr="005C6578" w:rsidRDefault="00DA555A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EB13FF6" w14:textId="77777777" w:rsidR="0045590F" w:rsidRPr="005C6578" w:rsidRDefault="0045590F" w:rsidP="005C6578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br w:type="page"/>
      </w:r>
    </w:p>
    <w:p w14:paraId="6F7E78C3" w14:textId="01D7BF1D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  <w:r w:rsidRPr="00732DD7">
        <w:rPr>
          <w:rStyle w:val="Textoennegrita"/>
          <w:b w:val="0"/>
          <w:bCs w:val="0"/>
        </w:rPr>
        <w:lastRenderedPageBreak/>
        <w:drawing>
          <wp:inline distT="0" distB="0" distL="0" distR="0" wp14:anchorId="5C4F2D1C" wp14:editId="674E87FF">
            <wp:extent cx="5400040" cy="4042899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42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3E9A" w14:textId="77777777" w:rsidR="007D6CC6" w:rsidRDefault="007D6CC6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089BC05E" w14:textId="64D4A5CB" w:rsidR="005C6578" w:rsidRPr="005C6578" w:rsidRDefault="009B3CA9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1</w:t>
      </w:r>
      <w:r w:rsidR="001E76DA" w:rsidRPr="005C6578">
        <w:rPr>
          <w:rStyle w:val="Textoennegrita"/>
          <w:rFonts w:ascii="Times New Roman" w:hAnsi="Times New Roman" w:cs="Times New Roman"/>
          <w:sz w:val="24"/>
          <w:szCs w:val="24"/>
        </w:rPr>
        <w:t>2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. Correlation between target mRNA expression and age, PMI, and RIN in males.</w:t>
      </w:r>
      <w:r w:rsidRPr="005C6578">
        <w:rPr>
          <w:rFonts w:ascii="Times New Roman" w:hAnsi="Times New Roman" w:cs="Times New Roman"/>
          <w:sz w:val="24"/>
          <w:szCs w:val="24"/>
        </w:rPr>
        <w:t xml:space="preserve"> RT-qPCR levels (</w:t>
      </w:r>
      <w:r w:rsidR="001E76DA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 xml:space="preserve">ΔCt relative to the geometric mean of </w:t>
      </w:r>
      <w:r w:rsidRPr="005C6578">
        <w:rPr>
          <w:rFonts w:ascii="Times New Roman" w:hAnsi="Times New Roman" w:cs="Times New Roman"/>
          <w:i/>
          <w:sz w:val="24"/>
          <w:szCs w:val="24"/>
        </w:rPr>
        <w:t>ACTB</w:t>
      </w:r>
      <w:r w:rsidRPr="005C6578">
        <w:rPr>
          <w:rFonts w:ascii="Times New Roman" w:hAnsi="Times New Roman" w:cs="Times New Roman"/>
          <w:sz w:val="24"/>
          <w:szCs w:val="24"/>
        </w:rPr>
        <w:t xml:space="preserve"> and </w:t>
      </w:r>
      <w:r w:rsidRPr="005C6578">
        <w:rPr>
          <w:rFonts w:ascii="Times New Roman" w:hAnsi="Times New Roman" w:cs="Times New Roman"/>
          <w:i/>
          <w:sz w:val="24"/>
          <w:szCs w:val="24"/>
        </w:rPr>
        <w:t>RPL13A</w:t>
      </w:r>
      <w:r w:rsidRPr="005C6578">
        <w:rPr>
          <w:rFonts w:ascii="Times New Roman" w:hAnsi="Times New Roman" w:cs="Times New Roman"/>
          <w:sz w:val="24"/>
          <w:szCs w:val="24"/>
        </w:rPr>
        <w:t>) of the target mRNAs validated in males (</w:t>
      </w:r>
      <w:r w:rsidRPr="005C6578">
        <w:rPr>
          <w:rFonts w:ascii="Times New Roman" w:hAnsi="Times New Roman" w:cs="Times New Roman"/>
          <w:i/>
          <w:sz w:val="24"/>
          <w:szCs w:val="24"/>
        </w:rPr>
        <w:t>NR2C2, EEF1A1, CELF2, SATB1, and CANX</w:t>
      </w:r>
      <w:r w:rsidRPr="005C6578">
        <w:rPr>
          <w:rFonts w:ascii="Times New Roman" w:hAnsi="Times New Roman" w:cs="Times New Roman"/>
          <w:sz w:val="24"/>
          <w:szCs w:val="24"/>
        </w:rPr>
        <w:t>), plotted against age at death (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a</w:t>
      </w:r>
      <w:r w:rsidRPr="005C6578">
        <w:rPr>
          <w:rFonts w:ascii="Times New Roman" w:hAnsi="Times New Roman" w:cs="Times New Roman"/>
          <w:sz w:val="24"/>
          <w:szCs w:val="24"/>
        </w:rPr>
        <w:t>), postmortem interval (PMI, hours) (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b</w:t>
      </w:r>
      <w:r w:rsidRPr="005C6578">
        <w:rPr>
          <w:rFonts w:ascii="Times New Roman" w:hAnsi="Times New Roman" w:cs="Times New Roman"/>
          <w:sz w:val="24"/>
          <w:szCs w:val="24"/>
        </w:rPr>
        <w:t>), and RNA integrity number (RIN) (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c</w:t>
      </w:r>
      <w:r w:rsidRPr="005C6578">
        <w:rPr>
          <w:rFonts w:ascii="Times New Roman" w:hAnsi="Times New Roman" w:cs="Times New Roman"/>
          <w:sz w:val="24"/>
          <w:szCs w:val="24"/>
        </w:rPr>
        <w:t>) in the extended cohort (20 MDD-S and 20 control males; diagnostic groups combined). Each dot represents one subject. Correlations were assessed with Spearman’s rank correlation coefficient (</w:t>
      </w:r>
      <w:r w:rsidRPr="005C6578">
        <w:rPr>
          <w:rFonts w:ascii="Times New Roman" w:hAnsi="Times New Roman" w:cs="Times New Roman"/>
          <w:i/>
          <w:sz w:val="24"/>
          <w:szCs w:val="24"/>
        </w:rPr>
        <w:t>r</w:t>
      </w:r>
      <w:r w:rsidRPr="005C6578">
        <w:rPr>
          <w:rFonts w:ascii="Times New Roman" w:hAnsi="Times New Roman" w:cs="Times New Roman"/>
          <w:sz w:val="24"/>
          <w:szCs w:val="24"/>
        </w:rPr>
        <w:t>s); p</w:t>
      </w:r>
      <w:r w:rsidR="001E76DA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>values are nominal (two-sided). Regression lines are shown for visualization only.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405C86AB" w14:textId="27126AE6" w:rsidR="009B3CA9" w:rsidRPr="005C6578" w:rsidRDefault="009B3CA9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BD568" w14:textId="72C68D90" w:rsidR="001C2A92" w:rsidRPr="005C6578" w:rsidRDefault="001C2A92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631C1D3" w14:textId="77777777" w:rsidR="009B14A7" w:rsidRPr="005C6578" w:rsidRDefault="009B14A7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D5F8A19" w14:textId="77777777" w:rsidR="001E76DA" w:rsidRPr="005C6578" w:rsidRDefault="001E76DA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D3DD40D" w14:textId="5E824F88" w:rsidR="001E76DA" w:rsidRPr="005C6578" w:rsidRDefault="001E76DA" w:rsidP="005C6578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br w:type="page"/>
      </w:r>
    </w:p>
    <w:p w14:paraId="3046DC1B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D082DFA" w14:textId="5F6FE701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  <w:r w:rsidRPr="00732DD7">
        <w:rPr>
          <w:rStyle w:val="Textoennegrita"/>
          <w:b w:val="0"/>
          <w:bCs w:val="0"/>
        </w:rPr>
        <w:drawing>
          <wp:inline distT="0" distB="0" distL="0" distR="0" wp14:anchorId="2E55A76B" wp14:editId="3BFC9474">
            <wp:extent cx="5400040" cy="4024807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2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2399E" w14:textId="2706C1BC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ABD07F2" w14:textId="08AB8537" w:rsidR="005C6578" w:rsidRPr="005C6578" w:rsidRDefault="001C2A92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1</w:t>
      </w:r>
      <w:r w:rsidR="001E76DA" w:rsidRPr="005C6578">
        <w:rPr>
          <w:rStyle w:val="Textoennegrita"/>
          <w:rFonts w:ascii="Times New Roman" w:hAnsi="Times New Roman" w:cs="Times New Roman"/>
          <w:sz w:val="24"/>
          <w:szCs w:val="24"/>
        </w:rPr>
        <w:t>3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. Correlation between target mRNA expression and age, PMI, and RIN in females.</w:t>
      </w:r>
      <w:r w:rsidRPr="005C6578">
        <w:rPr>
          <w:rFonts w:ascii="Times New Roman" w:hAnsi="Times New Roman" w:cs="Times New Roman"/>
          <w:sz w:val="24"/>
          <w:szCs w:val="24"/>
        </w:rPr>
        <w:t xml:space="preserve"> RT-qPCR levels (</w:t>
      </w:r>
      <w:r w:rsidR="001E76DA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 xml:space="preserve">ΔCt relative to the geometric mean of </w:t>
      </w:r>
      <w:r w:rsidRPr="005C6578">
        <w:rPr>
          <w:rFonts w:ascii="Times New Roman" w:hAnsi="Times New Roman" w:cs="Times New Roman"/>
          <w:i/>
          <w:sz w:val="24"/>
          <w:szCs w:val="24"/>
        </w:rPr>
        <w:t>ACTB</w:t>
      </w:r>
      <w:r w:rsidRPr="005C6578">
        <w:rPr>
          <w:rFonts w:ascii="Times New Roman" w:hAnsi="Times New Roman" w:cs="Times New Roman"/>
          <w:sz w:val="24"/>
          <w:szCs w:val="24"/>
        </w:rPr>
        <w:t xml:space="preserve"> and </w:t>
      </w:r>
      <w:r w:rsidRPr="005C6578">
        <w:rPr>
          <w:rFonts w:ascii="Times New Roman" w:hAnsi="Times New Roman" w:cs="Times New Roman"/>
          <w:i/>
          <w:sz w:val="24"/>
          <w:szCs w:val="24"/>
        </w:rPr>
        <w:t>RPL13A</w:t>
      </w:r>
      <w:r w:rsidRPr="005C6578">
        <w:rPr>
          <w:rFonts w:ascii="Times New Roman" w:hAnsi="Times New Roman" w:cs="Times New Roman"/>
          <w:sz w:val="24"/>
          <w:szCs w:val="24"/>
        </w:rPr>
        <w:t>) of the target mRNAs validated in females (</w:t>
      </w:r>
      <w:r w:rsidRPr="005C6578">
        <w:rPr>
          <w:rFonts w:ascii="Times New Roman" w:hAnsi="Times New Roman" w:cs="Times New Roman"/>
          <w:i/>
          <w:sz w:val="24"/>
          <w:szCs w:val="24"/>
        </w:rPr>
        <w:t>NR2C2</w:t>
      </w:r>
      <w:r w:rsidRPr="005C6578">
        <w:rPr>
          <w:rFonts w:ascii="Times New Roman" w:hAnsi="Times New Roman" w:cs="Times New Roman"/>
          <w:sz w:val="24"/>
          <w:szCs w:val="24"/>
        </w:rPr>
        <w:t xml:space="preserve">, </w:t>
      </w:r>
      <w:r w:rsidRPr="005C6578">
        <w:rPr>
          <w:rFonts w:ascii="Times New Roman" w:hAnsi="Times New Roman" w:cs="Times New Roman"/>
          <w:i/>
          <w:sz w:val="24"/>
          <w:szCs w:val="24"/>
        </w:rPr>
        <w:t>SMYD2</w:t>
      </w:r>
      <w:r w:rsidRPr="005C6578">
        <w:rPr>
          <w:rFonts w:ascii="Times New Roman" w:hAnsi="Times New Roman" w:cs="Times New Roman"/>
          <w:sz w:val="24"/>
          <w:szCs w:val="24"/>
        </w:rPr>
        <w:t xml:space="preserve">, </w:t>
      </w:r>
      <w:r w:rsidRPr="005C6578">
        <w:rPr>
          <w:rFonts w:ascii="Times New Roman" w:hAnsi="Times New Roman" w:cs="Times New Roman"/>
          <w:i/>
          <w:sz w:val="24"/>
          <w:szCs w:val="24"/>
        </w:rPr>
        <w:t>MCTP1</w:t>
      </w:r>
      <w:r w:rsidRPr="005C6578">
        <w:rPr>
          <w:rFonts w:ascii="Times New Roman" w:hAnsi="Times New Roman" w:cs="Times New Roman"/>
          <w:sz w:val="24"/>
          <w:szCs w:val="24"/>
        </w:rPr>
        <w:t xml:space="preserve">, </w:t>
      </w:r>
      <w:r w:rsidRPr="005C6578">
        <w:rPr>
          <w:rFonts w:ascii="Times New Roman" w:hAnsi="Times New Roman" w:cs="Times New Roman"/>
          <w:i/>
          <w:sz w:val="24"/>
          <w:szCs w:val="24"/>
        </w:rPr>
        <w:t>RGS5</w:t>
      </w:r>
      <w:r w:rsidRPr="005C6578">
        <w:rPr>
          <w:rFonts w:ascii="Times New Roman" w:hAnsi="Times New Roman" w:cs="Times New Roman"/>
          <w:sz w:val="24"/>
          <w:szCs w:val="24"/>
        </w:rPr>
        <w:t xml:space="preserve">, and </w:t>
      </w:r>
      <w:r w:rsidRPr="005C6578">
        <w:rPr>
          <w:rFonts w:ascii="Times New Roman" w:hAnsi="Times New Roman" w:cs="Times New Roman"/>
          <w:i/>
          <w:sz w:val="24"/>
          <w:szCs w:val="24"/>
        </w:rPr>
        <w:t>ID2</w:t>
      </w:r>
      <w:r w:rsidRPr="005C6578">
        <w:rPr>
          <w:rFonts w:ascii="Times New Roman" w:hAnsi="Times New Roman" w:cs="Times New Roman"/>
          <w:sz w:val="24"/>
          <w:szCs w:val="24"/>
        </w:rPr>
        <w:t>) plotted against age at death (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a</w:t>
      </w:r>
      <w:r w:rsidRPr="005C6578">
        <w:rPr>
          <w:rFonts w:ascii="Times New Roman" w:hAnsi="Times New Roman" w:cs="Times New Roman"/>
          <w:sz w:val="24"/>
          <w:szCs w:val="24"/>
        </w:rPr>
        <w:t>), postmortem interval (PMI, hours) (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b</w:t>
      </w:r>
      <w:r w:rsidRPr="005C6578">
        <w:rPr>
          <w:rFonts w:ascii="Times New Roman" w:hAnsi="Times New Roman" w:cs="Times New Roman"/>
          <w:sz w:val="24"/>
          <w:szCs w:val="24"/>
        </w:rPr>
        <w:t>), and RNA integrity number (RIN) (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c</w:t>
      </w:r>
      <w:r w:rsidRPr="005C6578">
        <w:rPr>
          <w:rFonts w:ascii="Times New Roman" w:hAnsi="Times New Roman" w:cs="Times New Roman"/>
          <w:sz w:val="24"/>
          <w:szCs w:val="24"/>
        </w:rPr>
        <w:t>) in the extended cohort (15 MDD-S/N and 15 control females; diagnostic groups combined). Each dot represents one subject. Correlations were assessed with Spearman’s rank correlation coefficient (</w:t>
      </w:r>
      <w:r w:rsidR="00861189" w:rsidRPr="005C6578">
        <w:rPr>
          <w:rFonts w:ascii="Times New Roman" w:hAnsi="Times New Roman" w:cs="Times New Roman"/>
          <w:i/>
          <w:sz w:val="24"/>
          <w:szCs w:val="24"/>
        </w:rPr>
        <w:t>r</w:t>
      </w:r>
      <w:r w:rsidR="00861189" w:rsidRPr="005C6578">
        <w:rPr>
          <w:rFonts w:ascii="Times New Roman" w:hAnsi="Times New Roman" w:cs="Times New Roman"/>
          <w:sz w:val="24"/>
          <w:szCs w:val="24"/>
        </w:rPr>
        <w:t>s</w:t>
      </w:r>
      <w:r w:rsidRPr="005C6578">
        <w:rPr>
          <w:rFonts w:ascii="Times New Roman" w:hAnsi="Times New Roman" w:cs="Times New Roman"/>
          <w:sz w:val="24"/>
          <w:szCs w:val="24"/>
        </w:rPr>
        <w:t>); p</w:t>
      </w:r>
      <w:r w:rsidR="001E76DA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>values are nominal (two-sided). Regression lines are shown for visualization only.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6E23C9AA" w14:textId="5A2F7C36" w:rsidR="001C2A92" w:rsidRPr="005C6578" w:rsidRDefault="001C2A92" w:rsidP="005C657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84B153" w14:textId="5D93AE5E" w:rsidR="00D3133B" w:rsidRPr="005C6578" w:rsidRDefault="00D3133B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C31EB91" w14:textId="77777777" w:rsidR="001E76DA" w:rsidRPr="005C6578" w:rsidRDefault="001E76DA" w:rsidP="005C6578">
      <w:pPr>
        <w:spacing w:line="240" w:lineRule="auto"/>
        <w:rPr>
          <w:rStyle w:val="Textoennegrita"/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br w:type="page"/>
      </w:r>
    </w:p>
    <w:p w14:paraId="2F09AE80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148960E3" w14:textId="127FBCD2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  <w:r w:rsidRPr="00732DD7">
        <w:rPr>
          <w:rStyle w:val="Textoennegrita"/>
          <w:b w:val="0"/>
          <w:bCs w:val="0"/>
        </w:rPr>
        <w:drawing>
          <wp:inline distT="0" distB="0" distL="0" distR="0" wp14:anchorId="424560A7" wp14:editId="1EFE42C1">
            <wp:extent cx="5603747" cy="2721255"/>
            <wp:effectExtent l="0" t="0" r="0" b="3175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241" cy="272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E8B00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785B7BC1" w14:textId="7556977D" w:rsidR="005C6578" w:rsidRPr="005C6578" w:rsidRDefault="00D3133B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1</w:t>
      </w:r>
      <w:r w:rsidR="001E76DA" w:rsidRPr="005C6578">
        <w:rPr>
          <w:rStyle w:val="Textoennegrita"/>
          <w:rFonts w:ascii="Times New Roman" w:hAnsi="Times New Roman" w:cs="Times New Roman"/>
          <w:sz w:val="24"/>
          <w:szCs w:val="24"/>
        </w:rPr>
        <w:t>4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. Target mRNA changes in females with MDD by cause of death.</w:t>
      </w:r>
      <w:r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a</w:t>
      </w:r>
      <w:r w:rsidRPr="005C6578">
        <w:rPr>
          <w:rFonts w:ascii="Times New Roman" w:hAnsi="Times New Roman" w:cs="Times New Roman"/>
          <w:sz w:val="24"/>
          <w:szCs w:val="24"/>
        </w:rPr>
        <w:t xml:space="preserve"> RT-qPCR levels of the target mRNAs validated in females in the extended cohort, shown separately for MDD subjects who died by suicide (MDD-S; 9 pairs) or from natural causes (MDD-N; 6 pairs) and their matched controls. </w:t>
      </w:r>
      <w:r w:rsidR="001E76DA" w:rsidRPr="005C6578">
        <w:rPr>
          <w:rFonts w:ascii="Times New Roman" w:hAnsi="Times New Roman" w:cs="Times New Roman"/>
          <w:sz w:val="24"/>
          <w:szCs w:val="24"/>
        </w:rPr>
        <w:t>Relative expression was calculated as 2</w:t>
      </w:r>
      <w:r w:rsidR="001E76DA" w:rsidRPr="005C6578">
        <w:rPr>
          <w:rFonts w:ascii="Times New Roman" w:hAnsi="Times New Roman" w:cs="Times New Roman"/>
          <w:sz w:val="24"/>
          <w:szCs w:val="24"/>
          <w:vertAlign w:val="superscript"/>
        </w:rPr>
        <w:t>-ΔCt</w:t>
      </w:r>
      <w:r w:rsidR="001E76DA" w:rsidRPr="005C6578">
        <w:rPr>
          <w:rFonts w:ascii="Times New Roman" w:hAnsi="Times New Roman" w:cs="Times New Roman"/>
          <w:sz w:val="24"/>
          <w:szCs w:val="24"/>
        </w:rPr>
        <w:t xml:space="preserve">, with ΔCt relative to the geometric mean of </w:t>
      </w:r>
      <w:r w:rsidR="001E76DA" w:rsidRPr="005C6578">
        <w:rPr>
          <w:rFonts w:ascii="Times New Roman" w:hAnsi="Times New Roman" w:cs="Times New Roman"/>
          <w:i/>
          <w:sz w:val="24"/>
          <w:szCs w:val="24"/>
        </w:rPr>
        <w:t>ACTB</w:t>
      </w:r>
      <w:r w:rsidR="001E76DA" w:rsidRPr="005C6578">
        <w:rPr>
          <w:rFonts w:ascii="Times New Roman" w:hAnsi="Times New Roman" w:cs="Times New Roman"/>
          <w:sz w:val="24"/>
          <w:szCs w:val="24"/>
        </w:rPr>
        <w:t xml:space="preserve"> and </w:t>
      </w:r>
      <w:r w:rsidR="001E76DA" w:rsidRPr="005C6578">
        <w:rPr>
          <w:rFonts w:ascii="Times New Roman" w:hAnsi="Times New Roman" w:cs="Times New Roman"/>
          <w:i/>
          <w:sz w:val="24"/>
          <w:szCs w:val="24"/>
        </w:rPr>
        <w:t>RPL13A</w:t>
      </w:r>
      <w:r w:rsidR="001E76DA" w:rsidRPr="005C6578">
        <w:rPr>
          <w:rFonts w:ascii="Times New Roman" w:hAnsi="Times New Roman" w:cs="Times New Roman"/>
          <w:sz w:val="24"/>
          <w:szCs w:val="24"/>
        </w:rPr>
        <w:t xml:space="preserve">, and expressed relative to the mean of all female controls. </w:t>
      </w:r>
      <w:r w:rsidRPr="005C6578">
        <w:rPr>
          <w:rFonts w:ascii="Times New Roman" w:hAnsi="Times New Roman" w:cs="Times New Roman"/>
          <w:sz w:val="24"/>
          <w:szCs w:val="24"/>
        </w:rPr>
        <w:t>Box plots show the median and the 25</w:t>
      </w:r>
      <w:r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E76DA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>75</w:t>
      </w:r>
      <w:r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C6578">
        <w:rPr>
          <w:rFonts w:ascii="Times New Roman" w:hAnsi="Times New Roman" w:cs="Times New Roman"/>
          <w:sz w:val="24"/>
          <w:szCs w:val="24"/>
        </w:rPr>
        <w:t xml:space="preserve"> percentiles; whiskers indicate minimum and maximum values; dots represent individual subjects. </w:t>
      </w:r>
      <w:r w:rsidR="001E76DA" w:rsidRPr="005C6578">
        <w:rPr>
          <w:rFonts w:ascii="Times New Roman" w:hAnsi="Times New Roman" w:cs="Times New Roman"/>
          <w:sz w:val="24"/>
          <w:szCs w:val="24"/>
        </w:rPr>
        <w:t>Data were analyzed by two-way repeated-measures ANOVA (diagnosis within pairs × mode of death between pairs. MDD and control subjects were compared within each mode of death with uncorrected Fisher’s LSD tests.</w:t>
      </w:r>
      <w:r w:rsidRPr="005C6578">
        <w:rPr>
          <w:rFonts w:ascii="Times New Roman" w:hAnsi="Times New Roman" w:cs="Times New Roman"/>
          <w:sz w:val="24"/>
          <w:szCs w:val="24"/>
        </w:rPr>
        <w:t>*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="001E76DA" w:rsidRPr="005C6578">
        <w:rPr>
          <w:rFonts w:ascii="Times New Roman" w:hAnsi="Times New Roman" w:cs="Times New Roman"/>
          <w:sz w:val="24"/>
          <w:szCs w:val="24"/>
        </w:rPr>
        <w:t xml:space="preserve"> &lt; 0.01</w:t>
      </w:r>
      <w:r w:rsidRPr="005C6578">
        <w:rPr>
          <w:rFonts w:ascii="Times New Roman" w:hAnsi="Times New Roman" w:cs="Times New Roman"/>
          <w:sz w:val="24"/>
          <w:szCs w:val="24"/>
        </w:rPr>
        <w:t xml:space="preserve">; exact </w:t>
      </w:r>
      <w:r w:rsidR="001E76DA" w:rsidRPr="005C6578">
        <w:rPr>
          <w:rFonts w:ascii="Times New Roman" w:hAnsi="Times New Roman" w:cs="Times New Roman"/>
          <w:sz w:val="24"/>
          <w:szCs w:val="24"/>
        </w:rPr>
        <w:t>p</w:t>
      </w:r>
      <w:r w:rsidR="001E76DA" w:rsidRPr="005C6578">
        <w:rPr>
          <w:rFonts w:ascii="Times New Roman" w:hAnsi="Times New Roman" w:cs="Times New Roman"/>
          <w:i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 xml:space="preserve">values are shown for 0.05 ≤ 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sz w:val="24"/>
          <w:szCs w:val="24"/>
        </w:rPr>
        <w:t xml:space="preserve"> &lt; 0.10.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b</w:t>
      </w:r>
      <w:r w:rsidRPr="005C6578">
        <w:rPr>
          <w:rFonts w:ascii="Times New Roman" w:hAnsi="Times New Roman" w:cs="Times New Roman"/>
          <w:sz w:val="24"/>
          <w:szCs w:val="24"/>
        </w:rPr>
        <w:t xml:space="preserve"> Standardized difference (δ) </w:t>
      </w:r>
      <w:r w:rsidR="001E76DA" w:rsidRPr="005C6578">
        <w:rPr>
          <w:rFonts w:ascii="Times New Roman" w:hAnsi="Times New Roman" w:cs="Times New Roman"/>
          <w:sz w:val="24"/>
          <w:szCs w:val="24"/>
        </w:rPr>
        <w:t xml:space="preserve">in expression relative to matched controls between MDD-N and MDD-S, estimated by Bayesian two-sample </w:t>
      </w:r>
      <w:r w:rsidR="001E76DA" w:rsidRPr="005C6578">
        <w:rPr>
          <w:rFonts w:ascii="Times New Roman" w:hAnsi="Times New Roman" w:cs="Times New Roman"/>
          <w:i/>
          <w:sz w:val="24"/>
          <w:szCs w:val="24"/>
        </w:rPr>
        <w:t>t</w:t>
      </w:r>
      <w:r w:rsidR="001E76DA" w:rsidRPr="005C6578">
        <w:rPr>
          <w:rFonts w:ascii="Times New Roman" w:hAnsi="Times New Roman" w:cs="Times New Roman"/>
          <w:sz w:val="24"/>
          <w:szCs w:val="24"/>
        </w:rPr>
        <w:t>-tests (posterior median and 95% credible interval).</w:t>
      </w:r>
      <w:r w:rsidRPr="005C6578">
        <w:rPr>
          <w:rFonts w:ascii="Times New Roman" w:hAnsi="Times New Roman" w:cs="Times New Roman"/>
          <w:sz w:val="24"/>
          <w:szCs w:val="24"/>
        </w:rPr>
        <w:t xml:space="preserve"> The shaded area indic</w:t>
      </w:r>
      <w:r w:rsidR="001E76DA" w:rsidRPr="005C6578">
        <w:rPr>
          <w:rFonts w:ascii="Times New Roman" w:hAnsi="Times New Roman" w:cs="Times New Roman"/>
          <w:sz w:val="24"/>
          <w:szCs w:val="24"/>
        </w:rPr>
        <w:t>ates the equivalence interval (-</w:t>
      </w:r>
      <w:r w:rsidRPr="005C6578">
        <w:rPr>
          <w:rFonts w:ascii="Times New Roman" w:hAnsi="Times New Roman" w:cs="Times New Roman"/>
          <w:sz w:val="24"/>
          <w:szCs w:val="24"/>
        </w:rPr>
        <w:t xml:space="preserve">0.5 &lt; δ &lt; 0.5). Black, moderate evidence for equivalence (BF₀₁ ≥ 3); grey, anecdotal evidence (1 ≤ BF₀₁ &lt; 3).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c</w:t>
      </w:r>
      <w:r w:rsidR="001E76DA" w:rsidRPr="005C6578">
        <w:rPr>
          <w:rFonts w:ascii="Times New Roman" w:hAnsi="Times New Roman" w:cs="Times New Roman"/>
          <w:sz w:val="24"/>
          <w:szCs w:val="24"/>
        </w:rPr>
        <w:t xml:space="preserve"> Bayes factors in favo</w:t>
      </w:r>
      <w:r w:rsidRPr="005C6578">
        <w:rPr>
          <w:rFonts w:ascii="Times New Roman" w:hAnsi="Times New Roman" w:cs="Times New Roman"/>
          <w:sz w:val="24"/>
          <w:szCs w:val="24"/>
        </w:rPr>
        <w:t>r of equivalence (BF₀₁) obtained with the default Cauchy prior (r = 0.707), and the range obtained</w:t>
      </w:r>
      <w:r w:rsidR="001E76DA" w:rsidRPr="005C6578">
        <w:rPr>
          <w:rFonts w:ascii="Times New Roman" w:hAnsi="Times New Roman" w:cs="Times New Roman"/>
          <w:sz w:val="24"/>
          <w:szCs w:val="24"/>
        </w:rPr>
        <w:t xml:space="preserve"> across prior widths of r = 0.3-</w:t>
      </w:r>
      <w:r w:rsidRPr="005C6578">
        <w:rPr>
          <w:rFonts w:ascii="Times New Roman" w:hAnsi="Times New Roman" w:cs="Times New Roman"/>
          <w:sz w:val="24"/>
          <w:szCs w:val="24"/>
        </w:rPr>
        <w:t>2 (robustness analysis).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40C91B17" w14:textId="70E6B111" w:rsidR="00D3133B" w:rsidRPr="005C6578" w:rsidRDefault="00D3133B" w:rsidP="005C6578">
      <w:pPr>
        <w:pStyle w:val="NormalWeb"/>
        <w:jc w:val="both"/>
        <w:rPr>
          <w:lang w:val="en-US"/>
        </w:rPr>
      </w:pPr>
    </w:p>
    <w:p w14:paraId="05953799" w14:textId="386FECAB" w:rsidR="00D3133B" w:rsidRPr="005C6578" w:rsidRDefault="00D3133B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0CB8088" w14:textId="77777777" w:rsidR="001E76DA" w:rsidRPr="005C6578" w:rsidRDefault="001E76DA" w:rsidP="005C6578">
      <w:pPr>
        <w:spacing w:line="240" w:lineRule="auto"/>
        <w:rPr>
          <w:rStyle w:val="Textoennegrita"/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br w:type="page"/>
      </w:r>
    </w:p>
    <w:p w14:paraId="24B65D73" w14:textId="77777777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41B82B39" w14:textId="444D9D50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  <w:r w:rsidRPr="00732DD7">
        <w:rPr>
          <w:rStyle w:val="Textoennegrita"/>
          <w:b w:val="0"/>
          <w:bCs w:val="0"/>
        </w:rPr>
        <w:drawing>
          <wp:inline distT="0" distB="0" distL="0" distR="0" wp14:anchorId="0011C6A4" wp14:editId="4B092B4E">
            <wp:extent cx="5400040" cy="2773566"/>
            <wp:effectExtent l="0" t="0" r="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7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BA6FF" w14:textId="2D06D7E8" w:rsidR="00732DD7" w:rsidRDefault="00732DD7" w:rsidP="005C6578">
      <w:pPr>
        <w:spacing w:line="240" w:lineRule="auto"/>
        <w:jc w:val="both"/>
        <w:rPr>
          <w:rStyle w:val="Textoennegrita"/>
          <w:rFonts w:ascii="Times New Roman" w:hAnsi="Times New Roman" w:cs="Times New Roman"/>
          <w:sz w:val="24"/>
          <w:szCs w:val="24"/>
        </w:rPr>
      </w:pPr>
    </w:p>
    <w:p w14:paraId="6838CD20" w14:textId="36FA83B6" w:rsidR="005C6578" w:rsidRPr="005C6578" w:rsidRDefault="00F648A8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Supplementary Figure 1</w:t>
      </w:r>
      <w:r w:rsidR="001E76DA" w:rsidRPr="005C6578">
        <w:rPr>
          <w:rStyle w:val="Textoennegrita"/>
          <w:rFonts w:ascii="Times New Roman" w:hAnsi="Times New Roman" w:cs="Times New Roman"/>
          <w:sz w:val="24"/>
          <w:szCs w:val="24"/>
        </w:rPr>
        <w:t>5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. Expression of sex-specific target mRNAs in the opposite sex.</w:t>
      </w:r>
      <w:r w:rsidRPr="005C6578">
        <w:rPr>
          <w:rFonts w:ascii="Times New Roman" w:hAnsi="Times New Roman" w:cs="Times New Roman"/>
          <w:sz w:val="24"/>
          <w:szCs w:val="24"/>
        </w:rPr>
        <w:t xml:space="preserve"> RT-qPCR levels in the extended cohort of target mRNAs altered in only one sex, measured in the other sex.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a</w:t>
      </w:r>
      <w:r w:rsidRPr="005C6578">
        <w:rPr>
          <w:rFonts w:ascii="Times New Roman" w:hAnsi="Times New Roman" w:cs="Times New Roman"/>
          <w:sz w:val="24"/>
          <w:szCs w:val="24"/>
        </w:rPr>
        <w:t xml:space="preserve"> Target mRNAs altered in females (</w:t>
      </w:r>
      <w:r w:rsidRPr="005C6578">
        <w:rPr>
          <w:rFonts w:ascii="Times New Roman" w:hAnsi="Times New Roman" w:cs="Times New Roman"/>
          <w:i/>
          <w:sz w:val="24"/>
          <w:szCs w:val="24"/>
        </w:rPr>
        <w:t>SMYD2, MCTP1, RGS5</w:t>
      </w:r>
      <w:r w:rsidRPr="005C6578">
        <w:rPr>
          <w:rFonts w:ascii="Times New Roman" w:hAnsi="Times New Roman" w:cs="Times New Roman"/>
          <w:sz w:val="24"/>
          <w:szCs w:val="24"/>
        </w:rPr>
        <w:t xml:space="preserve">, and </w:t>
      </w:r>
      <w:r w:rsidRPr="005C6578">
        <w:rPr>
          <w:rFonts w:ascii="Times New Roman" w:hAnsi="Times New Roman" w:cs="Times New Roman"/>
          <w:i/>
          <w:sz w:val="24"/>
          <w:szCs w:val="24"/>
        </w:rPr>
        <w:t>ID2</w:t>
      </w:r>
      <w:r w:rsidRPr="005C6578">
        <w:rPr>
          <w:rFonts w:ascii="Times New Roman" w:hAnsi="Times New Roman" w:cs="Times New Roman"/>
          <w:sz w:val="24"/>
          <w:szCs w:val="24"/>
        </w:rPr>
        <w:t xml:space="preserve">), measured in 20 male MDD-S/control pairs. </w:t>
      </w:r>
      <w:r w:rsidRPr="005C6578">
        <w:rPr>
          <w:rStyle w:val="Textoennegrita"/>
          <w:rFonts w:ascii="Times New Roman" w:hAnsi="Times New Roman" w:cs="Times New Roman"/>
          <w:sz w:val="24"/>
          <w:szCs w:val="24"/>
        </w:rPr>
        <w:t>b</w:t>
      </w:r>
      <w:r w:rsidRPr="005C6578">
        <w:rPr>
          <w:rFonts w:ascii="Times New Roman" w:hAnsi="Times New Roman" w:cs="Times New Roman"/>
          <w:sz w:val="24"/>
          <w:szCs w:val="24"/>
        </w:rPr>
        <w:t xml:space="preserve"> Target mRNAs altered in males (</w:t>
      </w:r>
      <w:r w:rsidRPr="005C6578">
        <w:rPr>
          <w:rFonts w:ascii="Times New Roman" w:hAnsi="Times New Roman" w:cs="Times New Roman"/>
          <w:i/>
          <w:sz w:val="24"/>
          <w:szCs w:val="24"/>
        </w:rPr>
        <w:t>EEF1A1, SATB1, CELF2</w:t>
      </w:r>
      <w:r w:rsidRPr="005C6578">
        <w:rPr>
          <w:rFonts w:ascii="Times New Roman" w:hAnsi="Times New Roman" w:cs="Times New Roman"/>
          <w:sz w:val="24"/>
          <w:szCs w:val="24"/>
        </w:rPr>
        <w:t xml:space="preserve">, and </w:t>
      </w:r>
      <w:r w:rsidRPr="005C6578">
        <w:rPr>
          <w:rFonts w:ascii="Times New Roman" w:hAnsi="Times New Roman" w:cs="Times New Roman"/>
          <w:i/>
          <w:sz w:val="24"/>
          <w:szCs w:val="24"/>
        </w:rPr>
        <w:t>CANX</w:t>
      </w:r>
      <w:r w:rsidRPr="005C6578">
        <w:rPr>
          <w:rFonts w:ascii="Times New Roman" w:hAnsi="Times New Roman" w:cs="Times New Roman"/>
          <w:sz w:val="24"/>
          <w:szCs w:val="24"/>
        </w:rPr>
        <w:t xml:space="preserve">), measured in 15 female MDD-S/N/control pairs. </w:t>
      </w:r>
      <w:r w:rsidR="00EF6F07" w:rsidRPr="005C6578">
        <w:rPr>
          <w:rFonts w:ascii="Times New Roman" w:hAnsi="Times New Roman" w:cs="Times New Roman"/>
          <w:sz w:val="24"/>
          <w:szCs w:val="24"/>
        </w:rPr>
        <w:t>Relative expression was calculated as 2</w:t>
      </w:r>
      <w:r w:rsidR="00EF6F07" w:rsidRPr="005C6578">
        <w:rPr>
          <w:rFonts w:ascii="Times New Roman" w:hAnsi="Times New Roman" w:cs="Times New Roman"/>
          <w:sz w:val="24"/>
          <w:szCs w:val="24"/>
          <w:vertAlign w:val="superscript"/>
        </w:rPr>
        <w:t>-ΔCt</w:t>
      </w:r>
      <w:r w:rsidR="00EF6F07" w:rsidRPr="005C6578">
        <w:rPr>
          <w:rFonts w:ascii="Times New Roman" w:hAnsi="Times New Roman" w:cs="Times New Roman"/>
          <w:sz w:val="24"/>
          <w:szCs w:val="24"/>
        </w:rPr>
        <w:t xml:space="preserve">, with ΔCt relative to the geometric mean of </w:t>
      </w:r>
      <w:r w:rsidR="00EF6F07" w:rsidRPr="005C6578">
        <w:rPr>
          <w:rFonts w:ascii="Times New Roman" w:hAnsi="Times New Roman" w:cs="Times New Roman"/>
          <w:i/>
          <w:sz w:val="24"/>
          <w:szCs w:val="24"/>
        </w:rPr>
        <w:t>ACTB</w:t>
      </w:r>
      <w:r w:rsidR="00EF6F07" w:rsidRPr="005C6578">
        <w:rPr>
          <w:rFonts w:ascii="Times New Roman" w:hAnsi="Times New Roman" w:cs="Times New Roman"/>
          <w:sz w:val="24"/>
          <w:szCs w:val="24"/>
        </w:rPr>
        <w:t xml:space="preserve"> and </w:t>
      </w:r>
      <w:r w:rsidR="00EF6F07" w:rsidRPr="005C6578">
        <w:rPr>
          <w:rFonts w:ascii="Times New Roman" w:hAnsi="Times New Roman" w:cs="Times New Roman"/>
          <w:i/>
          <w:sz w:val="24"/>
          <w:szCs w:val="24"/>
        </w:rPr>
        <w:t>RPL13A</w:t>
      </w:r>
      <w:r w:rsidR="00EF6F07" w:rsidRPr="005C6578">
        <w:rPr>
          <w:rFonts w:ascii="Times New Roman" w:hAnsi="Times New Roman" w:cs="Times New Roman"/>
          <w:sz w:val="24"/>
          <w:szCs w:val="24"/>
        </w:rPr>
        <w:t xml:space="preserve">, and expressed relative to the mean of the control group of each sex. </w:t>
      </w:r>
      <w:r w:rsidRPr="005C6578">
        <w:rPr>
          <w:rFonts w:ascii="Times New Roman" w:hAnsi="Times New Roman" w:cs="Times New Roman"/>
          <w:sz w:val="24"/>
          <w:szCs w:val="24"/>
        </w:rPr>
        <w:t>Box plots show the median and the 25</w:t>
      </w:r>
      <w:r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F6F07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>75</w:t>
      </w:r>
      <w:r w:rsidRPr="005C657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C6578">
        <w:rPr>
          <w:rFonts w:ascii="Times New Roman" w:hAnsi="Times New Roman" w:cs="Times New Roman"/>
          <w:sz w:val="24"/>
          <w:szCs w:val="24"/>
        </w:rPr>
        <w:t xml:space="preserve"> percentiles; whiskers indicate minimum and maximum values; dot</w:t>
      </w:r>
      <w:r w:rsidR="00EF6F07" w:rsidRPr="005C6578">
        <w:rPr>
          <w:rFonts w:ascii="Times New Roman" w:hAnsi="Times New Roman" w:cs="Times New Roman"/>
          <w:sz w:val="24"/>
          <w:szCs w:val="24"/>
        </w:rPr>
        <w:t>s represent individual subjects</w:t>
      </w:r>
      <w:r w:rsidRPr="005C6578">
        <w:rPr>
          <w:rFonts w:ascii="Times New Roman" w:hAnsi="Times New Roman" w:cs="Times New Roman"/>
          <w:sz w:val="24"/>
          <w:szCs w:val="24"/>
        </w:rPr>
        <w:t xml:space="preserve">. Groups were compared with a paired Student’s </w:t>
      </w:r>
      <w:r w:rsidRPr="005C6578">
        <w:rPr>
          <w:rFonts w:ascii="Times New Roman" w:hAnsi="Times New Roman" w:cs="Times New Roman"/>
          <w:i/>
          <w:sz w:val="24"/>
          <w:szCs w:val="24"/>
        </w:rPr>
        <w:t>t</w:t>
      </w:r>
      <w:r w:rsidRPr="005C6578">
        <w:rPr>
          <w:rFonts w:ascii="Times New Roman" w:hAnsi="Times New Roman" w:cs="Times New Roman"/>
          <w:sz w:val="24"/>
          <w:szCs w:val="24"/>
        </w:rPr>
        <w:t xml:space="preserve">-test or a Wilcoxon matched-pairs signed-rank test according to the normality of </w:t>
      </w:r>
      <w:r w:rsidR="00EF6F07" w:rsidRPr="005C6578">
        <w:rPr>
          <w:rFonts w:ascii="Times New Roman" w:hAnsi="Times New Roman" w:cs="Times New Roman"/>
          <w:sz w:val="24"/>
          <w:szCs w:val="24"/>
        </w:rPr>
        <w:t>each groups</w:t>
      </w:r>
      <w:r w:rsidRPr="005C6578">
        <w:rPr>
          <w:rFonts w:ascii="Times New Roman" w:hAnsi="Times New Roman" w:cs="Times New Roman"/>
          <w:sz w:val="24"/>
          <w:szCs w:val="24"/>
        </w:rPr>
        <w:t xml:space="preserve"> (Shapiro</w:t>
      </w:r>
      <w:r w:rsidR="00EF6F07" w:rsidRPr="005C6578">
        <w:rPr>
          <w:rFonts w:ascii="Times New Roman" w:hAnsi="Times New Roman" w:cs="Times New Roman"/>
          <w:sz w:val="24"/>
          <w:szCs w:val="24"/>
        </w:rPr>
        <w:t>-</w:t>
      </w:r>
      <w:r w:rsidRPr="005C6578">
        <w:rPr>
          <w:rFonts w:ascii="Times New Roman" w:hAnsi="Times New Roman" w:cs="Times New Roman"/>
          <w:sz w:val="24"/>
          <w:szCs w:val="24"/>
        </w:rPr>
        <w:t xml:space="preserve">Wilk); none of the comparisons was significant </w:t>
      </w:r>
      <w:r w:rsidRPr="005C6578">
        <w:rPr>
          <w:rFonts w:ascii="Times New Roman" w:hAnsi="Times New Roman" w:cs="Times New Roman"/>
          <w:i/>
          <w:sz w:val="24"/>
          <w:szCs w:val="24"/>
        </w:rPr>
        <w:t>p</w:t>
      </w:r>
      <w:r w:rsidRPr="005C6578">
        <w:rPr>
          <w:rFonts w:ascii="Times New Roman" w:hAnsi="Times New Roman" w:cs="Times New Roman"/>
          <w:sz w:val="24"/>
          <w:szCs w:val="24"/>
        </w:rPr>
        <w:t xml:space="preserve"> ≥ 0.10.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 </w:t>
      </w:r>
      <w:r w:rsidR="005C6578" w:rsidRPr="005C6578">
        <w:rPr>
          <w:rFonts w:ascii="Times New Roman" w:hAnsi="Times New Roman" w:cs="Times New Roman"/>
          <w:sz w:val="24"/>
          <w:szCs w:val="24"/>
        </w:rPr>
        <w:t xml:space="preserve">Source data are provided as a Source Data file. </w:t>
      </w:r>
    </w:p>
    <w:p w14:paraId="38D7324A" w14:textId="02328C30" w:rsidR="00F648A8" w:rsidRPr="005C6578" w:rsidRDefault="00F648A8" w:rsidP="005C6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A0A2D" w14:textId="22051553" w:rsidR="00C9678F" w:rsidRPr="005C6578" w:rsidRDefault="00C9678F" w:rsidP="005C6578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3E73C37" w14:textId="77777777" w:rsidR="00C9678F" w:rsidRPr="005C6578" w:rsidRDefault="00C9678F" w:rsidP="005C65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6DA9492C" w14:textId="12691818" w:rsidR="002D73C5" w:rsidRPr="005C6578" w:rsidRDefault="002D73C5" w:rsidP="005C65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sectPr w:rsidR="002D73C5" w:rsidRPr="005C65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01B7"/>
    <w:multiLevelType w:val="multilevel"/>
    <w:tmpl w:val="F2B0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6580F"/>
    <w:multiLevelType w:val="multilevel"/>
    <w:tmpl w:val="02F4B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3A6F41"/>
    <w:multiLevelType w:val="multilevel"/>
    <w:tmpl w:val="BD14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D969A4"/>
    <w:multiLevelType w:val="multilevel"/>
    <w:tmpl w:val="F486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876FAA"/>
    <w:multiLevelType w:val="multilevel"/>
    <w:tmpl w:val="22547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2B05B0"/>
    <w:multiLevelType w:val="multilevel"/>
    <w:tmpl w:val="9F40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FE5054"/>
    <w:multiLevelType w:val="multilevel"/>
    <w:tmpl w:val="B78AA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DE557B"/>
    <w:multiLevelType w:val="multilevel"/>
    <w:tmpl w:val="2A742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es-ES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B36"/>
    <w:rsid w:val="0006425A"/>
    <w:rsid w:val="000E47F2"/>
    <w:rsid w:val="001156F2"/>
    <w:rsid w:val="00163D8D"/>
    <w:rsid w:val="00183A8E"/>
    <w:rsid w:val="001A091A"/>
    <w:rsid w:val="001A2304"/>
    <w:rsid w:val="001C2A92"/>
    <w:rsid w:val="001C4964"/>
    <w:rsid w:val="001C5748"/>
    <w:rsid w:val="001E76DA"/>
    <w:rsid w:val="00264713"/>
    <w:rsid w:val="00266957"/>
    <w:rsid w:val="00287503"/>
    <w:rsid w:val="002D73C5"/>
    <w:rsid w:val="00383BFD"/>
    <w:rsid w:val="00436D2B"/>
    <w:rsid w:val="0045590F"/>
    <w:rsid w:val="0046447B"/>
    <w:rsid w:val="004737D8"/>
    <w:rsid w:val="004C6515"/>
    <w:rsid w:val="004D621F"/>
    <w:rsid w:val="00522739"/>
    <w:rsid w:val="005C6578"/>
    <w:rsid w:val="0067011A"/>
    <w:rsid w:val="00732DD7"/>
    <w:rsid w:val="007338A7"/>
    <w:rsid w:val="00792F89"/>
    <w:rsid w:val="007B25F1"/>
    <w:rsid w:val="007D6CC6"/>
    <w:rsid w:val="007F081C"/>
    <w:rsid w:val="00861189"/>
    <w:rsid w:val="00866DF9"/>
    <w:rsid w:val="009510E3"/>
    <w:rsid w:val="009718C1"/>
    <w:rsid w:val="009A1AAA"/>
    <w:rsid w:val="009B14A7"/>
    <w:rsid w:val="009B3CA9"/>
    <w:rsid w:val="00A51B36"/>
    <w:rsid w:val="00B124AF"/>
    <w:rsid w:val="00B252E3"/>
    <w:rsid w:val="00B412AA"/>
    <w:rsid w:val="00B56795"/>
    <w:rsid w:val="00B653D9"/>
    <w:rsid w:val="00B7074F"/>
    <w:rsid w:val="00C9678F"/>
    <w:rsid w:val="00D26082"/>
    <w:rsid w:val="00D3133B"/>
    <w:rsid w:val="00D957D1"/>
    <w:rsid w:val="00DA555A"/>
    <w:rsid w:val="00DC452B"/>
    <w:rsid w:val="00DC6CA4"/>
    <w:rsid w:val="00DF3A60"/>
    <w:rsid w:val="00E419DE"/>
    <w:rsid w:val="00EF4E21"/>
    <w:rsid w:val="00EF6F07"/>
    <w:rsid w:val="00F648A8"/>
    <w:rsid w:val="00FC6543"/>
    <w:rsid w:val="00FD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CE72"/>
  <w15:chartTrackingRefBased/>
  <w15:docId w15:val="{91237C4D-0BF9-4CC8-AE60-E60AE243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2669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4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CdigoHTML">
    <w:name w:val="HTML Code"/>
    <w:basedOn w:val="Fuentedeprrafopredeter"/>
    <w:uiPriority w:val="99"/>
    <w:semiHidden/>
    <w:unhideWhenUsed/>
    <w:rsid w:val="004737D8"/>
    <w:rPr>
      <w:rFonts w:ascii="Courier New" w:eastAsia="Times New Roman" w:hAnsi="Courier New" w:cs="Courier New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EF4E21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4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4E21"/>
    <w:rPr>
      <w:rFonts w:ascii="Segoe UI" w:hAnsi="Segoe UI" w:cs="Segoe UI"/>
      <w:sz w:val="18"/>
      <w:szCs w:val="18"/>
      <w:lang w:val="en-US"/>
    </w:rPr>
  </w:style>
  <w:style w:type="paragraph" w:customStyle="1" w:styleId="MDPI13authornames">
    <w:name w:val="MDPI_1.3_authornames"/>
    <w:next w:val="Normal"/>
    <w:qFormat/>
    <w:rsid w:val="00FD0A10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6affiliation">
    <w:name w:val="MDPI_1.6_affiliation"/>
    <w:qFormat/>
    <w:rsid w:val="00FD0A10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Hipervnculo">
    <w:name w:val="Hyperlink"/>
    <w:uiPriority w:val="99"/>
    <w:rsid w:val="00FD0A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9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0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13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87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84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087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729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174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067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1574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0606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144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544005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548921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hyperlink" Target="mailto:analia.bortolozzi@iibb.csic.es" TargetMode="Externa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22</Pages>
  <Words>2582</Words>
  <Characters>14721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Analia Bortolozzi Biassoni</dc:creator>
  <cp:keywords/>
  <dc:description/>
  <cp:lastModifiedBy>Analia Bortolozzi Biassoni</cp:lastModifiedBy>
  <cp:revision>4</cp:revision>
  <dcterms:created xsi:type="dcterms:W3CDTF">2026-10-28T08:14:00Z</dcterms:created>
  <dcterms:modified xsi:type="dcterms:W3CDTF">2026-10-28T08:33:00Z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zotero-version="10.0.6"&gt;&lt;session id="x5YRIdbf"/&gt;&lt;style id="http://www.zotero.org/styles/nature" hasBibliography="1" bibliographyStyleHasBeenSet="0"/&gt;&lt;prefs&gt;&lt;pref name="fieldType" value="Field"/&gt;&lt;/prefs&gt;&lt;/data&gt;</vt:lpwstr>
  </property>
</Properties>
</file>