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line="360"/>
      </w:pPr>
      <w:r>
        <w:rPr>
          <w:rFonts w:ascii="Times New Roman" w:cs="Times New Roman" w:eastAsia="Times New Roman" w:hAnsi="Times New Roman"/>
          <w:b/>
          <w:bCs/>
          <w:sz w:val="30"/>
          <w:szCs w:val="30"/>
        </w:rPr>
        <w:t xml:space="preserve">Supplementary Materials for: Panel-Gene Transcriptomic Associations in Amyotrophic Lateral Sclerosis: a donor-resolved seven-cohort analysis of a locked 468-gene detoxification panel</w:t>
      </w:r>
    </w:p>
    <w:p>
      <w:pPr>
        <w:spacing w:after="80" w:line="300"/>
        <w:jc w:val="left"/>
      </w:pPr>
      <w:r>
        <w:rPr>
          <w:rFonts w:ascii="Times New Roman" w:cs="Times New Roman" w:eastAsia="Times New Roman" w:hAnsi="Times New Roman"/>
          <w:sz w:val="24"/>
          <w:szCs w:val="24"/>
        </w:rPr>
        <w:t xml:space="preserve">Mark E. McCaulley, M.D. · Sirius Neuroscience, LLC · mark@siriusneuroscience.com</w:t>
      </w:r>
    </w:p>
    <w:p>
      <w:pPr>
        <w:spacing w:after="120" w:line="300"/>
        <w:jc w:val="left"/>
      </w:pPr>
      <w:r>
        <w:rPr>
          <w:rFonts w:ascii="Times New Roman" w:cs="Times New Roman" w:eastAsia="Times New Roman" w:hAnsi="Times New Roman"/>
          <w:sz w:val="24"/>
          <w:szCs w:val="24"/>
        </w:rPr>
        <w:t xml:space="preserve">Contents: Supplementary Methods; Tables S1 to S8; Data S1 (separate workbook, McCaulley_ALS_Data_S1_meta_per_gene.xlsx). Scripts, GEO2R tables and sample-to-group assignments are in the accompanying reproduction package.</w:t>
      </w:r>
    </w:p>
    <w:p>
      <w:pPr>
        <w:pStyle w:val="Heading1"/>
        <w:keepNext/>
        <w:spacing w:after="120" w:before="240" w:line="300"/>
      </w:pPr>
      <w:r>
        <w:rPr>
          <w:rFonts w:ascii="Times New Roman" w:cs="Times New Roman" w:eastAsia="Times New Roman" w:hAnsi="Times New Roman"/>
          <w:b/>
          <w:bCs/>
          <w:sz w:val="26"/>
          <w:szCs w:val="26"/>
        </w:rPr>
        <w:t xml:space="preserve">Supplementary Methods</w:t>
      </w:r>
    </w:p>
    <w:p>
      <w:pPr>
        <w:pStyle w:val="Heading2"/>
        <w:keepNext/>
        <w:spacing w:after="80" w:before="180" w:line="300"/>
      </w:pPr>
      <w:r>
        <w:rPr>
          <w:rFonts w:ascii="Times New Roman" w:cs="Times New Roman" w:eastAsia="Times New Roman" w:hAnsi="Times New Roman"/>
          <w:b/>
          <w:bCs/>
          <w:i/>
          <w:iCs/>
          <w:sz w:val="24"/>
          <w:szCs w:val="24"/>
        </w:rPr>
        <w:t xml:space="preserve">Source files and verification</w:t>
      </w:r>
    </w:p>
    <w:p>
      <w:pPr>
        <w:spacing w:after="120" w:line="300"/>
        <w:jc w:val="left"/>
      </w:pPr>
      <w:r>
        <w:rPr>
          <w:rFonts w:ascii="Times New Roman" w:cs="Times New Roman" w:eastAsia="Times New Roman" w:hAnsi="Times New Roman"/>
          <w:sz w:val="24"/>
          <w:szCs w:val="24"/>
        </w:rPr>
        <w:t xml:space="preserve">GSE153960: NCBI-generated raw counts (GSE153960_raw_counts_GRCh38.p13_NCBI.tsv.gz; 39,376 genes × 1,837 samples; SHA-256 0b85d1f71b9925e9c1ed4937292ab34602adc9edd51a77d45422cb7e2f258f38) and the two series matrices (GPL16791, 714 samples; GPL24676, 1,124 samples). GSM4660622 (ALS, cerebellum) is listed in the series matrix but absent from the counts. Gene symbols were taken from the NCBI annotation (Human.GRCh38.p13.annot.tsv.gz). The earlier locked input, a GEO2R DESeq2 comparison of all 1,011 "ALS Spectrum MND" with all 288 "Non-Neurological Control" samples, was identified by its filtered gene count (26,246, reproduced exactly) and its fold-changes (PyDESeq2 v GEO2R, r = 0.99993).</w:t>
      </w:r>
    </w:p>
    <w:p>
      <w:pPr>
        <w:spacing w:after="120" w:line="300"/>
        <w:jc w:val="left"/>
      </w:pPr>
      <w:r>
        <w:rPr>
          <w:rFonts w:ascii="Times New Roman" w:cs="Times New Roman" w:eastAsia="Times New Roman" w:hAnsi="Times New Roman"/>
          <w:sz w:val="24"/>
          <w:szCs w:val="24"/>
        </w:rPr>
        <w:t xml:space="preserve">GSE76220: NCBI-generated raw counts (20 samples). The series matrix lists 21 samples (8 controls, 13 sporadic ALS); GSM1977027 ("10_Control") is absent from the counts. The GEO2R table (13 v 7; 14,651 genes) was reproduced with PyDESeq2 (log</w:t>
      </w:r>
      <w:r>
        <w:rPr>
          <w:rFonts w:ascii="Times New Roman" w:cs="Times New Roman" w:eastAsia="Times New Roman" w:hAnsi="Times New Roman"/>
          <w:sz w:val="24"/>
          <w:szCs w:val="24"/>
          <w:vertAlign w:val="subscript"/>
        </w:rPr>
        <w:t xml:space="preserve">2</w:t>
      </w:r>
      <w:r>
        <w:rPr>
          <w:rFonts w:ascii="Times New Roman" w:cs="Times New Roman" w:eastAsia="Times New Roman" w:hAnsi="Times New Roman"/>
          <w:sz w:val="24"/>
          <w:szCs w:val="24"/>
        </w:rPr>
        <w:t xml:space="preserve">FC r = 0.9998; lfcSE r = 0.9998).</w:t>
      </w:r>
    </w:p>
    <w:p>
      <w:pPr>
        <w:spacing w:after="120" w:line="300"/>
        <w:jc w:val="left"/>
      </w:pPr>
      <w:r>
        <w:rPr>
          <w:rFonts w:ascii="Times New Roman" w:cs="Times New Roman" w:eastAsia="Times New Roman" w:hAnsi="Times New Roman"/>
          <w:sz w:val="24"/>
          <w:szCs w:val="24"/>
        </w:rPr>
        <w:t xml:space="preserve">Microarray cohorts: GEO2R tables were reproduced from the series matrices with a Python implementation of the GEO2R limma procedure (automatic log</w:t>
      </w:r>
      <w:r>
        <w:rPr>
          <w:rFonts w:ascii="Times New Roman" w:cs="Times New Roman" w:eastAsia="Times New Roman" w:hAnsi="Times New Roman"/>
          <w:sz w:val="24"/>
          <w:szCs w:val="24"/>
          <w:vertAlign w:val="subscript"/>
        </w:rPr>
        <w:t xml:space="preserve">2</w:t>
      </w:r>
      <w:r>
        <w:rPr>
          <w:rFonts w:ascii="Times New Roman" w:cs="Times New Roman" w:eastAsia="Times New Roman" w:hAnsi="Times New Roman"/>
          <w:sz w:val="24"/>
          <w:szCs w:val="24"/>
        </w:rPr>
        <w:t xml:space="preserve"> transformation when the 99th percentile exceeds 100 or the range exceeds 50 with a positive first quartile; complete cases; empirical-Bayes moderation). Maximum absolute differences in log</w:t>
      </w:r>
      <w:r>
        <w:rPr>
          <w:rFonts w:ascii="Times New Roman" w:cs="Times New Roman" w:eastAsia="Times New Roman" w:hAnsi="Times New Roman"/>
          <w:sz w:val="24"/>
          <w:szCs w:val="24"/>
          <w:vertAlign w:val="subscript"/>
        </w:rPr>
        <w:t xml:space="preserve">2</w:t>
      </w:r>
      <w:r>
        <w:rPr>
          <w:rFonts w:ascii="Times New Roman" w:cs="Times New Roman" w:eastAsia="Times New Roman" w:hAnsi="Times New Roman"/>
          <w:sz w:val="24"/>
          <w:szCs w:val="24"/>
        </w:rPr>
        <w:t xml:space="preserve">FC: GSE19332 5×10⁻⁸; GSE68605 5×10⁻⁸; GSE26927 5×10⁻⁹; GSE56500 3×10⁻⁹; GSE18920 1×10⁻⁸. The GSE56500 GEO2R export rounded t to three significant figures; full-precision values were regenerated from the series matrix. The GSE18920 GEO2R table downloaded for this audit compares all 24 ALS with all 20 control samples, pooling the motor-neuron-enriched and anterior-horn compartments of the same 22 donors; the primary analysis uses the 12 v 10 motor-neuron-enriched samples. GSE68605 values were deposited after puma normalisation (median-scaled; every sample median −0.065); GEO2R applied no transformation.</w:t>
      </w:r>
    </w:p>
    <w:p>
      <w:pPr>
        <w:spacing w:after="120" w:line="300"/>
        <w:jc w:val="left"/>
      </w:pPr>
      <w:r>
        <w:rPr>
          <w:rFonts w:ascii="Times New Roman" w:cs="Times New Roman" w:eastAsia="Times New Roman" w:hAnsi="Times New Roman"/>
          <w:sz w:val="24"/>
          <w:szCs w:val="24"/>
        </w:rPr>
        <w:t xml:space="preserve">Exon-array gene mapping: the full GPL5188 platform table was reduced to probeset ID, transcript cluster, gene assignment and level (421,214 probesets with a gene assignment). For the primary analysis, core probesets present in each series matrix were averaged within transcript cluster before limma, and the cluster was assigned the first symbol of its gene assignment. The first-symbol, any-panel-symbol, core-only and all-level variants gave the same gene coverage.</w:t>
      </w:r>
    </w:p>
    <w:p>
      <w:pPr>
        <w:pStyle w:val="Heading2"/>
        <w:keepNext/>
        <w:spacing w:after="80" w:before="180" w:line="300"/>
      </w:pPr>
      <w:r>
        <w:rPr>
          <w:rFonts w:ascii="Times New Roman" w:cs="Times New Roman" w:eastAsia="Times New Roman" w:hAnsi="Times New Roman"/>
          <w:b/>
          <w:bCs/>
          <w:i/>
          <w:iCs/>
          <w:sz w:val="24"/>
          <w:szCs w:val="24"/>
        </w:rPr>
        <w:t xml:space="preserve">Donor structure</w:t>
      </w:r>
    </w:p>
    <w:p>
      <w:pPr>
        <w:spacing w:after="120" w:line="300"/>
        <w:jc w:val="left"/>
      </w:pPr>
      <w:r>
        <w:rPr>
          <w:rFonts w:ascii="Times New Roman" w:cs="Times New Roman" w:eastAsia="Times New Roman" w:hAnsi="Times New Roman"/>
          <w:sz w:val="24"/>
          <w:szCs w:val="24"/>
        </w:rPr>
        <w:t xml:space="preserve">GSE153960: 1,838 samples from 478 donors. The 1,300 ALS Spectrum MND and Non-Neurological Control samples come from 337 donors (233 ALS, 104 control). Spinal cord: 452 samples from 226 donors (169 ALS, 57 control); 41 donors contribute one cord level, 146 two, 37 three and 2 four. Within a single region, one sample per donor except one duplicated donor each in cervical and thoracic cord and 12 in cerebellum among the ALS and control donors (summed within donor). Motor cortex: medial, lateral and unspecified samples (267) from 175 donors, summed within donor. Fifteen spinal-cord donors have samples on both platforms; the platform covariate took the donor’s majority platform. GSE26927: A05149a/b, C037a/b, C039a/b (controls) and 1746a/b (ALS) share sex, age and post-mortem delay and were treated as replicate arrays of one donor. GSE19332, GSE68605, GSE56500, GSE18920 and GSE76220: one sample per donor within the compartment analysed.</w:t>
      </w:r>
    </w:p>
    <w:p>
      <w:pPr>
        <w:pStyle w:val="Heading2"/>
        <w:keepNext/>
        <w:spacing w:after="80" w:before="180" w:line="300"/>
      </w:pPr>
      <w:r>
        <w:rPr>
          <w:rFonts w:ascii="Times New Roman" w:cs="Times New Roman" w:eastAsia="Times New Roman" w:hAnsi="Times New Roman"/>
          <w:b/>
          <w:bCs/>
          <w:i/>
          <w:iCs/>
          <w:sz w:val="24"/>
          <w:szCs w:val="24"/>
        </w:rPr>
        <w:t xml:space="preserve">Composition scores</w:t>
      </w:r>
    </w:p>
    <w:p>
      <w:pPr>
        <w:spacing w:after="120" w:line="300"/>
        <w:jc w:val="left"/>
      </w:pPr>
      <w:r>
        <w:rPr>
          <w:rFonts w:ascii="Times New Roman" w:cs="Times New Roman" w:eastAsia="Times New Roman" w:hAnsi="Times New Roman"/>
          <w:sz w:val="24"/>
          <w:szCs w:val="24"/>
        </w:rPr>
        <w:t xml:space="preserve">For each bulk cohort, marker transcripts were log-normalised (log</w:t>
      </w:r>
      <w:r>
        <w:rPr>
          <w:rFonts w:ascii="Times New Roman" w:cs="Times New Roman" w:eastAsia="Times New Roman" w:hAnsi="Times New Roman"/>
          <w:sz w:val="24"/>
          <w:szCs w:val="24"/>
          <w:vertAlign w:val="subscript"/>
        </w:rPr>
        <w:t xml:space="preserve">2</w:t>
      </w:r>
      <w:r>
        <w:rPr>
          <w:rFonts w:ascii="Times New Roman" w:cs="Times New Roman" w:eastAsia="Times New Roman" w:hAnsi="Times New Roman"/>
          <w:sz w:val="24"/>
          <w:szCs w:val="24"/>
        </w:rPr>
        <w:t xml:space="preserve"> counts per million + 1 for GSE153960; array log</w:t>
      </w:r>
      <w:r>
        <w:rPr>
          <w:rFonts w:ascii="Times New Roman" w:cs="Times New Roman" w:eastAsia="Times New Roman" w:hAnsi="Times New Roman"/>
          <w:sz w:val="24"/>
          <w:szCs w:val="24"/>
          <w:vertAlign w:val="subscript"/>
        </w:rPr>
        <w:t xml:space="preserve">2</w:t>
      </w:r>
      <w:r>
        <w:rPr>
          <w:rFonts w:ascii="Times New Roman" w:cs="Times New Roman" w:eastAsia="Times New Roman" w:hAnsi="Times New Roman"/>
          <w:sz w:val="24"/>
          <w:szCs w:val="24"/>
        </w:rPr>
        <w:t xml:space="preserve"> values for GSE26927), z-scored across donors and averaged. Neuronal: SNAP25, SYT1, RBFOX3, NEFL, NEFM, STMN2, GAP43. Myeloid: CD68, AIF1, CSF1R, CD163, C1QB, TYROBP. Astrocytic: GFAP, SLC1A2, GJA1, SOX9 (ALDH1L1 excluded because it is a panel gene). ALS − control differences in score (standard-deviation units): GSE153960 neuronal +0.04, myeloid +1.00, astrocytic +0.60; GSE26927 neuronal +0.23, myeloid +0.74, astrocytic −0.67. Scores were entered as covariates (DESeq2 design ~platform + scores + group; limma with covariates). LCM cohorts were not adjusted.</w:t>
      </w:r>
    </w:p>
    <w:p>
      <w:pPr>
        <w:pStyle w:val="Heading2"/>
        <w:keepNext/>
        <w:spacing w:after="80" w:before="180" w:line="300"/>
      </w:pPr>
      <w:r>
        <w:rPr>
          <w:rFonts w:ascii="Times New Roman" w:cs="Times New Roman" w:eastAsia="Times New Roman" w:hAnsi="Times New Roman"/>
          <w:b/>
          <w:bCs/>
          <w:i/>
          <w:iCs/>
          <w:sz w:val="24"/>
          <w:szCs w:val="24"/>
        </w:rPr>
        <w:t xml:space="preserve">Coverage-matched background</w:t>
      </w:r>
    </w:p>
    <w:p>
      <w:pPr>
        <w:spacing w:after="120" w:line="300"/>
        <w:jc w:val="left"/>
      </w:pPr>
      <w:r>
        <w:rPr>
          <w:rFonts w:ascii="Times New Roman" w:cs="Times New Roman" w:eastAsia="Times New Roman" w:hAnsi="Times New Roman"/>
          <w:sz w:val="24"/>
          <w:szCs w:val="24"/>
        </w:rPr>
        <w:t xml:space="preserve">The primary pipeline was applied to all 27,028 genes measured in at least two cohorts (Data S1, sheet transcriptome_primary). For each criterion, the count among the 433 panel genes with k ≥ 3 was compared with 1,000 random sets of non-panel genes drawn with the same distribution of k (sampling with replacement within a k stratum only where the stratum was smaller than required). An earlier, unmatched comparison against all non-panel genes suggested enrichment for high-confidence genes (odds ratio 1.77); that result reflected coverage, not biology, and is superseded by the matched test.</w:t>
      </w:r>
    </w:p>
    <w:p>
      <w:pPr>
        <w:pStyle w:val="Heading1"/>
        <w:keepNext/>
        <w:spacing w:after="120" w:before="240" w:line="300"/>
      </w:pPr>
      <w:r>
        <w:rPr>
          <w:rFonts w:ascii="Times New Roman" w:cs="Times New Roman" w:eastAsia="Times New Roman" w:hAnsi="Times New Roman"/>
          <w:b/>
          <w:bCs/>
          <w:sz w:val="26"/>
          <w:szCs w:val="26"/>
        </w:rPr>
        <w:t xml:space="preserve">Supplementary Tables</w:t>
      </w:r>
    </w:p>
    <w:p>
      <w:pPr>
        <w:keepNext/>
        <w:spacing w:after="80" w:before="200" w:line="276"/>
      </w:pPr>
      <w:r>
        <w:rPr>
          <w:rFonts w:ascii="Times New Roman" w:cs="Times New Roman" w:eastAsia="Times New Roman" w:hAnsi="Times New Roman"/>
          <w:b/>
          <w:bCs/>
          <w:sz w:val="22"/>
          <w:szCs w:val="22"/>
        </w:rPr>
        <w:t xml:space="preserve">Table S1. Reconciliation of the earlier locked analysis with the present analysis.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352"/>
        <w:gridCol w:w="1144"/>
        <w:gridCol w:w="936"/>
        <w:gridCol w:w="936"/>
        <w:gridCol w:w="832"/>
        <w:gridCol w:w="728"/>
        <w:gridCol w:w="520"/>
        <w:gridCol w:w="520"/>
        <w:gridCol w:w="832"/>
      </w:tblGrid>
      <w:tr>
        <w:trPr>
          <w:cantSplit/>
          <w:tblHeader/>
        </w:trPr>
        <w:tc>
          <w:tcPr>
            <w:tcW w:type="dxa" w:w="1560"/>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6"/>
                <w:szCs w:val="16"/>
              </w:rPr>
              <w:t xml:space="preserve">Analysis</w:t>
            </w:r>
          </w:p>
        </w:tc>
        <w:tc>
          <w:tcPr>
            <w:tcW w:type="dxa" w:w="1352"/>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6"/>
                <w:szCs w:val="16"/>
              </w:rPr>
              <w:t xml:space="preserve">GSE153960 input</w:t>
            </w:r>
          </w:p>
        </w:tc>
        <w:tc>
          <w:tcPr>
            <w:tcW w:type="dxa" w:w="1144"/>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6"/>
                <w:szCs w:val="16"/>
              </w:rPr>
              <w:t xml:space="preserve">GSE18920 input</w:t>
            </w:r>
          </w:p>
        </w:tc>
        <w:tc>
          <w:tcPr>
            <w:tcW w:type="dxa" w:w="936"/>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6"/>
                <w:szCs w:val="16"/>
              </w:rPr>
              <w:t xml:space="preserve">GSE56500 input</w:t>
            </w:r>
          </w:p>
        </w:tc>
        <w:tc>
          <w:tcPr>
            <w:tcW w:type="dxa" w:w="936"/>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6"/>
                <w:szCs w:val="16"/>
              </w:rPr>
              <w:t xml:space="preserve">Exon-array probe rule</w:t>
            </w:r>
          </w:p>
        </w:tc>
        <w:tc>
          <w:tcPr>
            <w:tcW w:type="dxa" w:w="832"/>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6"/>
                <w:szCs w:val="16"/>
              </w:rPr>
              <w:t xml:space="preserve">GSE26927 unit</w:t>
            </w:r>
          </w:p>
        </w:tc>
        <w:tc>
          <w:tcPr>
            <w:tcW w:type="dxa" w:w="728"/>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6"/>
                <w:szCs w:val="16"/>
              </w:rPr>
              <w:t xml:space="preserve">Analysable</w:t>
            </w:r>
          </w:p>
        </w:tc>
        <w:tc>
          <w:tcPr>
            <w:tcW w:type="dxa" w:w="520"/>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6"/>
                <w:szCs w:val="16"/>
              </w:rPr>
              <w:t xml:space="preserve">FDR</w:t>
            </w:r>
          </w:p>
        </w:tc>
        <w:tc>
          <w:tcPr>
            <w:tcW w:type="dxa" w:w="520"/>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6"/>
                <w:szCs w:val="16"/>
              </w:rPr>
              <w:t xml:space="preserve">HC</w:t>
            </w:r>
          </w:p>
        </w:tc>
        <w:tc>
          <w:tcPr>
            <w:tcW w:type="dxa" w:w="832"/>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6"/>
                <w:szCs w:val="16"/>
              </w:rPr>
              <w:t xml:space="preserve">Earlier HC retained</w:t>
            </w:r>
          </w:p>
        </w:tc>
      </w:tr>
      <w:tr>
        <w:trPr>
          <w:cantSplit/>
          <w:tblHeader w:val="false"/>
        </w:trPr>
        <w:tc>
          <w:tcPr>
            <w:tcW w:type="dxa" w:w="15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Earlier locked (6 Jul 2026)</w:t>
            </w:r>
          </w:p>
        </w:tc>
        <w:tc>
          <w:tcPr>
            <w:tcW w:type="dxa" w:w="1352"/>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All tissues, 1,011 v 288 samples</w:t>
            </w:r>
          </w:p>
        </w:tc>
        <w:tc>
          <w:tcPr>
            <w:tcW w:type="dxa" w:w="11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Both compartments (24 v 20)*</w:t>
            </w:r>
          </w:p>
        </w:tc>
        <w:tc>
          <w:tcPr>
            <w:tcW w:type="dxa" w:w="93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Not recoverable*</w:t>
            </w:r>
          </w:p>
        </w:tc>
        <w:tc>
          <w:tcPr>
            <w:tcW w:type="dxa" w:w="93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Smallest-P*</w:t>
            </w:r>
          </w:p>
        </w:tc>
        <w:tc>
          <w:tcPr>
            <w:tcW w:type="dxa" w:w="832"/>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Array (10 v 10)</w:t>
            </w:r>
          </w:p>
        </w:tc>
        <w:tc>
          <w:tcPr>
            <w:tcW w:type="dxa" w:w="72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456</w:t>
            </w:r>
          </w:p>
        </w:tc>
        <w:tc>
          <w:tcPr>
            <w:tcW w:type="dxa" w:w="52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26</w:t>
            </w:r>
          </w:p>
        </w:tc>
        <w:tc>
          <w:tcPr>
            <w:tcW w:type="dxa" w:w="52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22</w:t>
            </w:r>
          </w:p>
        </w:tc>
        <w:tc>
          <w:tcPr>
            <w:tcW w:type="dxa" w:w="832"/>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r>
      <w:tr>
        <w:trPr>
          <w:cantSplit/>
          <w:tblHeader w:val="false"/>
        </w:trPr>
        <w:tc>
          <w:tcPr>
            <w:tcW w:type="dxa" w:w="15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Closest reconstruction</w:t>
            </w:r>
          </w:p>
        </w:tc>
        <w:tc>
          <w:tcPr>
            <w:tcW w:type="dxa" w:w="1352"/>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As locked</w:t>
            </w:r>
          </w:p>
        </w:tc>
        <w:tc>
          <w:tcPr>
            <w:tcW w:type="dxa" w:w="11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Motor neurons, 12 v 10</w:t>
            </w:r>
          </w:p>
        </w:tc>
        <w:tc>
          <w:tcPr>
            <w:tcW w:type="dxa" w:w="93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C9ORF72 only, 3 v 6</w:t>
            </w:r>
          </w:p>
        </w:tc>
        <w:tc>
          <w:tcPr>
            <w:tcW w:type="dxa" w:w="93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Smallest-P</w:t>
            </w:r>
          </w:p>
        </w:tc>
        <w:tc>
          <w:tcPr>
            <w:tcW w:type="dxa" w:w="832"/>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Array</w:t>
            </w:r>
          </w:p>
        </w:tc>
        <w:tc>
          <w:tcPr>
            <w:tcW w:type="dxa" w:w="72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457</w:t>
            </w:r>
          </w:p>
        </w:tc>
        <w:tc>
          <w:tcPr>
            <w:tcW w:type="dxa" w:w="52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28</w:t>
            </w:r>
          </w:p>
        </w:tc>
        <w:tc>
          <w:tcPr>
            <w:tcW w:type="dxa" w:w="52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23</w:t>
            </w:r>
          </w:p>
        </w:tc>
        <w:tc>
          <w:tcPr>
            <w:tcW w:type="dxa" w:w="832"/>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21/22</w:t>
            </w:r>
          </w:p>
        </w:tc>
      </w:tr>
      <w:tr>
        <w:trPr>
          <w:cantSplit/>
          <w:tblHeader w:val="false"/>
        </w:trPr>
        <w:tc>
          <w:tcPr>
            <w:tcW w:type="dxa" w:w="15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Reconstruction, GSE56500 all ALS</w:t>
            </w:r>
          </w:p>
        </w:tc>
        <w:tc>
          <w:tcPr>
            <w:tcW w:type="dxa" w:w="1352"/>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As locked</w:t>
            </w:r>
          </w:p>
        </w:tc>
        <w:tc>
          <w:tcPr>
            <w:tcW w:type="dxa" w:w="11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Motor neurons</w:t>
            </w:r>
          </w:p>
        </w:tc>
        <w:tc>
          <w:tcPr>
            <w:tcW w:type="dxa" w:w="93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All ALS, 6 v 6</w:t>
            </w:r>
          </w:p>
        </w:tc>
        <w:tc>
          <w:tcPr>
            <w:tcW w:type="dxa" w:w="93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Smallest-P</w:t>
            </w:r>
          </w:p>
        </w:tc>
        <w:tc>
          <w:tcPr>
            <w:tcW w:type="dxa" w:w="832"/>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Array</w:t>
            </w:r>
          </w:p>
        </w:tc>
        <w:tc>
          <w:tcPr>
            <w:tcW w:type="dxa" w:w="72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457</w:t>
            </w:r>
          </w:p>
        </w:tc>
        <w:tc>
          <w:tcPr>
            <w:tcW w:type="dxa" w:w="52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35</w:t>
            </w:r>
          </w:p>
        </w:tc>
        <w:tc>
          <w:tcPr>
            <w:tcW w:type="dxa" w:w="52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27</w:t>
            </w:r>
          </w:p>
        </w:tc>
        <w:tc>
          <w:tcPr>
            <w:tcW w:type="dxa" w:w="832"/>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r>
      <w:tr>
        <w:trPr>
          <w:cantSplit/>
          <w:tblHeader w:val="false"/>
        </w:trPr>
        <w:tc>
          <w:tcPr>
            <w:tcW w:type="dxa" w:w="15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Reconstruction, GSE18920 as downloaded</w:t>
            </w:r>
          </w:p>
        </w:tc>
        <w:tc>
          <w:tcPr>
            <w:tcW w:type="dxa" w:w="1352"/>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As locked</w:t>
            </w:r>
          </w:p>
        </w:tc>
        <w:tc>
          <w:tcPr>
            <w:tcW w:type="dxa" w:w="11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Both compartments</w:t>
            </w:r>
          </w:p>
        </w:tc>
        <w:tc>
          <w:tcPr>
            <w:tcW w:type="dxa" w:w="93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All ALS</w:t>
            </w:r>
          </w:p>
        </w:tc>
        <w:tc>
          <w:tcPr>
            <w:tcW w:type="dxa" w:w="93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Smallest-P</w:t>
            </w:r>
          </w:p>
        </w:tc>
        <w:tc>
          <w:tcPr>
            <w:tcW w:type="dxa" w:w="832"/>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Array</w:t>
            </w:r>
          </w:p>
        </w:tc>
        <w:tc>
          <w:tcPr>
            <w:tcW w:type="dxa" w:w="72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457</w:t>
            </w:r>
          </w:p>
        </w:tc>
        <w:tc>
          <w:tcPr>
            <w:tcW w:type="dxa" w:w="52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42</w:t>
            </w:r>
          </w:p>
        </w:tc>
        <w:tc>
          <w:tcPr>
            <w:tcW w:type="dxa" w:w="52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30</w:t>
            </w:r>
          </w:p>
        </w:tc>
        <w:tc>
          <w:tcPr>
            <w:tcW w:type="dxa" w:w="832"/>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r>
      <w:tr>
        <w:trPr>
          <w:cantSplit/>
          <w:tblHeader w:val="false"/>
        </w:trPr>
        <w:tc>
          <w:tcPr>
            <w:tcW w:type="dxa" w:w="15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Corrected, exon best probe</w:t>
            </w:r>
          </w:p>
        </w:tc>
        <w:tc>
          <w:tcPr>
            <w:tcW w:type="dxa" w:w="1352"/>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Spinal cord, donor-level</w:t>
            </w:r>
          </w:p>
        </w:tc>
        <w:tc>
          <w:tcPr>
            <w:tcW w:type="dxa" w:w="11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Motor neurons</w:t>
            </w:r>
          </w:p>
        </w:tc>
        <w:tc>
          <w:tcPr>
            <w:tcW w:type="dxa" w:w="93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All ALS</w:t>
            </w:r>
          </w:p>
        </w:tc>
        <w:tc>
          <w:tcPr>
            <w:tcW w:type="dxa" w:w="93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Smallest-P</w:t>
            </w:r>
          </w:p>
        </w:tc>
        <w:tc>
          <w:tcPr>
            <w:tcW w:type="dxa" w:w="832"/>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Donor (9 v 7)</w:t>
            </w:r>
          </w:p>
        </w:tc>
        <w:tc>
          <w:tcPr>
            <w:tcW w:type="dxa" w:w="72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457</w:t>
            </w:r>
          </w:p>
        </w:tc>
        <w:tc>
          <w:tcPr>
            <w:tcW w:type="dxa" w:w="52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44</w:t>
            </w:r>
          </w:p>
        </w:tc>
        <w:tc>
          <w:tcPr>
            <w:tcW w:type="dxa" w:w="52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37</w:t>
            </w:r>
          </w:p>
        </w:tc>
        <w:tc>
          <w:tcPr>
            <w:tcW w:type="dxa" w:w="832"/>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17/22</w:t>
            </w:r>
          </w:p>
        </w:tc>
      </w:tr>
      <w:tr>
        <w:trPr>
          <w:cantSplit/>
          <w:tblHeader w:val="false"/>
        </w:trPr>
        <w:tc>
          <w:tcPr>
            <w:tcW w:type="dxa" w:w="15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Primary (this paper)</w:t>
            </w:r>
          </w:p>
        </w:tc>
        <w:tc>
          <w:tcPr>
            <w:tcW w:type="dxa" w:w="1352"/>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Spinal cord, donor-level</w:t>
            </w:r>
          </w:p>
        </w:tc>
        <w:tc>
          <w:tcPr>
            <w:tcW w:type="dxa" w:w="11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Motor neurons</w:t>
            </w:r>
          </w:p>
        </w:tc>
        <w:tc>
          <w:tcPr>
            <w:tcW w:type="dxa" w:w="93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All ALS</w:t>
            </w:r>
          </w:p>
        </w:tc>
        <w:tc>
          <w:tcPr>
            <w:tcW w:type="dxa" w:w="93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Transcript-cluster mean</w:t>
            </w:r>
          </w:p>
        </w:tc>
        <w:tc>
          <w:tcPr>
            <w:tcW w:type="dxa" w:w="832"/>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Donor (9 v 7)</w:t>
            </w:r>
          </w:p>
        </w:tc>
        <w:tc>
          <w:tcPr>
            <w:tcW w:type="dxa" w:w="72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449</w:t>
            </w:r>
          </w:p>
        </w:tc>
        <w:tc>
          <w:tcPr>
            <w:tcW w:type="dxa" w:w="52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33</w:t>
            </w:r>
          </w:p>
        </w:tc>
        <w:tc>
          <w:tcPr>
            <w:tcW w:type="dxa" w:w="52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28</w:t>
            </w:r>
          </w:p>
        </w:tc>
        <w:tc>
          <w:tcPr>
            <w:tcW w:type="dxa" w:w="832"/>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14/22</w:t>
            </w:r>
          </w:p>
        </w:tc>
      </w:tr>
    </w:tbl>
    <w:p>
      <w:pPr>
        <w:spacing w:after="200" w:line="276"/>
        <w:jc w:val="left"/>
      </w:pPr>
      <w:r>
        <w:rPr>
          <w:rFonts w:ascii="Times New Roman" w:cs="Times New Roman" w:eastAsia="Times New Roman" w:hAnsi="Times New Roman"/>
          <w:sz w:val="20"/>
          <w:szCs w:val="20"/>
        </w:rPr>
        <w:t xml:space="preserve">*The GPL5188 inputs of the earlier analysis are not documented. A 5 July working file lists both exon-array cohorts as unmappable; the 6 July workbook includes them. The reconstruction rows show the best-fitting combinations: the closest (GSE56500 C9ORF72-only with GSE18920 motor neurons) reproduces 30 earlier pooled estimates exactly, with a median absolute difference of 0.014 log</w:t>
      </w:r>
      <w:r>
        <w:rPr>
          <w:rFonts w:ascii="Times New Roman" w:cs="Times New Roman" w:eastAsia="Times New Roman" w:hAnsi="Times New Roman"/>
          <w:sz w:val="20"/>
          <w:szCs w:val="20"/>
          <w:vertAlign w:val="subscript"/>
        </w:rPr>
        <w:t xml:space="preserve">2</w:t>
      </w:r>
      <w:r>
        <w:rPr>
          <w:rFonts w:ascii="Times New Roman" w:cs="Times New Roman" w:eastAsia="Times New Roman" w:hAnsi="Times New Roman"/>
          <w:sz w:val="20"/>
          <w:szCs w:val="20"/>
        </w:rPr>
        <w:t xml:space="preserve"> units among genes measured in the same cohorts. Genes not involving the exon arrays reproduce exactly (22 of 24).</w:t>
      </w:r>
    </w:p>
    <w:p>
      <w:pPr>
        <w:keepNext/>
        <w:spacing w:after="80" w:before="200" w:line="276"/>
      </w:pPr>
      <w:r>
        <w:rPr>
          <w:rFonts w:ascii="Times New Roman" w:cs="Times New Roman" w:eastAsia="Times New Roman" w:hAnsi="Times New Roman"/>
          <w:b/>
          <w:bCs/>
          <w:sz w:val="22"/>
          <w:szCs w:val="22"/>
        </w:rPr>
        <w:t xml:space="preserve">Table S2. Per-cohort global shift and probe multiplicity (primary inputs, all genes).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41"/>
        <w:gridCol w:w="1306"/>
        <w:gridCol w:w="1523"/>
        <w:gridCol w:w="1306"/>
        <w:gridCol w:w="1741"/>
        <w:gridCol w:w="1743"/>
      </w:tblGrid>
      <w:tr>
        <w:trPr>
          <w:cantSplit/>
          <w:tblHeader/>
        </w:trPr>
        <w:tc>
          <w:tcPr>
            <w:tcW w:type="dxa" w:w="1741"/>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8"/>
                <w:szCs w:val="18"/>
              </w:rPr>
              <w:t xml:space="preserve">Cohort</w:t>
            </w:r>
          </w:p>
        </w:tc>
        <w:tc>
          <w:tcPr>
            <w:tcW w:type="dxa" w:w="1306"/>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8"/>
                <w:szCs w:val="18"/>
              </w:rPr>
              <w:t xml:space="preserve">Genes</w:t>
            </w:r>
          </w:p>
        </w:tc>
        <w:tc>
          <w:tcPr>
            <w:tcW w:type="dxa" w:w="1523"/>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8"/>
                <w:szCs w:val="18"/>
              </w:rPr>
              <w:t xml:space="preserve">Median log</w:t>
            </w:r>
            <w:r>
              <w:rPr>
                <w:rFonts w:ascii="Times New Roman" w:cs="Times New Roman" w:eastAsia="Times New Roman" w:hAnsi="Times New Roman"/>
                <w:b/>
                <w:bCs/>
                <w:sz w:val="18"/>
                <w:szCs w:val="18"/>
                <w:vertAlign w:val="subscript"/>
              </w:rPr>
              <w:t xml:space="preserve">2</w:t>
            </w:r>
            <w:r>
              <w:rPr>
                <w:rFonts w:ascii="Times New Roman" w:cs="Times New Roman" w:eastAsia="Times New Roman" w:hAnsi="Times New Roman"/>
                <w:b/>
                <w:bCs/>
                <w:sz w:val="18"/>
                <w:szCs w:val="18"/>
              </w:rPr>
              <w:t xml:space="preserve">FC</w:t>
            </w:r>
          </w:p>
        </w:tc>
        <w:tc>
          <w:tcPr>
            <w:tcW w:type="dxa" w:w="1306"/>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8"/>
                <w:szCs w:val="18"/>
              </w:rPr>
              <w:t xml:space="preserve">% negative</w:t>
            </w:r>
          </w:p>
        </w:tc>
        <w:tc>
          <w:tcPr>
            <w:tcW w:type="dxa" w:w="1741"/>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8"/>
                <w:szCs w:val="18"/>
              </w:rPr>
              <w:t xml:space="preserve">% nominal P &lt; 0.05</w:t>
            </w:r>
          </w:p>
        </w:tc>
        <w:tc>
          <w:tcPr>
            <w:tcW w:type="dxa" w:w="1743"/>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8"/>
                <w:szCs w:val="18"/>
              </w:rPr>
              <w:t xml:space="preserve">Probes per gene</w:t>
            </w:r>
          </w:p>
        </w:tc>
      </w:tr>
      <w:tr>
        <w:trPr>
          <w:cantSplit/>
          <w:tblHeader w:val="false"/>
        </w:trPr>
        <w:tc>
          <w:tcPr>
            <w:tcW w:type="dxa" w:w="174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GSE153960</w:t>
            </w:r>
          </w:p>
        </w:tc>
        <w:tc>
          <w:tcPr>
            <w:tcW w:type="dxa" w:w="130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25,653</w:t>
            </w:r>
          </w:p>
        </w:tc>
        <w:tc>
          <w:tcPr>
            <w:tcW w:type="dxa" w:w="152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-0.012</w:t>
            </w:r>
          </w:p>
        </w:tc>
        <w:tc>
          <w:tcPr>
            <w:tcW w:type="dxa" w:w="130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51.6</w:t>
            </w:r>
          </w:p>
        </w:tc>
        <w:tc>
          <w:tcPr>
            <w:tcW w:type="dxa" w:w="174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69.4</w:t>
            </w:r>
          </w:p>
        </w:tc>
        <w:tc>
          <w:tcPr>
            <w:tcW w:type="dxa" w:w="174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 (gene)</w:t>
            </w:r>
          </w:p>
        </w:tc>
      </w:tr>
      <w:tr>
        <w:trPr>
          <w:cantSplit/>
          <w:tblHeader w:val="false"/>
        </w:trPr>
        <w:tc>
          <w:tcPr>
            <w:tcW w:type="dxa" w:w="174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GSE26927</w:t>
            </w:r>
          </w:p>
        </w:tc>
        <w:tc>
          <w:tcPr>
            <w:tcW w:type="dxa" w:w="130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16,039</w:t>
            </w:r>
          </w:p>
        </w:tc>
        <w:tc>
          <w:tcPr>
            <w:tcW w:type="dxa" w:w="152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-0.006</w:t>
            </w:r>
          </w:p>
        </w:tc>
        <w:tc>
          <w:tcPr>
            <w:tcW w:type="dxa" w:w="130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51.1</w:t>
            </w:r>
          </w:p>
        </w:tc>
        <w:tc>
          <w:tcPr>
            <w:tcW w:type="dxa" w:w="174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10.7</w:t>
            </w:r>
          </w:p>
        </w:tc>
        <w:tc>
          <w:tcPr>
            <w:tcW w:type="dxa" w:w="174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w:t>
            </w:r>
          </w:p>
        </w:tc>
      </w:tr>
      <w:tr>
        <w:trPr>
          <w:cantSplit/>
          <w:tblHeader w:val="false"/>
        </w:trPr>
        <w:tc>
          <w:tcPr>
            <w:tcW w:type="dxa" w:w="174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GSE76220</w:t>
            </w:r>
          </w:p>
        </w:tc>
        <w:tc>
          <w:tcPr>
            <w:tcW w:type="dxa" w:w="130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14,651</w:t>
            </w:r>
          </w:p>
        </w:tc>
        <w:tc>
          <w:tcPr>
            <w:tcW w:type="dxa" w:w="152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+0.031</w:t>
            </w:r>
          </w:p>
        </w:tc>
        <w:tc>
          <w:tcPr>
            <w:tcW w:type="dxa" w:w="130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47.5</w:t>
            </w:r>
          </w:p>
        </w:tc>
        <w:tc>
          <w:tcPr>
            <w:tcW w:type="dxa" w:w="174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25.3</w:t>
            </w:r>
          </w:p>
        </w:tc>
        <w:tc>
          <w:tcPr>
            <w:tcW w:type="dxa" w:w="174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 (gene)</w:t>
            </w:r>
          </w:p>
        </w:tc>
      </w:tr>
      <w:tr>
        <w:trPr>
          <w:cantSplit/>
          <w:tblHeader w:val="false"/>
        </w:trPr>
        <w:tc>
          <w:tcPr>
            <w:tcW w:type="dxa" w:w="174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GSE19332</w:t>
            </w:r>
          </w:p>
        </w:tc>
        <w:tc>
          <w:tcPr>
            <w:tcW w:type="dxa" w:w="130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21,755</w:t>
            </w:r>
          </w:p>
        </w:tc>
        <w:tc>
          <w:tcPr>
            <w:tcW w:type="dxa" w:w="152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+0.332</w:t>
            </w:r>
          </w:p>
        </w:tc>
        <w:tc>
          <w:tcPr>
            <w:tcW w:type="dxa" w:w="130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42.1</w:t>
            </w:r>
          </w:p>
        </w:tc>
        <w:tc>
          <w:tcPr>
            <w:tcW w:type="dxa" w:w="174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15.0</w:t>
            </w:r>
          </w:p>
        </w:tc>
        <w:tc>
          <w:tcPr>
            <w:tcW w:type="dxa" w:w="174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2</w:t>
            </w:r>
          </w:p>
        </w:tc>
      </w:tr>
      <w:tr>
        <w:trPr>
          <w:cantSplit/>
          <w:tblHeader w:val="false"/>
        </w:trPr>
        <w:tc>
          <w:tcPr>
            <w:tcW w:type="dxa" w:w="174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GSE68605</w:t>
            </w:r>
          </w:p>
        </w:tc>
        <w:tc>
          <w:tcPr>
            <w:tcW w:type="dxa" w:w="130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21,755</w:t>
            </w:r>
          </w:p>
        </w:tc>
        <w:tc>
          <w:tcPr>
            <w:tcW w:type="dxa" w:w="152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-0.206</w:t>
            </w:r>
          </w:p>
        </w:tc>
        <w:tc>
          <w:tcPr>
            <w:tcW w:type="dxa" w:w="130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57.6</w:t>
            </w:r>
          </w:p>
        </w:tc>
        <w:tc>
          <w:tcPr>
            <w:tcW w:type="dxa" w:w="174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11.1</w:t>
            </w:r>
          </w:p>
        </w:tc>
        <w:tc>
          <w:tcPr>
            <w:tcW w:type="dxa" w:w="174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2</w:t>
            </w:r>
          </w:p>
        </w:tc>
      </w:tr>
      <w:tr>
        <w:trPr>
          <w:cantSplit/>
          <w:tblHeader w:val="false"/>
        </w:trPr>
        <w:tc>
          <w:tcPr>
            <w:tcW w:type="dxa" w:w="174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GSE56500</w:t>
            </w:r>
          </w:p>
        </w:tc>
        <w:tc>
          <w:tcPr>
            <w:tcW w:type="dxa" w:w="130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17,366</w:t>
            </w:r>
          </w:p>
        </w:tc>
        <w:tc>
          <w:tcPr>
            <w:tcW w:type="dxa" w:w="152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+0.049</w:t>
            </w:r>
          </w:p>
        </w:tc>
        <w:tc>
          <w:tcPr>
            <w:tcW w:type="dxa" w:w="130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40.5</w:t>
            </w:r>
          </w:p>
        </w:tc>
        <w:tc>
          <w:tcPr>
            <w:tcW w:type="dxa" w:w="174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19.9</w:t>
            </w:r>
          </w:p>
        </w:tc>
        <w:tc>
          <w:tcPr>
            <w:tcW w:type="dxa" w:w="174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10 (averaged)</w:t>
            </w:r>
          </w:p>
        </w:tc>
      </w:tr>
      <w:tr>
        <w:trPr>
          <w:cantSplit/>
          <w:tblHeader w:val="false"/>
        </w:trPr>
        <w:tc>
          <w:tcPr>
            <w:tcW w:type="dxa" w:w="174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GSE18920</w:t>
            </w:r>
          </w:p>
        </w:tc>
        <w:tc>
          <w:tcPr>
            <w:tcW w:type="dxa" w:w="130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17,346</w:t>
            </w:r>
          </w:p>
        </w:tc>
        <w:tc>
          <w:tcPr>
            <w:tcW w:type="dxa" w:w="152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-0.094</w:t>
            </w:r>
          </w:p>
        </w:tc>
        <w:tc>
          <w:tcPr>
            <w:tcW w:type="dxa" w:w="130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64.1</w:t>
            </w:r>
          </w:p>
        </w:tc>
        <w:tc>
          <w:tcPr>
            <w:tcW w:type="dxa" w:w="174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20.2</w:t>
            </w:r>
          </w:p>
        </w:tc>
        <w:tc>
          <w:tcPr>
            <w:tcW w:type="dxa" w:w="174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10 (averaged)</w:t>
            </w:r>
          </w:p>
        </w:tc>
      </w:tr>
    </w:tbl>
    <w:p>
      <w:pPr>
        <w:spacing w:after="200" w:line="276"/>
        <w:jc w:val="left"/>
      </w:pPr>
      <w:r>
        <w:rPr>
          <w:rFonts w:ascii="Times New Roman" w:cs="Times New Roman" w:eastAsia="Times New Roman" w:hAnsi="Times New Roman"/>
          <w:sz w:val="20"/>
          <w:szCs w:val="20"/>
        </w:rPr>
        <w:t xml:space="preserve">Median log</w:t>
      </w:r>
      <w:r>
        <w:rPr>
          <w:rFonts w:ascii="Times New Roman" w:cs="Times New Roman" w:eastAsia="Times New Roman" w:hAnsi="Times New Roman"/>
          <w:sz w:val="20"/>
          <w:szCs w:val="20"/>
          <w:vertAlign w:val="subscript"/>
        </w:rPr>
        <w:t xml:space="preserve">2</w:t>
      </w:r>
      <w:r>
        <w:rPr>
          <w:rFonts w:ascii="Times New Roman" w:cs="Times New Roman" w:eastAsia="Times New Roman" w:hAnsi="Times New Roman"/>
          <w:sz w:val="20"/>
          <w:szCs w:val="20"/>
        </w:rPr>
        <w:t xml:space="preserve">FC far from zero indicates a whole-array offset between groups. On GPL5188, choosing the smallest-P of ~10 probesets per gene gave 58% of genes nominally significant, against 12–14% of individual probesets; the primary analysis averages probesets per transcript cluster.</w:t>
      </w:r>
    </w:p>
    <w:p>
      <w:pPr>
        <w:keepNext/>
        <w:spacing w:after="80" w:before="200" w:line="276"/>
      </w:pPr>
      <w:r>
        <w:rPr>
          <w:rFonts w:ascii="Times New Roman" w:cs="Times New Roman" w:eastAsia="Times New Roman" w:hAnsi="Times New Roman"/>
          <w:b/>
          <w:bCs/>
          <w:sz w:val="22"/>
          <w:szCs w:val="22"/>
        </w:rPr>
        <w:t xml:space="preserve">Table S3. Direction and significance of each primary high-confidence gene in each cohort.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70"/>
        <w:gridCol w:w="744"/>
        <w:gridCol w:w="638"/>
        <w:gridCol w:w="1063"/>
        <w:gridCol w:w="957"/>
        <w:gridCol w:w="957"/>
        <w:gridCol w:w="957"/>
        <w:gridCol w:w="957"/>
        <w:gridCol w:w="957"/>
        <w:gridCol w:w="960"/>
      </w:tblGrid>
      <w:tr>
        <w:trPr>
          <w:cantSplit/>
          <w:tblHeader/>
        </w:trPr>
        <w:tc>
          <w:tcPr>
            <w:tcW w:type="dxa" w:w="1170"/>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6"/>
                <w:szCs w:val="16"/>
              </w:rPr>
              <w:t xml:space="preserve">Gene</w:t>
            </w:r>
          </w:p>
        </w:tc>
        <w:tc>
          <w:tcPr>
            <w:tcW w:type="dxa" w:w="744"/>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6"/>
                <w:szCs w:val="16"/>
              </w:rPr>
              <w:t xml:space="preserve">Pooled</w:t>
            </w:r>
          </w:p>
        </w:tc>
        <w:tc>
          <w:tcPr>
            <w:tcW w:type="dxa" w:w="638"/>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6"/>
                <w:szCs w:val="16"/>
              </w:rPr>
              <w:t xml:space="preserve">Core</w:t>
            </w:r>
          </w:p>
        </w:tc>
        <w:tc>
          <w:tcPr>
            <w:tcW w:type="dxa" w:w="1063"/>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6"/>
                <w:szCs w:val="16"/>
              </w:rPr>
              <w:t xml:space="preserve">GSE153960</w:t>
            </w:r>
          </w:p>
        </w:tc>
        <w:tc>
          <w:tcPr>
            <w:tcW w:type="dxa" w:w="957"/>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6"/>
                <w:szCs w:val="16"/>
              </w:rPr>
              <w:t xml:space="preserve">GSE26927</w:t>
            </w:r>
          </w:p>
        </w:tc>
        <w:tc>
          <w:tcPr>
            <w:tcW w:type="dxa" w:w="957"/>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6"/>
                <w:szCs w:val="16"/>
              </w:rPr>
              <w:t xml:space="preserve">GSE76220</w:t>
            </w:r>
          </w:p>
        </w:tc>
        <w:tc>
          <w:tcPr>
            <w:tcW w:type="dxa" w:w="957"/>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6"/>
                <w:szCs w:val="16"/>
              </w:rPr>
              <w:t xml:space="preserve">GSE19332</w:t>
            </w:r>
          </w:p>
        </w:tc>
        <w:tc>
          <w:tcPr>
            <w:tcW w:type="dxa" w:w="957"/>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6"/>
                <w:szCs w:val="16"/>
              </w:rPr>
              <w:t xml:space="preserve">GSE68605</w:t>
            </w:r>
          </w:p>
        </w:tc>
        <w:tc>
          <w:tcPr>
            <w:tcW w:type="dxa" w:w="957"/>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6"/>
                <w:szCs w:val="16"/>
              </w:rPr>
              <w:t xml:space="preserve">GSE56500</w:t>
            </w:r>
          </w:p>
        </w:tc>
        <w:tc>
          <w:tcPr>
            <w:tcW w:type="dxa" w:w="960"/>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6"/>
                <w:szCs w:val="16"/>
              </w:rPr>
              <w:t xml:space="preserve">GSE18920</w:t>
            </w:r>
          </w:p>
        </w:tc>
      </w:tr>
      <w:tr>
        <w:trPr>
          <w:cantSplit/>
          <w:tblHeader w:val="false"/>
        </w:trPr>
        <w:tc>
          <w:tcPr>
            <w:tcW w:type="dxa" w:w="11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SLC30A7</w:t>
            </w:r>
          </w:p>
        </w:tc>
        <w:tc>
          <w:tcPr>
            <w:tcW w:type="dxa" w:w="7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+0.32</w:t>
            </w:r>
          </w:p>
        </w:tc>
        <w:tc>
          <w:tcPr>
            <w:tcW w:type="dxa" w:w="6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yes</w:t>
            </w:r>
          </w:p>
        </w:tc>
        <w:tc>
          <w:tcPr>
            <w:tcW w:type="dxa" w:w="106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r>
      <w:tr>
        <w:trPr>
          <w:cantSplit/>
          <w:tblHeader w:val="false"/>
        </w:trPr>
        <w:tc>
          <w:tcPr>
            <w:tcW w:type="dxa" w:w="11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ABCA1</w:t>
            </w:r>
          </w:p>
        </w:tc>
        <w:tc>
          <w:tcPr>
            <w:tcW w:type="dxa" w:w="7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+0.88</w:t>
            </w:r>
          </w:p>
        </w:tc>
        <w:tc>
          <w:tcPr>
            <w:tcW w:type="dxa" w:w="6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yes</w:t>
            </w:r>
          </w:p>
        </w:tc>
        <w:tc>
          <w:tcPr>
            <w:tcW w:type="dxa" w:w="106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r>
      <w:tr>
        <w:trPr>
          <w:cantSplit/>
          <w:tblHeader w:val="false"/>
        </w:trPr>
        <w:tc>
          <w:tcPr>
            <w:tcW w:type="dxa" w:w="11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ABCC4</w:t>
            </w:r>
          </w:p>
        </w:tc>
        <w:tc>
          <w:tcPr>
            <w:tcW w:type="dxa" w:w="7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+0.29</w:t>
            </w:r>
          </w:p>
        </w:tc>
        <w:tc>
          <w:tcPr>
            <w:tcW w:type="dxa" w:w="6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p>
        </w:tc>
        <w:tc>
          <w:tcPr>
            <w:tcW w:type="dxa" w:w="106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r>
      <w:tr>
        <w:trPr>
          <w:cantSplit/>
          <w:tblHeader w:val="false"/>
        </w:trPr>
        <w:tc>
          <w:tcPr>
            <w:tcW w:type="dxa" w:w="11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AQP1</w:t>
            </w:r>
          </w:p>
        </w:tc>
        <w:tc>
          <w:tcPr>
            <w:tcW w:type="dxa" w:w="7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+1.36</w:t>
            </w:r>
          </w:p>
        </w:tc>
        <w:tc>
          <w:tcPr>
            <w:tcW w:type="dxa" w:w="6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yes</w:t>
            </w:r>
          </w:p>
        </w:tc>
        <w:tc>
          <w:tcPr>
            <w:tcW w:type="dxa" w:w="106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r>
      <w:tr>
        <w:trPr>
          <w:cantSplit/>
          <w:tblHeader w:val="false"/>
        </w:trPr>
        <w:tc>
          <w:tcPr>
            <w:tcW w:type="dxa" w:w="11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APOE</w:t>
            </w:r>
          </w:p>
        </w:tc>
        <w:tc>
          <w:tcPr>
            <w:tcW w:type="dxa" w:w="7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+1.30</w:t>
            </w:r>
          </w:p>
        </w:tc>
        <w:tc>
          <w:tcPr>
            <w:tcW w:type="dxa" w:w="6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yes</w:t>
            </w:r>
          </w:p>
        </w:tc>
        <w:tc>
          <w:tcPr>
            <w:tcW w:type="dxa" w:w="106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r>
      <w:tr>
        <w:trPr>
          <w:cantSplit/>
          <w:tblHeader w:val="false"/>
        </w:trPr>
        <w:tc>
          <w:tcPr>
            <w:tcW w:type="dxa" w:w="11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PINK1</w:t>
            </w:r>
          </w:p>
        </w:tc>
        <w:tc>
          <w:tcPr>
            <w:tcW w:type="dxa" w:w="7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-0.21</w:t>
            </w:r>
          </w:p>
        </w:tc>
        <w:tc>
          <w:tcPr>
            <w:tcW w:type="dxa" w:w="6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p>
        </w:tc>
        <w:tc>
          <w:tcPr>
            <w:tcW w:type="dxa" w:w="106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r>
      <w:tr>
        <w:trPr>
          <w:cantSplit/>
          <w:tblHeader w:val="false"/>
        </w:trPr>
        <w:tc>
          <w:tcPr>
            <w:tcW w:type="dxa" w:w="11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CYP4F11</w:t>
            </w:r>
          </w:p>
        </w:tc>
        <w:tc>
          <w:tcPr>
            <w:tcW w:type="dxa" w:w="7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+0.43</w:t>
            </w:r>
          </w:p>
        </w:tc>
        <w:tc>
          <w:tcPr>
            <w:tcW w:type="dxa" w:w="6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p>
        </w:tc>
        <w:tc>
          <w:tcPr>
            <w:tcW w:type="dxa" w:w="106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r>
      <w:tr>
        <w:trPr>
          <w:cantSplit/>
          <w:tblHeader w:val="false"/>
        </w:trPr>
        <w:tc>
          <w:tcPr>
            <w:tcW w:type="dxa" w:w="11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AQP4</w:t>
            </w:r>
          </w:p>
        </w:tc>
        <w:tc>
          <w:tcPr>
            <w:tcW w:type="dxa" w:w="7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+1.27</w:t>
            </w:r>
          </w:p>
        </w:tc>
        <w:tc>
          <w:tcPr>
            <w:tcW w:type="dxa" w:w="6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yes</w:t>
            </w:r>
          </w:p>
        </w:tc>
        <w:tc>
          <w:tcPr>
            <w:tcW w:type="dxa" w:w="106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r>
      <w:tr>
        <w:trPr>
          <w:cantSplit/>
          <w:tblHeader w:val="false"/>
        </w:trPr>
        <w:tc>
          <w:tcPr>
            <w:tcW w:type="dxa" w:w="11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HMOX1</w:t>
            </w:r>
          </w:p>
        </w:tc>
        <w:tc>
          <w:tcPr>
            <w:tcW w:type="dxa" w:w="7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+0.34</w:t>
            </w:r>
          </w:p>
        </w:tc>
        <w:tc>
          <w:tcPr>
            <w:tcW w:type="dxa" w:w="6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p>
        </w:tc>
        <w:tc>
          <w:tcPr>
            <w:tcW w:type="dxa" w:w="106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r>
      <w:tr>
        <w:trPr>
          <w:cantSplit/>
          <w:tblHeader w:val="false"/>
        </w:trPr>
        <w:tc>
          <w:tcPr>
            <w:tcW w:type="dxa" w:w="11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SLC7A11</w:t>
            </w:r>
          </w:p>
        </w:tc>
        <w:tc>
          <w:tcPr>
            <w:tcW w:type="dxa" w:w="7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+0.86</w:t>
            </w:r>
          </w:p>
        </w:tc>
        <w:tc>
          <w:tcPr>
            <w:tcW w:type="dxa" w:w="6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yes</w:t>
            </w:r>
          </w:p>
        </w:tc>
        <w:tc>
          <w:tcPr>
            <w:tcW w:type="dxa" w:w="106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r>
      <w:tr>
        <w:trPr>
          <w:cantSplit/>
          <w:tblHeader w:val="false"/>
        </w:trPr>
        <w:tc>
          <w:tcPr>
            <w:tcW w:type="dxa" w:w="11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SOD2</w:t>
            </w:r>
          </w:p>
        </w:tc>
        <w:tc>
          <w:tcPr>
            <w:tcW w:type="dxa" w:w="7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+0.54</w:t>
            </w:r>
          </w:p>
        </w:tc>
        <w:tc>
          <w:tcPr>
            <w:tcW w:type="dxa" w:w="6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p>
        </w:tc>
        <w:tc>
          <w:tcPr>
            <w:tcW w:type="dxa" w:w="106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r>
      <w:tr>
        <w:trPr>
          <w:cantSplit/>
          <w:tblHeader w:val="false"/>
        </w:trPr>
        <w:tc>
          <w:tcPr>
            <w:tcW w:type="dxa" w:w="11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SLC39A1</w:t>
            </w:r>
          </w:p>
        </w:tc>
        <w:tc>
          <w:tcPr>
            <w:tcW w:type="dxa" w:w="7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+0.27</w:t>
            </w:r>
          </w:p>
        </w:tc>
        <w:tc>
          <w:tcPr>
            <w:tcW w:type="dxa" w:w="6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p>
        </w:tc>
        <w:tc>
          <w:tcPr>
            <w:tcW w:type="dxa" w:w="106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r>
      <w:tr>
        <w:trPr>
          <w:cantSplit/>
          <w:tblHeader w:val="false"/>
        </w:trPr>
        <w:tc>
          <w:tcPr>
            <w:tcW w:type="dxa" w:w="11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IFI16</w:t>
            </w:r>
          </w:p>
        </w:tc>
        <w:tc>
          <w:tcPr>
            <w:tcW w:type="dxa" w:w="7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+0.97</w:t>
            </w:r>
          </w:p>
        </w:tc>
        <w:tc>
          <w:tcPr>
            <w:tcW w:type="dxa" w:w="6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p>
        </w:tc>
        <w:tc>
          <w:tcPr>
            <w:tcW w:type="dxa" w:w="106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r>
      <w:tr>
        <w:trPr>
          <w:cantSplit/>
          <w:tblHeader w:val="false"/>
        </w:trPr>
        <w:tc>
          <w:tcPr>
            <w:tcW w:type="dxa" w:w="11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SP1</w:t>
            </w:r>
          </w:p>
        </w:tc>
        <w:tc>
          <w:tcPr>
            <w:tcW w:type="dxa" w:w="7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+0.53</w:t>
            </w:r>
          </w:p>
        </w:tc>
        <w:tc>
          <w:tcPr>
            <w:tcW w:type="dxa" w:w="6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yes</w:t>
            </w:r>
          </w:p>
        </w:tc>
        <w:tc>
          <w:tcPr>
            <w:tcW w:type="dxa" w:w="106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r>
      <w:tr>
        <w:trPr>
          <w:cantSplit/>
          <w:tblHeader w:val="false"/>
        </w:trPr>
        <w:tc>
          <w:tcPr>
            <w:tcW w:type="dxa" w:w="11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SLC39A14</w:t>
            </w:r>
          </w:p>
        </w:tc>
        <w:tc>
          <w:tcPr>
            <w:tcW w:type="dxa" w:w="7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+0.50</w:t>
            </w:r>
          </w:p>
        </w:tc>
        <w:tc>
          <w:tcPr>
            <w:tcW w:type="dxa" w:w="6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p>
        </w:tc>
        <w:tc>
          <w:tcPr>
            <w:tcW w:type="dxa" w:w="106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r>
      <w:tr>
        <w:trPr>
          <w:cantSplit/>
          <w:tblHeader w:val="false"/>
        </w:trPr>
        <w:tc>
          <w:tcPr>
            <w:tcW w:type="dxa" w:w="11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HMOX2</w:t>
            </w:r>
          </w:p>
        </w:tc>
        <w:tc>
          <w:tcPr>
            <w:tcW w:type="dxa" w:w="7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-0.29</w:t>
            </w:r>
          </w:p>
        </w:tc>
        <w:tc>
          <w:tcPr>
            <w:tcW w:type="dxa" w:w="6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p>
        </w:tc>
        <w:tc>
          <w:tcPr>
            <w:tcW w:type="dxa" w:w="106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r>
      <w:tr>
        <w:trPr>
          <w:cantSplit/>
          <w:tblHeader w:val="false"/>
        </w:trPr>
        <w:tc>
          <w:tcPr>
            <w:tcW w:type="dxa" w:w="11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SLC40A1</w:t>
            </w:r>
          </w:p>
        </w:tc>
        <w:tc>
          <w:tcPr>
            <w:tcW w:type="dxa" w:w="7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+0.75</w:t>
            </w:r>
          </w:p>
        </w:tc>
        <w:tc>
          <w:tcPr>
            <w:tcW w:type="dxa" w:w="6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yes</w:t>
            </w:r>
          </w:p>
        </w:tc>
        <w:tc>
          <w:tcPr>
            <w:tcW w:type="dxa" w:w="106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r>
      <w:tr>
        <w:trPr>
          <w:cantSplit/>
          <w:tblHeader w:val="false"/>
        </w:trPr>
        <w:tc>
          <w:tcPr>
            <w:tcW w:type="dxa" w:w="11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BACH1</w:t>
            </w:r>
          </w:p>
        </w:tc>
        <w:tc>
          <w:tcPr>
            <w:tcW w:type="dxa" w:w="7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+0.23</w:t>
            </w:r>
          </w:p>
        </w:tc>
        <w:tc>
          <w:tcPr>
            <w:tcW w:type="dxa" w:w="6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p>
        </w:tc>
        <w:tc>
          <w:tcPr>
            <w:tcW w:type="dxa" w:w="106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r>
      <w:tr>
        <w:trPr>
          <w:cantSplit/>
          <w:tblHeader w:val="false"/>
        </w:trPr>
        <w:tc>
          <w:tcPr>
            <w:tcW w:type="dxa" w:w="11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ATP1B2</w:t>
            </w:r>
          </w:p>
        </w:tc>
        <w:tc>
          <w:tcPr>
            <w:tcW w:type="dxa" w:w="7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+0.75</w:t>
            </w:r>
          </w:p>
        </w:tc>
        <w:tc>
          <w:tcPr>
            <w:tcW w:type="dxa" w:w="6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p>
        </w:tc>
        <w:tc>
          <w:tcPr>
            <w:tcW w:type="dxa" w:w="106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r>
      <w:tr>
        <w:trPr>
          <w:cantSplit/>
          <w:tblHeader w:val="false"/>
        </w:trPr>
        <w:tc>
          <w:tcPr>
            <w:tcW w:type="dxa" w:w="11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GSTCD</w:t>
            </w:r>
          </w:p>
        </w:tc>
        <w:tc>
          <w:tcPr>
            <w:tcW w:type="dxa" w:w="7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+0.36</w:t>
            </w:r>
          </w:p>
        </w:tc>
        <w:tc>
          <w:tcPr>
            <w:tcW w:type="dxa" w:w="6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p>
        </w:tc>
        <w:tc>
          <w:tcPr>
            <w:tcW w:type="dxa" w:w="106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r>
      <w:tr>
        <w:trPr>
          <w:cantSplit/>
          <w:tblHeader w:val="false"/>
        </w:trPr>
        <w:tc>
          <w:tcPr>
            <w:tcW w:type="dxa" w:w="11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SIRT1</w:t>
            </w:r>
          </w:p>
        </w:tc>
        <w:tc>
          <w:tcPr>
            <w:tcW w:type="dxa" w:w="7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+0.28</w:t>
            </w:r>
          </w:p>
        </w:tc>
        <w:tc>
          <w:tcPr>
            <w:tcW w:type="dxa" w:w="6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p>
        </w:tc>
        <w:tc>
          <w:tcPr>
            <w:tcW w:type="dxa" w:w="106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r>
      <w:tr>
        <w:trPr>
          <w:cantSplit/>
          <w:tblHeader w:val="false"/>
        </w:trPr>
        <w:tc>
          <w:tcPr>
            <w:tcW w:type="dxa" w:w="11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CP</w:t>
            </w:r>
          </w:p>
        </w:tc>
        <w:tc>
          <w:tcPr>
            <w:tcW w:type="dxa" w:w="7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+1.00</w:t>
            </w:r>
          </w:p>
        </w:tc>
        <w:tc>
          <w:tcPr>
            <w:tcW w:type="dxa" w:w="6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p>
        </w:tc>
        <w:tc>
          <w:tcPr>
            <w:tcW w:type="dxa" w:w="106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r>
      <w:tr>
        <w:trPr>
          <w:cantSplit/>
          <w:tblHeader w:val="false"/>
        </w:trPr>
        <w:tc>
          <w:tcPr>
            <w:tcW w:type="dxa" w:w="11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LRP1</w:t>
            </w:r>
          </w:p>
        </w:tc>
        <w:tc>
          <w:tcPr>
            <w:tcW w:type="dxa" w:w="7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+0.40</w:t>
            </w:r>
          </w:p>
        </w:tc>
        <w:tc>
          <w:tcPr>
            <w:tcW w:type="dxa" w:w="6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p>
        </w:tc>
        <w:tc>
          <w:tcPr>
            <w:tcW w:type="dxa" w:w="106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r>
      <w:tr>
        <w:trPr>
          <w:cantSplit/>
          <w:tblHeader w:val="false"/>
        </w:trPr>
        <w:tc>
          <w:tcPr>
            <w:tcW w:type="dxa" w:w="11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FTL</w:t>
            </w:r>
          </w:p>
        </w:tc>
        <w:tc>
          <w:tcPr>
            <w:tcW w:type="dxa" w:w="7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+0.66</w:t>
            </w:r>
          </w:p>
        </w:tc>
        <w:tc>
          <w:tcPr>
            <w:tcW w:type="dxa" w:w="6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p>
        </w:tc>
        <w:tc>
          <w:tcPr>
            <w:tcW w:type="dxa" w:w="106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r>
      <w:tr>
        <w:trPr>
          <w:cantSplit/>
          <w:tblHeader w:val="false"/>
        </w:trPr>
        <w:tc>
          <w:tcPr>
            <w:tcW w:type="dxa" w:w="11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CYP7B1</w:t>
            </w:r>
          </w:p>
        </w:tc>
        <w:tc>
          <w:tcPr>
            <w:tcW w:type="dxa" w:w="7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+0.38</w:t>
            </w:r>
          </w:p>
        </w:tc>
        <w:tc>
          <w:tcPr>
            <w:tcW w:type="dxa" w:w="6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p>
        </w:tc>
        <w:tc>
          <w:tcPr>
            <w:tcW w:type="dxa" w:w="106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r>
      <w:tr>
        <w:trPr>
          <w:cantSplit/>
          <w:tblHeader w:val="false"/>
        </w:trPr>
        <w:tc>
          <w:tcPr>
            <w:tcW w:type="dxa" w:w="11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NQO1</w:t>
            </w:r>
          </w:p>
        </w:tc>
        <w:tc>
          <w:tcPr>
            <w:tcW w:type="dxa" w:w="7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+0.52</w:t>
            </w:r>
          </w:p>
        </w:tc>
        <w:tc>
          <w:tcPr>
            <w:tcW w:type="dxa" w:w="6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p>
        </w:tc>
        <w:tc>
          <w:tcPr>
            <w:tcW w:type="dxa" w:w="106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r>
      <w:tr>
        <w:trPr>
          <w:cantSplit/>
          <w:tblHeader w:val="false"/>
        </w:trPr>
        <w:tc>
          <w:tcPr>
            <w:tcW w:type="dxa" w:w="11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CYP1B1</w:t>
            </w:r>
          </w:p>
        </w:tc>
        <w:tc>
          <w:tcPr>
            <w:tcW w:type="dxa" w:w="7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+0.73</w:t>
            </w:r>
          </w:p>
        </w:tc>
        <w:tc>
          <w:tcPr>
            <w:tcW w:type="dxa" w:w="6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p>
        </w:tc>
        <w:tc>
          <w:tcPr>
            <w:tcW w:type="dxa" w:w="106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r>
      <w:tr>
        <w:trPr>
          <w:cantSplit/>
          <w:tblHeader w:val="false"/>
        </w:trPr>
        <w:tc>
          <w:tcPr>
            <w:tcW w:type="dxa" w:w="11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CYP51A1</w:t>
            </w:r>
          </w:p>
        </w:tc>
        <w:tc>
          <w:tcPr>
            <w:tcW w:type="dxa" w:w="74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-0.38</w:t>
            </w:r>
          </w:p>
        </w:tc>
        <w:tc>
          <w:tcPr>
            <w:tcW w:type="dxa" w:w="6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p>
        </w:tc>
        <w:tc>
          <w:tcPr>
            <w:tcW w:type="dxa" w:w="1063"/>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FDR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c>
          <w:tcPr>
            <w:tcW w:type="dxa" w:w="95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nom ↓</w:t>
            </w:r>
          </w:p>
        </w:tc>
        <w:tc>
          <w:tcPr>
            <w:tcW w:type="dxa" w:w="96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w:t>
            </w:r>
          </w:p>
        </w:tc>
      </w:tr>
    </w:tbl>
    <w:p>
      <w:pPr>
        <w:spacing w:after="200" w:line="276"/>
        <w:jc w:val="left"/>
      </w:pPr>
      <w:r>
        <w:rPr>
          <w:rFonts w:ascii="Times New Roman" w:cs="Times New Roman" w:eastAsia="Times New Roman" w:hAnsi="Times New Roman"/>
          <w:sz w:val="20"/>
          <w:szCs w:val="20"/>
        </w:rPr>
        <w:t xml:space="preserve">FDR = within-cohort BH-FDR &lt; 0.05 across all genes in that cohort; nom = nominal P &lt; 0.05; arrow alone = direction without nominal significance; — = not measured.</w:t>
      </w:r>
    </w:p>
    <w:p>
      <w:pPr>
        <w:keepNext/>
        <w:spacing w:after="80" w:before="200" w:line="276"/>
      </w:pPr>
      <w:r>
        <w:rPr>
          <w:rFonts w:ascii="Times New Roman" w:cs="Times New Roman" w:eastAsia="Times New Roman" w:hAnsi="Times New Roman"/>
          <w:b/>
          <w:bCs/>
          <w:sz w:val="22"/>
          <w:szCs w:val="22"/>
        </w:rPr>
        <w:t xml:space="preserve">Table S4. Compartment subgroup pools (defined after the results were seen).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94"/>
        <w:gridCol w:w="3186"/>
        <w:gridCol w:w="3186"/>
        <w:gridCol w:w="1694"/>
      </w:tblGrid>
      <w:tr>
        <w:trPr>
          <w:cantSplit/>
          <w:tblHeader/>
        </w:trPr>
        <w:tc>
          <w:tcPr>
            <w:tcW w:type="dxa" w:w="1294"/>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6"/>
                <w:szCs w:val="16"/>
              </w:rPr>
              <w:t xml:space="preserve">Gene</w:t>
            </w:r>
          </w:p>
        </w:tc>
        <w:tc>
          <w:tcPr>
            <w:tcW w:type="dxa" w:w="3186"/>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6"/>
                <w:szCs w:val="16"/>
              </w:rPr>
              <w:t xml:space="preserve">LCM motor-neuron cohorts: pooled log</w:t>
            </w:r>
            <w:r>
              <w:rPr>
                <w:rFonts w:ascii="Times New Roman" w:cs="Times New Roman" w:eastAsia="Times New Roman" w:hAnsi="Times New Roman"/>
                <w:b/>
                <w:bCs/>
                <w:sz w:val="16"/>
                <w:szCs w:val="16"/>
                <w:vertAlign w:val="subscript"/>
              </w:rPr>
              <w:t xml:space="preserve">2</w:t>
            </w:r>
            <w:r>
              <w:rPr>
                <w:rFonts w:ascii="Times New Roman" w:cs="Times New Roman" w:eastAsia="Times New Roman" w:hAnsi="Times New Roman"/>
                <w:b/>
                <w:bCs/>
                <w:sz w:val="16"/>
                <w:szCs w:val="16"/>
              </w:rPr>
              <w:t xml:space="preserve">FC (P, k, I²)</w:t>
            </w:r>
          </w:p>
        </w:tc>
        <w:tc>
          <w:tcPr>
            <w:tcW w:type="dxa" w:w="3186"/>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6"/>
                <w:szCs w:val="16"/>
              </w:rPr>
              <w:t xml:space="preserve">Bulk-cord cohorts: pooled log</w:t>
            </w:r>
            <w:r>
              <w:rPr>
                <w:rFonts w:ascii="Times New Roman" w:cs="Times New Roman" w:eastAsia="Times New Roman" w:hAnsi="Times New Roman"/>
                <w:b/>
                <w:bCs/>
                <w:sz w:val="16"/>
                <w:szCs w:val="16"/>
                <w:vertAlign w:val="subscript"/>
              </w:rPr>
              <w:t xml:space="preserve">2</w:t>
            </w:r>
            <w:r>
              <w:rPr>
                <w:rFonts w:ascii="Times New Roman" w:cs="Times New Roman" w:eastAsia="Times New Roman" w:hAnsi="Times New Roman"/>
                <w:b/>
                <w:bCs/>
                <w:sz w:val="16"/>
                <w:szCs w:val="16"/>
              </w:rPr>
              <w:t xml:space="preserve">FC (P, k, I²)</w:t>
            </w:r>
          </w:p>
        </w:tc>
        <w:tc>
          <w:tcPr>
            <w:tcW w:type="dxa" w:w="1694"/>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6"/>
                <w:szCs w:val="16"/>
              </w:rPr>
              <w:t xml:space="preserve">Compartment with P &lt; 0.05</w:t>
            </w:r>
          </w:p>
        </w:tc>
      </w:tr>
      <w:tr>
        <w:trPr>
          <w:cantSplit/>
          <w:tblHeader w:val="false"/>
        </w:trPr>
        <w:tc>
          <w:tcPr>
            <w:tcW w:type="dxa" w:w="12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SLC30A7</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+0.34 (P=0.01, k=5, I²=30%)</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+0.33 (P=6e-12, k=2, I²=0%)</w:t>
            </w:r>
          </w:p>
        </w:tc>
        <w:tc>
          <w:tcPr>
            <w:tcW w:type="dxa" w:w="16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both</w:t>
            </w:r>
          </w:p>
        </w:tc>
      </w:tr>
      <w:tr>
        <w:trPr>
          <w:cantSplit/>
          <w:tblHeader w:val="false"/>
        </w:trPr>
        <w:tc>
          <w:tcPr>
            <w:tcW w:type="dxa" w:w="12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ABCA1</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+0.92 (P=9e-06, k=5, I²=39%)</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+0.80 (P=0.01, k=2, I²=75%)</w:t>
            </w:r>
          </w:p>
        </w:tc>
        <w:tc>
          <w:tcPr>
            <w:tcW w:type="dxa" w:w="16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both</w:t>
            </w:r>
          </w:p>
        </w:tc>
      </w:tr>
      <w:tr>
        <w:trPr>
          <w:cantSplit/>
          <w:tblHeader w:val="false"/>
        </w:trPr>
        <w:tc>
          <w:tcPr>
            <w:tcW w:type="dxa" w:w="12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ABCC4</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+0.29 (P=0.001, k=5, I²=0%)</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+0.29 (P=2e-07, k=2, I²=0%)</w:t>
            </w:r>
          </w:p>
        </w:tc>
        <w:tc>
          <w:tcPr>
            <w:tcW w:type="dxa" w:w="16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both</w:t>
            </w:r>
          </w:p>
        </w:tc>
      </w:tr>
      <w:tr>
        <w:trPr>
          <w:cantSplit/>
          <w:tblHeader w:val="false"/>
        </w:trPr>
        <w:tc>
          <w:tcPr>
            <w:tcW w:type="dxa" w:w="12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AQP1</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+1.89 (P=2e-05, k=5, I²=72%)</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+0.77 (P=1e-20, k=2, I²=0%)</w:t>
            </w:r>
          </w:p>
        </w:tc>
        <w:tc>
          <w:tcPr>
            <w:tcW w:type="dxa" w:w="16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both</w:t>
            </w:r>
          </w:p>
        </w:tc>
      </w:tr>
      <w:tr>
        <w:trPr>
          <w:cantSplit/>
          <w:tblHeader w:val="false"/>
        </w:trPr>
        <w:tc>
          <w:tcPr>
            <w:tcW w:type="dxa" w:w="12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APOE</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+1.77 (P=0.001, k=5, I²=88%)</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+0.83 (P=0.0002, k=2, I²=69%)</w:t>
            </w:r>
          </w:p>
        </w:tc>
        <w:tc>
          <w:tcPr>
            <w:tcW w:type="dxa" w:w="16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both</w:t>
            </w:r>
          </w:p>
        </w:tc>
      </w:tr>
      <w:tr>
        <w:trPr>
          <w:cantSplit/>
          <w:tblHeader w:val="false"/>
        </w:trPr>
        <w:tc>
          <w:tcPr>
            <w:tcW w:type="dxa" w:w="12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PINK1</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-0.30 (P=0.005, k=5, I²=14%)</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-0.19 (P=7e-05, k=2, I²=0%)</w:t>
            </w:r>
          </w:p>
        </w:tc>
        <w:tc>
          <w:tcPr>
            <w:tcW w:type="dxa" w:w="16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both</w:t>
            </w:r>
          </w:p>
        </w:tc>
      </w:tr>
      <w:tr>
        <w:trPr>
          <w:cantSplit/>
          <w:tblHeader w:val="false"/>
        </w:trPr>
        <w:tc>
          <w:tcPr>
            <w:tcW w:type="dxa" w:w="12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CYP4F11</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+0.68 (P=0.04, k=3, I²=0%)</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+0.41 (P=3e-05, k=2, I²=0%)</w:t>
            </w:r>
          </w:p>
        </w:tc>
        <w:tc>
          <w:tcPr>
            <w:tcW w:type="dxa" w:w="16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both</w:t>
            </w:r>
          </w:p>
        </w:tc>
      </w:tr>
      <w:tr>
        <w:trPr>
          <w:cantSplit/>
          <w:tblHeader w:val="false"/>
        </w:trPr>
        <w:tc>
          <w:tcPr>
            <w:tcW w:type="dxa" w:w="12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AQP4</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+1.63 (P=8e-08, k=5, I²=50%)</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+0.28 (P=0.8, k=2, I²=92%)</w:t>
            </w:r>
          </w:p>
        </w:tc>
        <w:tc>
          <w:tcPr>
            <w:tcW w:type="dxa" w:w="16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LCM</w:t>
            </w:r>
          </w:p>
        </w:tc>
      </w:tr>
      <w:tr>
        <w:trPr>
          <w:cantSplit/>
          <w:tblHeader w:val="false"/>
        </w:trPr>
        <w:tc>
          <w:tcPr>
            <w:tcW w:type="dxa" w:w="12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HMOX1</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+0.32 (P=0.04, k=4, I²=31%)</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+0.40 (P=5e-05, k=2, I²=0%)</w:t>
            </w:r>
          </w:p>
        </w:tc>
        <w:tc>
          <w:tcPr>
            <w:tcW w:type="dxa" w:w="16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both</w:t>
            </w:r>
          </w:p>
        </w:tc>
      </w:tr>
      <w:tr>
        <w:trPr>
          <w:cantSplit/>
          <w:tblHeader w:val="false"/>
        </w:trPr>
        <w:tc>
          <w:tcPr>
            <w:tcW w:type="dxa" w:w="12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SLC7A11</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+1.01 (P=0.0007, k=5, I²=61%)</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+0.60 (k=1)</w:t>
            </w:r>
          </w:p>
        </w:tc>
        <w:tc>
          <w:tcPr>
            <w:tcW w:type="dxa" w:w="16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both</w:t>
            </w:r>
          </w:p>
        </w:tc>
      </w:tr>
      <w:tr>
        <w:trPr>
          <w:cantSplit/>
          <w:tblHeader w:val="false"/>
        </w:trPr>
        <w:tc>
          <w:tcPr>
            <w:tcW w:type="dxa" w:w="12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SOD2</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+0.40 (P=0.002, k=5, I²=18%)</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+0.78 (P=3e-08, k=2, I²=0%)</w:t>
            </w:r>
          </w:p>
        </w:tc>
        <w:tc>
          <w:tcPr>
            <w:tcW w:type="dxa" w:w="16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both</w:t>
            </w:r>
          </w:p>
        </w:tc>
      </w:tr>
      <w:tr>
        <w:trPr>
          <w:cantSplit/>
          <w:tblHeader w:val="false"/>
        </w:trPr>
        <w:tc>
          <w:tcPr>
            <w:tcW w:type="dxa" w:w="12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SLC39A1</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+0.31 (P=0.04, k=5, I²=32%)</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+0.27 (P=0.003, k=2, I²=40%)</w:t>
            </w:r>
          </w:p>
        </w:tc>
        <w:tc>
          <w:tcPr>
            <w:tcW w:type="dxa" w:w="16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both</w:t>
            </w:r>
          </w:p>
        </w:tc>
      </w:tr>
      <w:tr>
        <w:trPr>
          <w:cantSplit/>
          <w:tblHeader w:val="false"/>
        </w:trPr>
        <w:tc>
          <w:tcPr>
            <w:tcW w:type="dxa" w:w="12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IFI16</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+1.25 (P=0.0001, k=5, I²=64%)</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+0.44 (P=9e-10, k=2, I²=0%)</w:t>
            </w:r>
          </w:p>
        </w:tc>
        <w:tc>
          <w:tcPr>
            <w:tcW w:type="dxa" w:w="16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both</w:t>
            </w:r>
          </w:p>
        </w:tc>
      </w:tr>
      <w:tr>
        <w:trPr>
          <w:cantSplit/>
          <w:tblHeader w:val="false"/>
        </w:trPr>
        <w:tc>
          <w:tcPr>
            <w:tcW w:type="dxa" w:w="12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SP1</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+0.88 (P=4e-05, k=5, I²=56%)</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+0.20 (P=1e-10, k=2, I²=0%)</w:t>
            </w:r>
          </w:p>
        </w:tc>
        <w:tc>
          <w:tcPr>
            <w:tcW w:type="dxa" w:w="16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both</w:t>
            </w:r>
          </w:p>
        </w:tc>
      </w:tr>
      <w:tr>
        <w:trPr>
          <w:cantSplit/>
          <w:tblHeader w:val="false"/>
        </w:trPr>
        <w:tc>
          <w:tcPr>
            <w:tcW w:type="dxa" w:w="12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SLC39A14</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+0.66 (P=0.0004, k=5, I²=42%)</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+0.29 (P=0.06, k=2, I²=0%)</w:t>
            </w:r>
          </w:p>
        </w:tc>
        <w:tc>
          <w:tcPr>
            <w:tcW w:type="dxa" w:w="16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LCM</w:t>
            </w:r>
          </w:p>
        </w:tc>
      </w:tr>
      <w:tr>
        <w:trPr>
          <w:cantSplit/>
          <w:tblHeader w:val="false"/>
        </w:trPr>
        <w:tc>
          <w:tcPr>
            <w:tcW w:type="dxa" w:w="12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HMOX2</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-0.49 (P=6e-05, k=5, I²=0%)</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-0.21 (P=2e-06, k=2, I²=0%)</w:t>
            </w:r>
          </w:p>
        </w:tc>
        <w:tc>
          <w:tcPr>
            <w:tcW w:type="dxa" w:w="16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both</w:t>
            </w:r>
          </w:p>
        </w:tc>
      </w:tr>
      <w:tr>
        <w:trPr>
          <w:cantSplit/>
          <w:tblHeader w:val="false"/>
        </w:trPr>
        <w:tc>
          <w:tcPr>
            <w:tcW w:type="dxa" w:w="12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SLC40A1</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+0.97 (P=0.003, k=5, I²=78%)</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+0.43 (P=0.4, k=2, I²=85%)</w:t>
            </w:r>
          </w:p>
        </w:tc>
        <w:tc>
          <w:tcPr>
            <w:tcW w:type="dxa" w:w="16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LCM</w:t>
            </w:r>
          </w:p>
        </w:tc>
      </w:tr>
      <w:tr>
        <w:trPr>
          <w:cantSplit/>
          <w:tblHeader w:val="false"/>
        </w:trPr>
        <w:tc>
          <w:tcPr>
            <w:tcW w:type="dxa" w:w="12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BACH1</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+0.14 (P=0.1, k=5, I²=5%)</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+0.31 (P=4e-10, k=2, I²=0%)</w:t>
            </w:r>
          </w:p>
        </w:tc>
        <w:tc>
          <w:tcPr>
            <w:tcW w:type="dxa" w:w="16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bulk</w:t>
            </w:r>
          </w:p>
        </w:tc>
      </w:tr>
      <w:tr>
        <w:trPr>
          <w:cantSplit/>
          <w:tblHeader w:val="false"/>
        </w:trPr>
        <w:tc>
          <w:tcPr>
            <w:tcW w:type="dxa" w:w="12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ATP1B2</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+1.10 (P=2e-07, k=5, I²=30%)</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+0.26 (P=0.3, k=2, I²=71%)</w:t>
            </w:r>
          </w:p>
        </w:tc>
        <w:tc>
          <w:tcPr>
            <w:tcW w:type="dxa" w:w="16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LCM</w:t>
            </w:r>
          </w:p>
        </w:tc>
      </w:tr>
      <w:tr>
        <w:trPr>
          <w:cantSplit/>
          <w:tblHeader w:val="false"/>
        </w:trPr>
        <w:tc>
          <w:tcPr>
            <w:tcW w:type="dxa" w:w="12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GSTCD</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+0.45 (P=0.02, k=5, I²=71%)</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+0.37 (P=0.0002, k=2, I²=37%)</w:t>
            </w:r>
          </w:p>
        </w:tc>
        <w:tc>
          <w:tcPr>
            <w:tcW w:type="dxa" w:w="16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both</w:t>
            </w:r>
          </w:p>
        </w:tc>
      </w:tr>
      <w:tr>
        <w:trPr>
          <w:cantSplit/>
          <w:tblHeader w:val="false"/>
        </w:trPr>
        <w:tc>
          <w:tcPr>
            <w:tcW w:type="dxa" w:w="12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SIRT1</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+0.35 (P=0.001, k=5, I²=9%)</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+0.14 (P=0.5, k=2, I²=81%)</w:t>
            </w:r>
          </w:p>
        </w:tc>
        <w:tc>
          <w:tcPr>
            <w:tcW w:type="dxa" w:w="16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LCM</w:t>
            </w:r>
          </w:p>
        </w:tc>
      </w:tr>
      <w:tr>
        <w:trPr>
          <w:cantSplit/>
          <w:tblHeader w:val="false"/>
        </w:trPr>
        <w:tc>
          <w:tcPr>
            <w:tcW w:type="dxa" w:w="12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CP</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+1.19 (P=0.02, k=5, I²=85%)</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+0.63 (P=0.05, k=2, I²=59%)</w:t>
            </w:r>
          </w:p>
        </w:tc>
        <w:tc>
          <w:tcPr>
            <w:tcW w:type="dxa" w:w="16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both</w:t>
            </w:r>
          </w:p>
        </w:tc>
      </w:tr>
      <w:tr>
        <w:trPr>
          <w:cantSplit/>
          <w:tblHeader w:val="false"/>
        </w:trPr>
        <w:tc>
          <w:tcPr>
            <w:tcW w:type="dxa" w:w="12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LRP1</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+0.65 (P=0.002, k=5, I²=51%)</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+0.19 (P=0.3, k=2, I²=70%)</w:t>
            </w:r>
          </w:p>
        </w:tc>
        <w:tc>
          <w:tcPr>
            <w:tcW w:type="dxa" w:w="16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LCM</w:t>
            </w:r>
          </w:p>
        </w:tc>
      </w:tr>
      <w:tr>
        <w:trPr>
          <w:cantSplit/>
          <w:tblHeader w:val="false"/>
        </w:trPr>
        <w:tc>
          <w:tcPr>
            <w:tcW w:type="dxa" w:w="12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FTL</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+0.84 (P=0.02, k=5, I²=79%)</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+0.30 (P=0.001, k=2, I²=36%)</w:t>
            </w:r>
          </w:p>
        </w:tc>
        <w:tc>
          <w:tcPr>
            <w:tcW w:type="dxa" w:w="16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both</w:t>
            </w:r>
          </w:p>
        </w:tc>
      </w:tr>
      <w:tr>
        <w:trPr>
          <w:cantSplit/>
          <w:tblHeader w:val="false"/>
        </w:trPr>
        <w:tc>
          <w:tcPr>
            <w:tcW w:type="dxa" w:w="12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CYP7B1</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+0.50 (P=0.005, k=5, I²=58%)</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+0.15 (P=0.07, k=2, I²=0%)</w:t>
            </w:r>
          </w:p>
        </w:tc>
        <w:tc>
          <w:tcPr>
            <w:tcW w:type="dxa" w:w="16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LCM</w:t>
            </w:r>
          </w:p>
        </w:tc>
      </w:tr>
      <w:tr>
        <w:trPr>
          <w:cantSplit/>
          <w:tblHeader w:val="false"/>
        </w:trPr>
        <w:tc>
          <w:tcPr>
            <w:tcW w:type="dxa" w:w="12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NQO1</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+0.70 (P=0.005, k=5, I²=71%)</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+0.23 (P=0.2, k=2, I²=72%)</w:t>
            </w:r>
          </w:p>
        </w:tc>
        <w:tc>
          <w:tcPr>
            <w:tcW w:type="dxa" w:w="16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LCM</w:t>
            </w:r>
          </w:p>
        </w:tc>
      </w:tr>
      <w:tr>
        <w:trPr>
          <w:cantSplit/>
          <w:tblHeader w:val="false"/>
        </w:trPr>
        <w:tc>
          <w:tcPr>
            <w:tcW w:type="dxa" w:w="12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CYP1B1</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+0.72 (P=0.08, k=5, I²=79%)</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+0.81 (P=9e-08, k=2, I²=0%)</w:t>
            </w:r>
          </w:p>
        </w:tc>
        <w:tc>
          <w:tcPr>
            <w:tcW w:type="dxa" w:w="16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bulk</w:t>
            </w:r>
          </w:p>
        </w:tc>
      </w:tr>
      <w:tr>
        <w:trPr>
          <w:cantSplit/>
          <w:tblHeader w:val="false"/>
        </w:trPr>
        <w:tc>
          <w:tcPr>
            <w:tcW w:type="dxa" w:w="12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CYP51A1</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-0.42 (P=0.04, k=3, I²=65%)</w:t>
            </w:r>
          </w:p>
        </w:tc>
        <w:tc>
          <w:tcPr>
            <w:tcW w:type="dxa" w:w="318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-0.35 (P=0.1, k=2, I²=47%)</w:t>
            </w:r>
          </w:p>
        </w:tc>
        <w:tc>
          <w:tcPr>
            <w:tcW w:type="dxa" w:w="169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6"/>
                <w:szCs w:val="16"/>
              </w:rPr>
              <w:t xml:space="preserve">LCM</w:t>
            </w:r>
          </w:p>
        </w:tc>
      </w:tr>
    </w:tbl>
    <w:p>
      <w:pPr>
        <w:spacing w:after="200" w:line="276"/>
        <w:jc w:val="left"/>
      </w:pPr>
      <w:r>
        <w:rPr>
          <w:rFonts w:ascii="Times New Roman" w:cs="Times New Roman" w:eastAsia="Times New Roman" w:hAnsi="Times New Roman"/>
          <w:sz w:val="20"/>
          <w:szCs w:val="20"/>
        </w:rPr>
        <w:t xml:space="preserve">LCM cohorts: GSE76220, GSE19332, GSE68605, GSE56500, GSE18920. Bulk: GSE153960 (spinal cord, donor level), GSE26927. DerSimonian–Laird within subgroup.</w:t>
      </w:r>
    </w:p>
    <w:p>
      <w:pPr>
        <w:keepNext/>
        <w:spacing w:after="80" w:before="200" w:line="276"/>
      </w:pPr>
      <w:r>
        <w:rPr>
          <w:rFonts w:ascii="Times New Roman" w:cs="Times New Roman" w:eastAsia="Times New Roman" w:hAnsi="Times New Roman"/>
          <w:b/>
          <w:bCs/>
          <w:sz w:val="22"/>
          <w:szCs w:val="22"/>
        </w:rPr>
        <w:t xml:space="preserve">Table S5. Composition-adjusted analyses: high-confidence genes.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88"/>
        <w:gridCol w:w="6772"/>
      </w:tblGrid>
      <w:tr>
        <w:trPr>
          <w:cantSplit/>
          <w:tblHeader/>
        </w:trPr>
        <w:tc>
          <w:tcPr>
            <w:tcW w:type="dxa" w:w="2588"/>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8"/>
                <w:szCs w:val="18"/>
              </w:rPr>
              <w:t xml:space="preserve">Model (bulk cohorts)</w:t>
            </w:r>
          </w:p>
        </w:tc>
        <w:tc>
          <w:tcPr>
            <w:tcW w:type="dxa" w:w="6772"/>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8"/>
                <w:szCs w:val="18"/>
              </w:rPr>
              <w:t xml:space="preserve">High-confidence genes</w:t>
            </w:r>
          </w:p>
        </w:tc>
      </w:tr>
      <w:tr>
        <w:trPr>
          <w:cantSplit/>
          <w:tblHeader w:val="false"/>
        </w:trPr>
        <w:tc>
          <w:tcPr>
            <w:tcW w:type="dxa" w:w="258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 neuronal (38)</w:t>
            </w:r>
          </w:p>
        </w:tc>
        <w:tc>
          <w:tcPr>
            <w:tcW w:type="dxa" w:w="6772"/>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ABCA1, ABCC4, ABCC5, ADH1B, APOE, AQP1, AQP4, ATF4, ATP1B2, BACH1, CP, CYP1B1, CYP4F11, CYP51A1, CYP7B1, FTL, GGT7, GSTCD, HMOX1, HMOX2, IFI16, LRP1, MGST1, NFE2L2, NQO1, PINK1, SIRT1, SLC30A7, SLC39A1, SLC39A14, SLC39A8, SLC40A1, SLC7A11, SOD2, SP1, SULT4A1, TXNIP, ZNF581</w:t>
            </w:r>
          </w:p>
        </w:tc>
      </w:tr>
      <w:tr>
        <w:trPr>
          <w:cantSplit/>
          <w:tblHeader w:val="false"/>
        </w:trPr>
        <w:tc>
          <w:tcPr>
            <w:tcW w:type="dxa" w:w="258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 neuronal + myeloid (14)</w:t>
            </w:r>
          </w:p>
        </w:tc>
        <w:tc>
          <w:tcPr>
            <w:tcW w:type="dxa" w:w="6772"/>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ABCA1, APOE, AQP1, AQP4, CYP7B1, GGT7, GSTCD, HMOX2, NDUFS2, PINK1, SLC30A7, SLC40A1, SLC7A11, SP1</w:t>
            </w:r>
          </w:p>
        </w:tc>
      </w:tr>
      <w:tr>
        <w:trPr>
          <w:cantSplit/>
          <w:tblHeader w:val="false"/>
        </w:trPr>
        <w:tc>
          <w:tcPr>
            <w:tcW w:type="dxa" w:w="258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 neuronal + myeloid + astrocytic (11)</w:t>
            </w:r>
          </w:p>
        </w:tc>
        <w:tc>
          <w:tcPr>
            <w:tcW w:type="dxa" w:w="6772"/>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ABCA1, APOE, AQP1, AQP4, CYP51A1, MAOA, PAPSS1, SLC30A7, SLC40A1, SLC7A11, SP1</w:t>
            </w:r>
          </w:p>
        </w:tc>
      </w:tr>
    </w:tbl>
    <w:p>
      <w:pPr>
        <w:spacing w:after="200" w:line="276"/>
        <w:jc w:val="left"/>
      </w:pPr>
      <w:r>
        <w:rPr>
          <w:rFonts w:ascii="Times New Roman" w:cs="Times New Roman" w:eastAsia="Times New Roman" w:hAnsi="Times New Roman"/>
          <w:sz w:val="20"/>
          <w:szCs w:val="20"/>
        </w:rPr>
        <w:t xml:space="preserve">The eight robust-core genes are high-confidence in all three models.</w:t>
      </w:r>
    </w:p>
    <w:p>
      <w:pPr>
        <w:keepNext/>
        <w:spacing w:after="80" w:before="200" w:line="276"/>
      </w:pPr>
      <w:r>
        <w:rPr>
          <w:rFonts w:ascii="Times New Roman" w:cs="Times New Roman" w:eastAsia="Times New Roman" w:hAnsi="Times New Roman"/>
          <w:b/>
          <w:bCs/>
          <w:sz w:val="22"/>
          <w:szCs w:val="22"/>
        </w:rPr>
        <w:t xml:space="preserve">Table S6. Leave-one-cohort-out analyses.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80"/>
        <w:gridCol w:w="1248"/>
        <w:gridCol w:w="1248"/>
        <w:gridCol w:w="1456"/>
        <w:gridCol w:w="1664"/>
        <w:gridCol w:w="1664"/>
      </w:tblGrid>
      <w:tr>
        <w:trPr>
          <w:cantSplit/>
          <w:tblHeader/>
        </w:trPr>
        <w:tc>
          <w:tcPr>
            <w:tcW w:type="dxa" w:w="2080"/>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8"/>
                <w:szCs w:val="18"/>
              </w:rPr>
              <w:t xml:space="preserve">Cohort left out</w:t>
            </w:r>
          </w:p>
        </w:tc>
        <w:tc>
          <w:tcPr>
            <w:tcW w:type="dxa" w:w="1248"/>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8"/>
                <w:szCs w:val="18"/>
              </w:rPr>
              <w:t xml:space="preserve">Analysable</w:t>
            </w:r>
          </w:p>
        </w:tc>
        <w:tc>
          <w:tcPr>
            <w:tcW w:type="dxa" w:w="1248"/>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8"/>
                <w:szCs w:val="18"/>
              </w:rPr>
              <w:t xml:space="preserve">FDR &lt; 0.05</w:t>
            </w:r>
          </w:p>
        </w:tc>
        <w:tc>
          <w:tcPr>
            <w:tcW w:type="dxa" w:w="1456"/>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8"/>
                <w:szCs w:val="18"/>
              </w:rPr>
              <w:t xml:space="preserve">High-confidence</w:t>
            </w:r>
          </w:p>
        </w:tc>
        <w:tc>
          <w:tcPr>
            <w:tcW w:type="dxa" w:w="1664"/>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8"/>
                <w:szCs w:val="18"/>
              </w:rPr>
              <w:t xml:space="preserve">Primary HC retained</w:t>
            </w:r>
          </w:p>
        </w:tc>
        <w:tc>
          <w:tcPr>
            <w:tcW w:type="dxa" w:w="1664"/>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8"/>
                <w:szCs w:val="18"/>
              </w:rPr>
              <w:t xml:space="preserve">Robust core retained</w:t>
            </w:r>
          </w:p>
        </w:tc>
      </w:tr>
      <w:tr>
        <w:trPr>
          <w:cantSplit/>
          <w:tblHeader w:val="false"/>
        </w:trPr>
        <w:tc>
          <w:tcPr>
            <w:tcW w:type="dxa" w:w="208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GSE153960</w:t>
            </w:r>
          </w:p>
        </w:tc>
        <w:tc>
          <w:tcPr>
            <w:tcW w:type="dxa" w:w="124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440</w:t>
            </w:r>
          </w:p>
        </w:tc>
        <w:tc>
          <w:tcPr>
            <w:tcW w:type="dxa" w:w="124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21</w:t>
            </w:r>
          </w:p>
        </w:tc>
        <w:tc>
          <w:tcPr>
            <w:tcW w:type="dxa" w:w="145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18</w:t>
            </w:r>
          </w:p>
        </w:tc>
        <w:tc>
          <w:tcPr>
            <w:tcW w:type="dxa" w:w="166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11/28</w:t>
            </w:r>
          </w:p>
        </w:tc>
        <w:tc>
          <w:tcPr>
            <w:tcW w:type="dxa" w:w="166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6/8</w:t>
            </w:r>
          </w:p>
        </w:tc>
      </w:tr>
      <w:tr>
        <w:trPr>
          <w:cantSplit/>
          <w:tblHeader w:val="false"/>
        </w:trPr>
        <w:tc>
          <w:tcPr>
            <w:tcW w:type="dxa" w:w="208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GSE26927</w:t>
            </w:r>
          </w:p>
        </w:tc>
        <w:tc>
          <w:tcPr>
            <w:tcW w:type="dxa" w:w="124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445</w:t>
            </w:r>
          </w:p>
        </w:tc>
        <w:tc>
          <w:tcPr>
            <w:tcW w:type="dxa" w:w="124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49</w:t>
            </w:r>
          </w:p>
        </w:tc>
        <w:tc>
          <w:tcPr>
            <w:tcW w:type="dxa" w:w="145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35</w:t>
            </w:r>
          </w:p>
        </w:tc>
        <w:tc>
          <w:tcPr>
            <w:tcW w:type="dxa" w:w="166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24/28</w:t>
            </w:r>
          </w:p>
        </w:tc>
        <w:tc>
          <w:tcPr>
            <w:tcW w:type="dxa" w:w="166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8/8</w:t>
            </w:r>
          </w:p>
        </w:tc>
      </w:tr>
      <w:tr>
        <w:trPr>
          <w:cantSplit/>
          <w:tblHeader w:val="false"/>
        </w:trPr>
        <w:tc>
          <w:tcPr>
            <w:tcW w:type="dxa" w:w="208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GSE76220</w:t>
            </w:r>
          </w:p>
        </w:tc>
        <w:tc>
          <w:tcPr>
            <w:tcW w:type="dxa" w:w="124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444</w:t>
            </w:r>
          </w:p>
        </w:tc>
        <w:tc>
          <w:tcPr>
            <w:tcW w:type="dxa" w:w="124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30</w:t>
            </w:r>
          </w:p>
        </w:tc>
        <w:tc>
          <w:tcPr>
            <w:tcW w:type="dxa" w:w="145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21</w:t>
            </w:r>
          </w:p>
        </w:tc>
        <w:tc>
          <w:tcPr>
            <w:tcW w:type="dxa" w:w="166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20/28</w:t>
            </w:r>
          </w:p>
        </w:tc>
        <w:tc>
          <w:tcPr>
            <w:tcW w:type="dxa" w:w="166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8/8</w:t>
            </w:r>
          </w:p>
        </w:tc>
      </w:tr>
      <w:tr>
        <w:trPr>
          <w:cantSplit/>
          <w:tblHeader w:val="false"/>
        </w:trPr>
        <w:tc>
          <w:tcPr>
            <w:tcW w:type="dxa" w:w="208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GSE19332</w:t>
            </w:r>
          </w:p>
        </w:tc>
        <w:tc>
          <w:tcPr>
            <w:tcW w:type="dxa" w:w="124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444</w:t>
            </w:r>
          </w:p>
        </w:tc>
        <w:tc>
          <w:tcPr>
            <w:tcW w:type="dxa" w:w="124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53</w:t>
            </w:r>
          </w:p>
        </w:tc>
        <w:tc>
          <w:tcPr>
            <w:tcW w:type="dxa" w:w="145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43</w:t>
            </w:r>
          </w:p>
        </w:tc>
        <w:tc>
          <w:tcPr>
            <w:tcW w:type="dxa" w:w="166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28/28</w:t>
            </w:r>
          </w:p>
        </w:tc>
        <w:tc>
          <w:tcPr>
            <w:tcW w:type="dxa" w:w="166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8/8</w:t>
            </w:r>
          </w:p>
        </w:tc>
      </w:tr>
      <w:tr>
        <w:trPr>
          <w:cantSplit/>
          <w:tblHeader w:val="false"/>
        </w:trPr>
        <w:tc>
          <w:tcPr>
            <w:tcW w:type="dxa" w:w="208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GSE68605</w:t>
            </w:r>
          </w:p>
        </w:tc>
        <w:tc>
          <w:tcPr>
            <w:tcW w:type="dxa" w:w="124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444</w:t>
            </w:r>
          </w:p>
        </w:tc>
        <w:tc>
          <w:tcPr>
            <w:tcW w:type="dxa" w:w="124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32</w:t>
            </w:r>
          </w:p>
        </w:tc>
        <w:tc>
          <w:tcPr>
            <w:tcW w:type="dxa" w:w="145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24</w:t>
            </w:r>
          </w:p>
        </w:tc>
        <w:tc>
          <w:tcPr>
            <w:tcW w:type="dxa" w:w="166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22/28</w:t>
            </w:r>
          </w:p>
        </w:tc>
        <w:tc>
          <w:tcPr>
            <w:tcW w:type="dxa" w:w="166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8/8</w:t>
            </w:r>
          </w:p>
        </w:tc>
      </w:tr>
      <w:tr>
        <w:trPr>
          <w:cantSplit/>
          <w:tblHeader w:val="false"/>
        </w:trPr>
        <w:tc>
          <w:tcPr>
            <w:tcW w:type="dxa" w:w="208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GSE56500</w:t>
            </w:r>
          </w:p>
        </w:tc>
        <w:tc>
          <w:tcPr>
            <w:tcW w:type="dxa" w:w="124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447</w:t>
            </w:r>
          </w:p>
        </w:tc>
        <w:tc>
          <w:tcPr>
            <w:tcW w:type="dxa" w:w="124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45</w:t>
            </w:r>
          </w:p>
        </w:tc>
        <w:tc>
          <w:tcPr>
            <w:tcW w:type="dxa" w:w="145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28</w:t>
            </w:r>
          </w:p>
        </w:tc>
        <w:tc>
          <w:tcPr>
            <w:tcW w:type="dxa" w:w="166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20/28</w:t>
            </w:r>
          </w:p>
        </w:tc>
        <w:tc>
          <w:tcPr>
            <w:tcW w:type="dxa" w:w="166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8/8</w:t>
            </w:r>
          </w:p>
        </w:tc>
      </w:tr>
      <w:tr>
        <w:trPr>
          <w:cantSplit/>
          <w:tblHeader w:val="false"/>
        </w:trPr>
        <w:tc>
          <w:tcPr>
            <w:tcW w:type="dxa" w:w="208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GSE18920</w:t>
            </w:r>
          </w:p>
        </w:tc>
        <w:tc>
          <w:tcPr>
            <w:tcW w:type="dxa" w:w="124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447</w:t>
            </w:r>
          </w:p>
        </w:tc>
        <w:tc>
          <w:tcPr>
            <w:tcW w:type="dxa" w:w="124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30</w:t>
            </w:r>
          </w:p>
        </w:tc>
        <w:tc>
          <w:tcPr>
            <w:tcW w:type="dxa" w:w="145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21</w:t>
            </w:r>
          </w:p>
        </w:tc>
        <w:tc>
          <w:tcPr>
            <w:tcW w:type="dxa" w:w="166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21/28</w:t>
            </w:r>
          </w:p>
        </w:tc>
        <w:tc>
          <w:tcPr>
            <w:tcW w:type="dxa" w:w="166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8/8</w:t>
            </w:r>
          </w:p>
        </w:tc>
      </w:tr>
    </w:tbl>
    <w:p>
      <w:pPr>
        <w:spacing w:after="200" w:line="276"/>
        <w:jc w:val="left"/>
      </w:pPr>
      <w:r>
        <w:rPr>
          <w:rFonts w:ascii="Times New Roman" w:cs="Times New Roman" w:eastAsia="Times New Roman" w:hAnsi="Times New Roman"/>
          <w:sz w:val="20"/>
          <w:szCs w:val="20"/>
        </w:rPr>
        <w:t xml:space="preserve">Without GSE153960, AQP4 (FDR 0.054) and SLC40A1 (FDR 0.092) fall below the threshold while remaining direction-concordant in five of six cohorts.</w:t>
      </w:r>
    </w:p>
    <w:p>
      <w:pPr>
        <w:keepNext/>
        <w:spacing w:after="80" w:before="200" w:line="276"/>
      </w:pPr>
      <w:r>
        <w:rPr>
          <w:rFonts w:ascii="Times New Roman" w:cs="Times New Roman" w:eastAsia="Times New Roman" w:hAnsi="Times New Roman"/>
          <w:b/>
          <w:bCs/>
          <w:sz w:val="22"/>
          <w:szCs w:val="22"/>
        </w:rPr>
        <w:t xml:space="preserve">Table S7. FDR-significant genes that do not meet the high-confidence rule.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34"/>
        <w:gridCol w:w="617"/>
        <w:gridCol w:w="1337"/>
        <w:gridCol w:w="925"/>
        <w:gridCol w:w="1337"/>
        <w:gridCol w:w="1954"/>
        <w:gridCol w:w="1956"/>
      </w:tblGrid>
      <w:tr>
        <w:trPr>
          <w:cantSplit/>
          <w:tblHeader/>
        </w:trPr>
        <w:tc>
          <w:tcPr>
            <w:tcW w:type="dxa" w:w="1234"/>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8"/>
                <w:szCs w:val="18"/>
              </w:rPr>
              <w:t xml:space="preserve">Gene</w:t>
            </w:r>
          </w:p>
        </w:tc>
        <w:tc>
          <w:tcPr>
            <w:tcW w:type="dxa" w:w="617"/>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8"/>
                <w:szCs w:val="18"/>
              </w:rPr>
              <w:t xml:space="preserve">k</w:t>
            </w:r>
          </w:p>
        </w:tc>
        <w:tc>
          <w:tcPr>
            <w:tcW w:type="dxa" w:w="1337"/>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8"/>
                <w:szCs w:val="18"/>
              </w:rPr>
              <w:t xml:space="preserve">Pooled log</w:t>
            </w:r>
            <w:r>
              <w:rPr>
                <w:rFonts w:ascii="Times New Roman" w:cs="Times New Roman" w:eastAsia="Times New Roman" w:hAnsi="Times New Roman"/>
                <w:b/>
                <w:bCs/>
                <w:sz w:val="18"/>
                <w:szCs w:val="18"/>
                <w:vertAlign w:val="subscript"/>
              </w:rPr>
              <w:t xml:space="preserve">2</w:t>
            </w:r>
            <w:r>
              <w:rPr>
                <w:rFonts w:ascii="Times New Roman" w:cs="Times New Roman" w:eastAsia="Times New Roman" w:hAnsi="Times New Roman"/>
                <w:b/>
                <w:bCs/>
                <w:sz w:val="18"/>
                <w:szCs w:val="18"/>
              </w:rPr>
              <w:t xml:space="preserve">FC</w:t>
            </w:r>
          </w:p>
        </w:tc>
        <w:tc>
          <w:tcPr>
            <w:tcW w:type="dxa" w:w="925"/>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8"/>
                <w:szCs w:val="18"/>
              </w:rPr>
              <w:t xml:space="preserve">I² (%)</w:t>
            </w:r>
          </w:p>
        </w:tc>
        <w:tc>
          <w:tcPr>
            <w:tcW w:type="dxa" w:w="1337"/>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8"/>
                <w:szCs w:val="18"/>
              </w:rPr>
              <w:t xml:space="preserve">BH-FDR</w:t>
            </w:r>
          </w:p>
        </w:tc>
        <w:tc>
          <w:tcPr>
            <w:tcW w:type="dxa" w:w="1954"/>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8"/>
                <w:szCs w:val="18"/>
              </w:rPr>
              <w:t xml:space="preserve">Cohorts nominally significant</w:t>
            </w:r>
          </w:p>
        </w:tc>
        <w:tc>
          <w:tcPr>
            <w:tcW w:type="dxa" w:w="1956"/>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8"/>
                <w:szCs w:val="18"/>
              </w:rPr>
              <w:t xml:space="preserve">Direction concordance</w:t>
            </w:r>
          </w:p>
        </w:tc>
      </w:tr>
      <w:tr>
        <w:trPr>
          <w:cantSplit/>
          <w:tblHeader w:val="false"/>
        </w:trPr>
        <w:tc>
          <w:tcPr>
            <w:tcW w:type="dxa" w:w="123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CHST5</w:t>
            </w:r>
          </w:p>
        </w:tc>
        <w:tc>
          <w:tcPr>
            <w:tcW w:type="dxa" w:w="61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4</w:t>
            </w:r>
          </w:p>
        </w:tc>
        <w:tc>
          <w:tcPr>
            <w:tcW w:type="dxa" w:w="133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-0.44</w:t>
            </w:r>
          </w:p>
        </w:tc>
        <w:tc>
          <w:tcPr>
            <w:tcW w:type="dxa" w:w="925"/>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w:t>
            </w:r>
          </w:p>
        </w:tc>
        <w:tc>
          <w:tcPr>
            <w:tcW w:type="dxa" w:w="133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4.5×10</w:t>
            </w:r>
            <w:r>
              <w:rPr>
                <w:rFonts w:ascii="Times New Roman" w:cs="Times New Roman" w:eastAsia="Times New Roman" w:hAnsi="Times New Roman"/>
                <w:b w:val="false"/>
                <w:bCs w:val="false"/>
                <w:sz w:val="18"/>
                <w:szCs w:val="18"/>
                <w:vertAlign w:val="superscript"/>
              </w:rPr>
              <w:t xml:space="preserve">−6</w:t>
            </w:r>
          </w:p>
        </w:tc>
        <w:tc>
          <w:tcPr>
            <w:tcW w:type="dxa" w:w="195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w:t>
            </w:r>
          </w:p>
        </w:tc>
        <w:tc>
          <w:tcPr>
            <w:tcW w:type="dxa" w:w="195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100%</w:t>
            </w:r>
          </w:p>
        </w:tc>
      </w:tr>
      <w:tr>
        <w:trPr>
          <w:cantSplit/>
          <w:tblHeader w:val="false"/>
        </w:trPr>
        <w:tc>
          <w:tcPr>
            <w:tcW w:type="dxa" w:w="123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SLC11A2</w:t>
            </w:r>
          </w:p>
        </w:tc>
        <w:tc>
          <w:tcPr>
            <w:tcW w:type="dxa" w:w="61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7</w:t>
            </w:r>
          </w:p>
        </w:tc>
        <w:tc>
          <w:tcPr>
            <w:tcW w:type="dxa" w:w="133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+0.18</w:t>
            </w:r>
          </w:p>
        </w:tc>
        <w:tc>
          <w:tcPr>
            <w:tcW w:type="dxa" w:w="925"/>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w:t>
            </w:r>
          </w:p>
        </w:tc>
        <w:tc>
          <w:tcPr>
            <w:tcW w:type="dxa" w:w="133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5.1×10</w:t>
            </w:r>
            <w:r>
              <w:rPr>
                <w:rFonts w:ascii="Times New Roman" w:cs="Times New Roman" w:eastAsia="Times New Roman" w:hAnsi="Times New Roman"/>
                <w:b w:val="false"/>
                <w:bCs w:val="false"/>
                <w:sz w:val="18"/>
                <w:szCs w:val="18"/>
                <w:vertAlign w:val="superscript"/>
              </w:rPr>
              <w:t xml:space="preserve">−4</w:t>
            </w:r>
          </w:p>
        </w:tc>
        <w:tc>
          <w:tcPr>
            <w:tcW w:type="dxa" w:w="195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w:t>
            </w:r>
          </w:p>
        </w:tc>
        <w:tc>
          <w:tcPr>
            <w:tcW w:type="dxa" w:w="195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100%</w:t>
            </w:r>
          </w:p>
        </w:tc>
      </w:tr>
      <w:tr>
        <w:trPr>
          <w:cantSplit/>
          <w:tblHeader w:val="false"/>
        </w:trPr>
        <w:tc>
          <w:tcPr>
            <w:tcW w:type="dxa" w:w="123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HPGDS</w:t>
            </w:r>
          </w:p>
        </w:tc>
        <w:tc>
          <w:tcPr>
            <w:tcW w:type="dxa" w:w="61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4</w:t>
            </w:r>
          </w:p>
        </w:tc>
        <w:tc>
          <w:tcPr>
            <w:tcW w:type="dxa" w:w="133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+0.70</w:t>
            </w:r>
          </w:p>
        </w:tc>
        <w:tc>
          <w:tcPr>
            <w:tcW w:type="dxa" w:w="925"/>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23</w:t>
            </w:r>
          </w:p>
        </w:tc>
        <w:tc>
          <w:tcPr>
            <w:tcW w:type="dxa" w:w="133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8.1×10</w:t>
            </w:r>
            <w:r>
              <w:rPr>
                <w:rFonts w:ascii="Times New Roman" w:cs="Times New Roman" w:eastAsia="Times New Roman" w:hAnsi="Times New Roman"/>
                <w:b w:val="false"/>
                <w:bCs w:val="false"/>
                <w:sz w:val="18"/>
                <w:szCs w:val="18"/>
                <w:vertAlign w:val="superscript"/>
              </w:rPr>
              <w:t xml:space="preserve">−3</w:t>
            </w:r>
          </w:p>
        </w:tc>
        <w:tc>
          <w:tcPr>
            <w:tcW w:type="dxa" w:w="195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w:t>
            </w:r>
          </w:p>
        </w:tc>
        <w:tc>
          <w:tcPr>
            <w:tcW w:type="dxa" w:w="195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75%</w:t>
            </w:r>
          </w:p>
        </w:tc>
      </w:tr>
      <w:tr>
        <w:trPr>
          <w:cantSplit/>
          <w:tblHeader w:val="false"/>
        </w:trPr>
        <w:tc>
          <w:tcPr>
            <w:tcW w:type="dxa" w:w="123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HSD17B1</w:t>
            </w:r>
          </w:p>
        </w:tc>
        <w:tc>
          <w:tcPr>
            <w:tcW w:type="dxa" w:w="61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6</w:t>
            </w:r>
          </w:p>
        </w:tc>
        <w:tc>
          <w:tcPr>
            <w:tcW w:type="dxa" w:w="133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-0.20</w:t>
            </w:r>
          </w:p>
        </w:tc>
        <w:tc>
          <w:tcPr>
            <w:tcW w:type="dxa" w:w="925"/>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13</w:t>
            </w:r>
          </w:p>
        </w:tc>
        <w:tc>
          <w:tcPr>
            <w:tcW w:type="dxa" w:w="133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1.8×10</w:t>
            </w:r>
            <w:r>
              <w:rPr>
                <w:rFonts w:ascii="Times New Roman" w:cs="Times New Roman" w:eastAsia="Times New Roman" w:hAnsi="Times New Roman"/>
                <w:b w:val="false"/>
                <w:bCs w:val="false"/>
                <w:sz w:val="18"/>
                <w:szCs w:val="18"/>
                <w:vertAlign w:val="superscript"/>
              </w:rPr>
              <w:t xml:space="preserve">−2</w:t>
            </w:r>
          </w:p>
        </w:tc>
        <w:tc>
          <w:tcPr>
            <w:tcW w:type="dxa" w:w="195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w:t>
            </w:r>
          </w:p>
        </w:tc>
        <w:tc>
          <w:tcPr>
            <w:tcW w:type="dxa" w:w="195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67%</w:t>
            </w:r>
          </w:p>
        </w:tc>
      </w:tr>
      <w:tr>
        <w:trPr>
          <w:cantSplit/>
          <w:tblHeader w:val="false"/>
        </w:trPr>
        <w:tc>
          <w:tcPr>
            <w:tcW w:type="dxa" w:w="123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SLC22A5</w:t>
            </w:r>
          </w:p>
        </w:tc>
        <w:tc>
          <w:tcPr>
            <w:tcW w:type="dxa" w:w="61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7</w:t>
            </w:r>
          </w:p>
        </w:tc>
        <w:tc>
          <w:tcPr>
            <w:tcW w:type="dxa" w:w="133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+0.12</w:t>
            </w:r>
          </w:p>
        </w:tc>
        <w:tc>
          <w:tcPr>
            <w:tcW w:type="dxa" w:w="925"/>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w:t>
            </w:r>
          </w:p>
        </w:tc>
        <w:tc>
          <w:tcPr>
            <w:tcW w:type="dxa" w:w="1337"/>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1.8×10</w:t>
            </w:r>
            <w:r>
              <w:rPr>
                <w:rFonts w:ascii="Times New Roman" w:cs="Times New Roman" w:eastAsia="Times New Roman" w:hAnsi="Times New Roman"/>
                <w:b w:val="false"/>
                <w:bCs w:val="false"/>
                <w:sz w:val="18"/>
                <w:szCs w:val="18"/>
                <w:vertAlign w:val="superscript"/>
              </w:rPr>
              <w:t xml:space="preserve">−2</w:t>
            </w:r>
          </w:p>
        </w:tc>
        <w:tc>
          <w:tcPr>
            <w:tcW w:type="dxa" w:w="1954"/>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w:t>
            </w:r>
          </w:p>
        </w:tc>
        <w:tc>
          <w:tcPr>
            <w:tcW w:type="dxa" w:w="1956"/>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71%</w:t>
            </w:r>
          </w:p>
        </w:tc>
      </w:tr>
    </w:tbl>
    <w:p>
      <w:pPr>
        <w:spacing w:after="200" w:line="276"/>
        <w:jc w:val="left"/>
      </w:pPr>
      <w:r>
        <w:rPr>
          <w:rFonts w:ascii="Times New Roman" w:cs="Times New Roman" w:eastAsia="Times New Roman" w:hAnsi="Times New Roman"/>
          <w:sz w:val="20"/>
          <w:szCs w:val="20"/>
        </w:rPr>
        <w:t xml:space="preserve">Each gene fails the requirement of nominal significance in at least two cohorts; HSD17B1 also fails the direction-concordance requirement (4 of 6 cohorts, 67%).</w:t>
      </w:r>
    </w:p>
    <w:p>
      <w:pPr>
        <w:keepNext/>
        <w:spacing w:after="80" w:before="200" w:line="276"/>
      </w:pPr>
      <w:r>
        <w:rPr>
          <w:rFonts w:ascii="Times New Roman" w:cs="Times New Roman" w:eastAsia="Times New Roman" w:hAnsi="Times New Roman"/>
          <w:b/>
          <w:bCs/>
          <w:sz w:val="22"/>
          <w:szCs w:val="22"/>
        </w:rPr>
        <w:t xml:space="preserve">Table S8. SOD1-G93A laser-capture time-course (GSE10953): selected panel genes.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70"/>
        <w:gridCol w:w="1391"/>
        <w:gridCol w:w="1138"/>
        <w:gridCol w:w="1391"/>
        <w:gridCol w:w="1138"/>
        <w:gridCol w:w="1391"/>
        <w:gridCol w:w="1141"/>
      </w:tblGrid>
      <w:tr>
        <w:trPr>
          <w:cantSplit/>
          <w:tblHeader/>
        </w:trPr>
        <w:tc>
          <w:tcPr>
            <w:tcW w:type="dxa" w:w="1770"/>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8"/>
                <w:szCs w:val="18"/>
              </w:rPr>
              <w:t xml:space="preserve">Gene</w:t>
            </w:r>
          </w:p>
        </w:tc>
        <w:tc>
          <w:tcPr>
            <w:tcW w:type="dxa" w:w="1391"/>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8"/>
                <w:szCs w:val="18"/>
              </w:rPr>
              <w:t xml:space="preserve">60 d log</w:t>
            </w:r>
            <w:r>
              <w:rPr>
                <w:rFonts w:ascii="Times New Roman" w:cs="Times New Roman" w:eastAsia="Times New Roman" w:hAnsi="Times New Roman"/>
                <w:b/>
                <w:bCs/>
                <w:sz w:val="18"/>
                <w:szCs w:val="18"/>
                <w:vertAlign w:val="subscript"/>
              </w:rPr>
              <w:t xml:space="preserve">2</w:t>
            </w:r>
            <w:r>
              <w:rPr>
                <w:rFonts w:ascii="Times New Roman" w:cs="Times New Roman" w:eastAsia="Times New Roman" w:hAnsi="Times New Roman"/>
                <w:b/>
                <w:bCs/>
                <w:sz w:val="18"/>
                <w:szCs w:val="18"/>
              </w:rPr>
              <w:t xml:space="preserve">FC</w:t>
            </w:r>
          </w:p>
        </w:tc>
        <w:tc>
          <w:tcPr>
            <w:tcW w:type="dxa" w:w="1138"/>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8"/>
                <w:szCs w:val="18"/>
              </w:rPr>
              <w:t xml:space="preserve">60 d P</w:t>
            </w:r>
          </w:p>
        </w:tc>
        <w:tc>
          <w:tcPr>
            <w:tcW w:type="dxa" w:w="1391"/>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8"/>
                <w:szCs w:val="18"/>
              </w:rPr>
              <w:t xml:space="preserve">90 d log</w:t>
            </w:r>
            <w:r>
              <w:rPr>
                <w:rFonts w:ascii="Times New Roman" w:cs="Times New Roman" w:eastAsia="Times New Roman" w:hAnsi="Times New Roman"/>
                <w:b/>
                <w:bCs/>
                <w:sz w:val="18"/>
                <w:szCs w:val="18"/>
                <w:vertAlign w:val="subscript"/>
              </w:rPr>
              <w:t xml:space="preserve">2</w:t>
            </w:r>
            <w:r>
              <w:rPr>
                <w:rFonts w:ascii="Times New Roman" w:cs="Times New Roman" w:eastAsia="Times New Roman" w:hAnsi="Times New Roman"/>
                <w:b/>
                <w:bCs/>
                <w:sz w:val="18"/>
                <w:szCs w:val="18"/>
              </w:rPr>
              <w:t xml:space="preserve">FC</w:t>
            </w:r>
          </w:p>
        </w:tc>
        <w:tc>
          <w:tcPr>
            <w:tcW w:type="dxa" w:w="1138"/>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8"/>
                <w:szCs w:val="18"/>
              </w:rPr>
              <w:t xml:space="preserve">90 d P</w:t>
            </w:r>
          </w:p>
        </w:tc>
        <w:tc>
          <w:tcPr>
            <w:tcW w:type="dxa" w:w="1391"/>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8"/>
                <w:szCs w:val="18"/>
              </w:rPr>
              <w:t xml:space="preserve">120 d log</w:t>
            </w:r>
            <w:r>
              <w:rPr>
                <w:rFonts w:ascii="Times New Roman" w:cs="Times New Roman" w:eastAsia="Times New Roman" w:hAnsi="Times New Roman"/>
                <w:b/>
                <w:bCs/>
                <w:sz w:val="18"/>
                <w:szCs w:val="18"/>
                <w:vertAlign w:val="subscript"/>
              </w:rPr>
              <w:t xml:space="preserve">2</w:t>
            </w:r>
            <w:r>
              <w:rPr>
                <w:rFonts w:ascii="Times New Roman" w:cs="Times New Roman" w:eastAsia="Times New Roman" w:hAnsi="Times New Roman"/>
                <w:b/>
                <w:bCs/>
                <w:sz w:val="18"/>
                <w:szCs w:val="18"/>
              </w:rPr>
              <w:t xml:space="preserve">FC</w:t>
            </w:r>
          </w:p>
        </w:tc>
        <w:tc>
          <w:tcPr>
            <w:tcW w:type="dxa" w:w="1141"/>
            <w:tcBorders>
              <w:top w:val="single" w:color="999999" w:sz="4"/>
              <w:left w:val="single" w:color="999999" w:sz="4"/>
              <w:bottom w:val="single" w:color="999999" w:sz="4"/>
              <w:right w:val="single" w:color="999999" w:sz="4"/>
            </w:tcBorders>
            <w:shd w:fill="EDEDEA" w:color="auto" w:val="clear"/>
            <w:tcMar>
              <w:top w:type="dxa" w:w="40"/>
              <w:left w:type="dxa" w:w="70"/>
              <w:bottom w:type="dxa" w:w="40"/>
              <w:right w:type="dxa" w:w="70"/>
            </w:tcMar>
          </w:tcPr>
          <w:p>
            <w:pPr>
              <w:spacing w:line="240"/>
            </w:pPr>
            <w:r>
              <w:rPr>
                <w:rFonts w:ascii="Times New Roman" w:cs="Times New Roman" w:eastAsia="Times New Roman" w:hAnsi="Times New Roman"/>
                <w:b/>
                <w:bCs/>
                <w:sz w:val="18"/>
                <w:szCs w:val="18"/>
              </w:rPr>
              <w:t xml:space="preserve">120 d P</w:t>
            </w:r>
          </w:p>
        </w:tc>
      </w:tr>
      <w:tr>
        <w:trPr>
          <w:cantSplit/>
          <w:tblHeader w:val="false"/>
        </w:trPr>
        <w:tc>
          <w:tcPr>
            <w:tcW w:type="dxa" w:w="17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Gpx4</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−0.702</w:t>
            </w:r>
          </w:p>
        </w:tc>
        <w:tc>
          <w:tcPr>
            <w:tcW w:type="dxa" w:w="11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0.016</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−0.683</w:t>
            </w:r>
          </w:p>
        </w:tc>
        <w:tc>
          <w:tcPr>
            <w:tcW w:type="dxa" w:w="11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0.037</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−0.974</w:t>
            </w:r>
          </w:p>
        </w:tc>
        <w:tc>
          <w:tcPr>
            <w:tcW w:type="dxa" w:w="114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0.021</w:t>
            </w:r>
          </w:p>
        </w:tc>
      </w:tr>
      <w:tr>
        <w:trPr>
          <w:cantSplit/>
          <w:tblHeader w:val="false"/>
        </w:trPr>
        <w:tc>
          <w:tcPr>
            <w:tcW w:type="dxa" w:w="17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Cldn5</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+1.636</w:t>
            </w:r>
          </w:p>
        </w:tc>
        <w:tc>
          <w:tcPr>
            <w:tcW w:type="dxa" w:w="11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0.048</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+0.605</w:t>
            </w:r>
          </w:p>
        </w:tc>
        <w:tc>
          <w:tcPr>
            <w:tcW w:type="dxa" w:w="11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0.577</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−0.249</w:t>
            </w:r>
          </w:p>
        </w:tc>
        <w:tc>
          <w:tcPr>
            <w:tcW w:type="dxa" w:w="114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0.785</w:t>
            </w:r>
          </w:p>
        </w:tc>
      </w:tr>
      <w:tr>
        <w:trPr>
          <w:cantSplit/>
          <w:tblHeader w:val="false"/>
        </w:trPr>
        <w:tc>
          <w:tcPr>
            <w:tcW w:type="dxa" w:w="17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Tjp1</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+1.123</w:t>
            </w:r>
          </w:p>
        </w:tc>
        <w:tc>
          <w:tcPr>
            <w:tcW w:type="dxa" w:w="11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0.048</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+0.759</w:t>
            </w:r>
          </w:p>
        </w:tc>
        <w:tc>
          <w:tcPr>
            <w:tcW w:type="dxa" w:w="11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0.105</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+0.222</w:t>
            </w:r>
          </w:p>
        </w:tc>
        <w:tc>
          <w:tcPr>
            <w:tcW w:type="dxa" w:w="114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0.588</w:t>
            </w:r>
          </w:p>
        </w:tc>
      </w:tr>
      <w:tr>
        <w:trPr>
          <w:cantSplit/>
          <w:tblHeader w:val="false"/>
        </w:trPr>
        <w:tc>
          <w:tcPr>
            <w:tcW w:type="dxa" w:w="17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Tjp2</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+0.119</w:t>
            </w:r>
          </w:p>
        </w:tc>
        <w:tc>
          <w:tcPr>
            <w:tcW w:type="dxa" w:w="11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0.733</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+0.608</w:t>
            </w:r>
          </w:p>
        </w:tc>
        <w:tc>
          <w:tcPr>
            <w:tcW w:type="dxa" w:w="11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0.041</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+0.264</w:t>
            </w:r>
          </w:p>
        </w:tc>
        <w:tc>
          <w:tcPr>
            <w:tcW w:type="dxa" w:w="114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0.387</w:t>
            </w:r>
          </w:p>
        </w:tc>
      </w:tr>
      <w:tr>
        <w:trPr>
          <w:cantSplit/>
          <w:tblHeader w:val="false"/>
        </w:trPr>
        <w:tc>
          <w:tcPr>
            <w:tcW w:type="dxa" w:w="17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Fth1</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+1.244</w:t>
            </w:r>
          </w:p>
        </w:tc>
        <w:tc>
          <w:tcPr>
            <w:tcW w:type="dxa" w:w="11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0.011</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+0.331</w:t>
            </w:r>
          </w:p>
        </w:tc>
        <w:tc>
          <w:tcPr>
            <w:tcW w:type="dxa" w:w="11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0.338</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+0.072</w:t>
            </w:r>
          </w:p>
        </w:tc>
        <w:tc>
          <w:tcPr>
            <w:tcW w:type="dxa" w:w="114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0.819</w:t>
            </w:r>
          </w:p>
        </w:tc>
      </w:tr>
      <w:tr>
        <w:trPr>
          <w:cantSplit/>
          <w:tblHeader w:val="false"/>
        </w:trPr>
        <w:tc>
          <w:tcPr>
            <w:tcW w:type="dxa" w:w="17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Apoe</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+1.573</w:t>
            </w:r>
          </w:p>
        </w:tc>
        <w:tc>
          <w:tcPr>
            <w:tcW w:type="dxa" w:w="11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0.272</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+1.222</w:t>
            </w:r>
          </w:p>
        </w:tc>
        <w:tc>
          <w:tcPr>
            <w:tcW w:type="dxa" w:w="11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0.047</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+1.131</w:t>
            </w:r>
          </w:p>
        </w:tc>
        <w:tc>
          <w:tcPr>
            <w:tcW w:type="dxa" w:w="114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0.206</w:t>
            </w:r>
          </w:p>
        </w:tc>
      </w:tr>
      <w:tr>
        <w:trPr>
          <w:cantSplit/>
          <w:tblHeader w:val="false"/>
        </w:trPr>
        <w:tc>
          <w:tcPr>
            <w:tcW w:type="dxa" w:w="17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Ppargc1a</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+0.864</w:t>
            </w:r>
          </w:p>
        </w:tc>
        <w:tc>
          <w:tcPr>
            <w:tcW w:type="dxa" w:w="11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0.058</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+0.275</w:t>
            </w:r>
          </w:p>
        </w:tc>
        <w:tc>
          <w:tcPr>
            <w:tcW w:type="dxa" w:w="11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0.739</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+1.202</w:t>
            </w:r>
          </w:p>
        </w:tc>
        <w:tc>
          <w:tcPr>
            <w:tcW w:type="dxa" w:w="114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0.030</w:t>
            </w:r>
          </w:p>
        </w:tc>
      </w:tr>
      <w:tr>
        <w:trPr>
          <w:cantSplit/>
          <w:tblHeader w:val="false"/>
        </w:trPr>
        <w:tc>
          <w:tcPr>
            <w:tcW w:type="dxa" w:w="17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Usp14</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−0.033</w:t>
            </w:r>
          </w:p>
        </w:tc>
        <w:tc>
          <w:tcPr>
            <w:tcW w:type="dxa" w:w="11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0.925</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−0.129</w:t>
            </w:r>
          </w:p>
        </w:tc>
        <w:tc>
          <w:tcPr>
            <w:tcW w:type="dxa" w:w="11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0.692</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−0.734</w:t>
            </w:r>
          </w:p>
        </w:tc>
        <w:tc>
          <w:tcPr>
            <w:tcW w:type="dxa" w:w="114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0.026</w:t>
            </w:r>
          </w:p>
        </w:tc>
      </w:tr>
      <w:tr>
        <w:trPr>
          <w:cantSplit/>
          <w:tblHeader w:val="false"/>
        </w:trPr>
        <w:tc>
          <w:tcPr>
            <w:tcW w:type="dxa" w:w="17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Ndufa1</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+0.948</w:t>
            </w:r>
          </w:p>
        </w:tc>
        <w:tc>
          <w:tcPr>
            <w:tcW w:type="dxa" w:w="11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0.013</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−0.302</w:t>
            </w:r>
          </w:p>
        </w:tc>
        <w:tc>
          <w:tcPr>
            <w:tcW w:type="dxa" w:w="11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0.212</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−1.419</w:t>
            </w:r>
          </w:p>
        </w:tc>
        <w:tc>
          <w:tcPr>
            <w:tcW w:type="dxa" w:w="114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0.042</w:t>
            </w:r>
          </w:p>
        </w:tc>
      </w:tr>
      <w:tr>
        <w:trPr>
          <w:cantSplit/>
          <w:tblHeader w:val="false"/>
        </w:trPr>
        <w:tc>
          <w:tcPr>
            <w:tcW w:type="dxa" w:w="17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Sirt3</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+0.162</w:t>
            </w:r>
          </w:p>
        </w:tc>
        <w:tc>
          <w:tcPr>
            <w:tcW w:type="dxa" w:w="11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0.719</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−0.576</w:t>
            </w:r>
          </w:p>
        </w:tc>
        <w:tc>
          <w:tcPr>
            <w:tcW w:type="dxa" w:w="11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0.148</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−0.561</w:t>
            </w:r>
          </w:p>
        </w:tc>
        <w:tc>
          <w:tcPr>
            <w:tcW w:type="dxa" w:w="114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0.030</w:t>
            </w:r>
          </w:p>
        </w:tc>
      </w:tr>
      <w:tr>
        <w:trPr>
          <w:cantSplit/>
          <w:tblHeader w:val="false"/>
        </w:trPr>
        <w:tc>
          <w:tcPr>
            <w:tcW w:type="dxa" w:w="17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Dnajb1</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+1.101</w:t>
            </w:r>
          </w:p>
        </w:tc>
        <w:tc>
          <w:tcPr>
            <w:tcW w:type="dxa" w:w="11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0.085</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+0.167</w:t>
            </w:r>
          </w:p>
        </w:tc>
        <w:tc>
          <w:tcPr>
            <w:tcW w:type="dxa" w:w="11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0.639</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−0.941</w:t>
            </w:r>
          </w:p>
        </w:tc>
        <w:tc>
          <w:tcPr>
            <w:tcW w:type="dxa" w:w="114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0.036</w:t>
            </w:r>
          </w:p>
        </w:tc>
      </w:tr>
      <w:tr>
        <w:trPr>
          <w:cantSplit/>
          <w:tblHeader w:val="false"/>
        </w:trPr>
        <w:tc>
          <w:tcPr>
            <w:tcW w:type="dxa" w:w="17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Rela</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−0.287</w:t>
            </w:r>
          </w:p>
        </w:tc>
        <w:tc>
          <w:tcPr>
            <w:tcW w:type="dxa" w:w="11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0.232</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+0.028</w:t>
            </w:r>
          </w:p>
        </w:tc>
        <w:tc>
          <w:tcPr>
            <w:tcW w:type="dxa" w:w="11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0.915</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+0.551</w:t>
            </w:r>
          </w:p>
        </w:tc>
        <w:tc>
          <w:tcPr>
            <w:tcW w:type="dxa" w:w="114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0.031</w:t>
            </w:r>
          </w:p>
        </w:tc>
      </w:tr>
      <w:tr>
        <w:trPr>
          <w:cantSplit/>
          <w:tblHeader w:val="false"/>
        </w:trPr>
        <w:tc>
          <w:tcPr>
            <w:tcW w:type="dxa" w:w="1770"/>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Prdx6</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−1.008</w:t>
            </w:r>
          </w:p>
        </w:tc>
        <w:tc>
          <w:tcPr>
            <w:tcW w:type="dxa" w:w="11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0.002</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−0.261</w:t>
            </w:r>
          </w:p>
        </w:tc>
        <w:tc>
          <w:tcPr>
            <w:tcW w:type="dxa" w:w="1138"/>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0.646</w:t>
            </w:r>
          </w:p>
        </w:tc>
        <w:tc>
          <w:tcPr>
            <w:tcW w:type="dxa" w:w="139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+1.374</w:t>
            </w:r>
          </w:p>
        </w:tc>
        <w:tc>
          <w:tcPr>
            <w:tcW w:type="dxa" w:w="1141"/>
            <w:tcBorders>
              <w:top w:val="single" w:color="999999" w:sz="4"/>
              <w:left w:val="single" w:color="999999" w:sz="4"/>
              <w:bottom w:val="single" w:color="999999" w:sz="4"/>
              <w:right w:val="single" w:color="999999" w:sz="4"/>
            </w:tcBorders>
            <w:tcMar>
              <w:top w:type="dxa" w:w="40"/>
              <w:left w:type="dxa" w:w="70"/>
              <w:bottom w:type="dxa" w:w="40"/>
              <w:right w:type="dxa" w:w="70"/>
            </w:tcMar>
          </w:tcPr>
          <w:p>
            <w:pPr>
              <w:spacing w:line="240"/>
            </w:pPr>
            <w:r>
              <w:rPr>
                <w:rFonts w:ascii="Times New Roman" w:cs="Times New Roman" w:eastAsia="Times New Roman" w:hAnsi="Times New Roman"/>
                <w:b w:val="false"/>
                <w:bCs w:val="false"/>
                <w:sz w:val="18"/>
                <w:szCs w:val="18"/>
              </w:rPr>
              <w:t xml:space="preserve">0.001</w:t>
            </w:r>
          </w:p>
        </w:tc>
      </w:tr>
    </w:tbl>
    <w:p>
      <w:pPr>
        <w:spacing w:after="200" w:line="276"/>
        <w:jc w:val="left"/>
      </w:pPr>
      <w:r>
        <w:rPr>
          <w:rFonts w:ascii="Times New Roman" w:cs="Times New Roman" w:eastAsia="Times New Roman" w:hAnsi="Times New Roman"/>
          <w:sz w:val="20"/>
          <w:szCs w:val="20"/>
        </w:rPr>
        <w:t xml:space="preserve">SOD1-G93A v littermate controls; LCM lumbar motor neurons; n = 3 per group; uncorrected Student’s t-test P values; no value survives BH correction. Supporting data only; not part of the meta-analysis.</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E. McCaulley</dc:creator>
  <cp:lastModifiedBy>Mark E. McCaulley</cp:lastModifiedBy>
  <cp:revision>1</cp:revision>
  <dcterms:created xsi:type="dcterms:W3CDTF">2026-09-29T18:42:41.998Z</dcterms:created>
  <dcterms:modified xsi:type="dcterms:W3CDTF">2026-09-29T18:42:41.998Z</dcterms:modified>
</cp:coreProperties>
</file>

<file path=docProps/custom.xml><?xml version="1.0" encoding="utf-8"?>
<Properties xmlns="http://schemas.openxmlformats.org/officeDocument/2006/custom-properties" xmlns:vt="http://schemas.openxmlformats.org/officeDocument/2006/docPropsVTypes"/>
</file>