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828" w:rsidRPr="004E67A5" w:rsidRDefault="004E67A5" w:rsidP="004E67A5">
      <w:pPr>
        <w:jc w:val="center"/>
        <w:rPr>
          <w:b/>
          <w:sz w:val="44"/>
          <w:szCs w:val="44"/>
        </w:rPr>
      </w:pPr>
      <w:r w:rsidRPr="004E67A5">
        <w:rPr>
          <w:b/>
          <w:sz w:val="44"/>
          <w:szCs w:val="44"/>
        </w:rPr>
        <w:t>Supplementary Materials</w:t>
      </w:r>
    </w:p>
    <w:p w:rsidR="004E67A5" w:rsidRDefault="004E67A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1269"/>
        <w:gridCol w:w="1097"/>
        <w:gridCol w:w="1136"/>
        <w:gridCol w:w="1174"/>
        <w:gridCol w:w="1159"/>
        <w:gridCol w:w="1160"/>
      </w:tblGrid>
      <w:tr w:rsidR="004E67A5" w:rsidRPr="004E67A5" w:rsidTr="004E67A5">
        <w:tc>
          <w:tcPr>
            <w:tcW w:w="8306" w:type="dxa"/>
            <w:gridSpan w:val="7"/>
          </w:tcPr>
          <w:p w:rsidR="004E67A5" w:rsidRPr="004E67A5" w:rsidRDefault="004E67A5" w:rsidP="004E67A5">
            <w:pPr>
              <w:rPr>
                <w:rFonts w:ascii="Times New Roman" w:hAnsi="Times New Roman" w:cs="Times New Roman"/>
                <w:b/>
              </w:rPr>
            </w:pPr>
            <w:r w:rsidRPr="004E67A5">
              <w:rPr>
                <w:rFonts w:ascii="Times New Roman" w:hAnsi="Times New Roman" w:cs="Times New Roman"/>
                <w:b/>
              </w:rPr>
              <w:t xml:space="preserve">Supplementary </w:t>
            </w:r>
            <w:r>
              <w:rPr>
                <w:rFonts w:ascii="Times New Roman" w:hAnsi="Times New Roman" w:cs="Times New Roman"/>
                <w:b/>
              </w:rPr>
              <w:t>Table 1</w:t>
            </w:r>
            <w:r w:rsidRPr="004E67A5">
              <w:rPr>
                <w:rFonts w:ascii="Times New Roman" w:hAnsi="Times New Roman" w:cs="Times New Roman"/>
                <w:b/>
              </w:rPr>
              <w:t>. Primary outcome: all-cause mortality</w:t>
            </w:r>
          </w:p>
        </w:tc>
      </w:tr>
      <w:tr w:rsidR="004E67A5" w:rsidRPr="004E67A5" w:rsidTr="004E67A5">
        <w:tc>
          <w:tcPr>
            <w:tcW w:w="8306" w:type="dxa"/>
            <w:gridSpan w:val="7"/>
            <w:tcBorders>
              <w:bottom w:val="single" w:sz="12" w:space="0" w:color="auto"/>
            </w:tcBorders>
          </w:tcPr>
          <w:p w:rsidR="004E67A5" w:rsidRPr="004E67A5" w:rsidRDefault="004E67A5" w:rsidP="004E67A5">
            <w:pPr>
              <w:rPr>
                <w:rFonts w:ascii="Times New Roman" w:hAnsi="Times New Roman" w:cs="Times New Roman"/>
                <w:b/>
              </w:rPr>
            </w:pPr>
            <w:r w:rsidRPr="004E67A5">
              <w:rPr>
                <w:rFonts w:ascii="Times New Roman" w:hAnsi="Times New Roman" w:cs="Times New Roman"/>
                <w:b/>
              </w:rPr>
              <w:t>Panel A. Weighted cumulative incidence of death, %</w:t>
            </w:r>
          </w:p>
        </w:tc>
      </w:tr>
      <w:tr w:rsidR="004E67A5" w:rsidRPr="004E67A5" w:rsidTr="00F0364C">
        <w:tc>
          <w:tcPr>
            <w:tcW w:w="258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Time after ICU admission</w:t>
            </w:r>
          </w:p>
        </w:tc>
        <w:tc>
          <w:tcPr>
            <w:tcW w:w="1097" w:type="dxa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S1, &lt;24 h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S2, &lt;48 h</w:t>
            </w: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S3, &lt;72 h</w:t>
            </w:r>
          </w:p>
        </w:tc>
        <w:tc>
          <w:tcPr>
            <w:tcW w:w="231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S4, ≥72 h–discharge</w:t>
            </w:r>
          </w:p>
        </w:tc>
      </w:tr>
      <w:tr w:rsidR="004E67A5" w:rsidRPr="004E67A5" w:rsidTr="00552489">
        <w:tc>
          <w:tcPr>
            <w:tcW w:w="2580" w:type="dxa"/>
            <w:gridSpan w:val="2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30 days</w:t>
            </w:r>
          </w:p>
        </w:tc>
        <w:tc>
          <w:tcPr>
            <w:tcW w:w="1097" w:type="dxa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</w:tc>
        <w:tc>
          <w:tcPr>
            <w:tcW w:w="1136" w:type="dxa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1174" w:type="dxa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2319" w:type="dxa"/>
            <w:gridSpan w:val="2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</w:tr>
      <w:tr w:rsidR="004E67A5" w:rsidRPr="004E67A5" w:rsidTr="005706EE">
        <w:tc>
          <w:tcPr>
            <w:tcW w:w="2580" w:type="dxa"/>
            <w:gridSpan w:val="2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90 days</w:t>
            </w:r>
          </w:p>
        </w:tc>
        <w:tc>
          <w:tcPr>
            <w:tcW w:w="1097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1.57</w:t>
            </w:r>
          </w:p>
        </w:tc>
        <w:tc>
          <w:tcPr>
            <w:tcW w:w="1136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1174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1.78</w:t>
            </w:r>
          </w:p>
        </w:tc>
        <w:tc>
          <w:tcPr>
            <w:tcW w:w="2319" w:type="dxa"/>
            <w:gridSpan w:val="2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</w:tr>
      <w:tr w:rsidR="004E67A5" w:rsidRPr="004E67A5" w:rsidTr="0087714A">
        <w:tc>
          <w:tcPr>
            <w:tcW w:w="2580" w:type="dxa"/>
            <w:gridSpan w:val="2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 year</w:t>
            </w:r>
          </w:p>
        </w:tc>
        <w:tc>
          <w:tcPr>
            <w:tcW w:w="1097" w:type="dxa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4.90</w:t>
            </w:r>
          </w:p>
        </w:tc>
        <w:tc>
          <w:tcPr>
            <w:tcW w:w="1136" w:type="dxa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2.76</w:t>
            </w:r>
          </w:p>
        </w:tc>
        <w:tc>
          <w:tcPr>
            <w:tcW w:w="1174" w:type="dxa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3.05</w:t>
            </w:r>
          </w:p>
        </w:tc>
        <w:tc>
          <w:tcPr>
            <w:tcW w:w="2319" w:type="dxa"/>
            <w:gridSpan w:val="2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4.57</w:t>
            </w:r>
          </w:p>
        </w:tc>
      </w:tr>
      <w:tr w:rsidR="004E67A5" w:rsidRPr="004E67A5" w:rsidTr="004E67A5">
        <w:tc>
          <w:tcPr>
            <w:tcW w:w="1311" w:type="dxa"/>
            <w:tcBorders>
              <w:top w:val="single" w:sz="12" w:space="0" w:color="auto"/>
            </w:tcBorders>
          </w:tcPr>
          <w:p w:rsidR="004E67A5" w:rsidRPr="004E67A5" w:rsidRDefault="004E67A5" w:rsidP="004E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single" w:sz="12" w:space="0" w:color="auto"/>
            </w:tcBorders>
          </w:tcPr>
          <w:p w:rsidR="004E67A5" w:rsidRPr="004E67A5" w:rsidRDefault="004E67A5" w:rsidP="004E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single" w:sz="12" w:space="0" w:color="auto"/>
            </w:tcBorders>
          </w:tcPr>
          <w:p w:rsidR="004E67A5" w:rsidRPr="004E67A5" w:rsidRDefault="004E67A5" w:rsidP="004E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12" w:space="0" w:color="auto"/>
            </w:tcBorders>
          </w:tcPr>
          <w:p w:rsidR="004E67A5" w:rsidRPr="004E67A5" w:rsidRDefault="004E67A5" w:rsidP="004E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</w:tcPr>
          <w:p w:rsidR="004E67A5" w:rsidRPr="004E67A5" w:rsidRDefault="004E67A5" w:rsidP="004E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single" w:sz="12" w:space="0" w:color="auto"/>
            </w:tcBorders>
          </w:tcPr>
          <w:p w:rsidR="004E67A5" w:rsidRPr="004E67A5" w:rsidRDefault="004E67A5" w:rsidP="004E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12" w:space="0" w:color="auto"/>
            </w:tcBorders>
          </w:tcPr>
          <w:p w:rsidR="004E67A5" w:rsidRPr="004E67A5" w:rsidRDefault="004E67A5" w:rsidP="004E67A5">
            <w:pPr>
              <w:rPr>
                <w:rFonts w:ascii="Times New Roman" w:hAnsi="Times New Roman" w:cs="Times New Roman"/>
              </w:rPr>
            </w:pPr>
          </w:p>
        </w:tc>
      </w:tr>
      <w:tr w:rsidR="004E67A5" w:rsidRPr="004E67A5" w:rsidTr="004E67A5">
        <w:tc>
          <w:tcPr>
            <w:tcW w:w="8306" w:type="dxa"/>
            <w:gridSpan w:val="7"/>
          </w:tcPr>
          <w:p w:rsidR="004E67A5" w:rsidRPr="004E67A5" w:rsidRDefault="004E67A5" w:rsidP="004E67A5">
            <w:pPr>
              <w:rPr>
                <w:rFonts w:ascii="Times New Roman" w:hAnsi="Times New Roman" w:cs="Times New Roman"/>
                <w:b/>
              </w:rPr>
            </w:pPr>
            <w:r w:rsidRPr="004E67A5">
              <w:rPr>
                <w:rFonts w:ascii="Times New Roman" w:hAnsi="Times New Roman" w:cs="Times New Roman"/>
                <w:b/>
              </w:rPr>
              <w:t>Panel B. Pairwise comparisons at 1 year</w:t>
            </w:r>
          </w:p>
        </w:tc>
      </w:tr>
      <w:tr w:rsidR="004E67A5" w:rsidRPr="004E67A5" w:rsidTr="004E67A5">
        <w:tc>
          <w:tcPr>
            <w:tcW w:w="1311" w:type="dxa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Comparison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Risk difference, pp</w:t>
            </w:r>
            <w:r w:rsidRPr="00BD3BC5">
              <w:rPr>
                <w:rFonts w:ascii="Times New Roman" w:hAnsi="Times New Roman" w:cs="Times New Roman"/>
                <w:sz w:val="18"/>
                <w:szCs w:val="18"/>
              </w:rPr>
              <w:br/>
              <w:t>(95% CI)</w:t>
            </w:r>
          </w:p>
        </w:tc>
        <w:tc>
          <w:tcPr>
            <w:tcW w:w="1097" w:type="dxa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q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Risk ratio</w:t>
            </w:r>
            <w:r w:rsidRPr="00BD3BC5">
              <w:rPr>
                <w:rFonts w:ascii="Times New Roman" w:hAnsi="Times New Roman" w:cs="Times New Roman"/>
                <w:sz w:val="18"/>
                <w:szCs w:val="18"/>
              </w:rPr>
              <w:br/>
              <w:t>(95% CI)</w:t>
            </w: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Hazard ratio</w:t>
            </w:r>
            <w:r w:rsidRPr="00BD3BC5">
              <w:rPr>
                <w:rFonts w:ascii="Times New Roman" w:hAnsi="Times New Roman" w:cs="Times New Roman"/>
                <w:sz w:val="18"/>
                <w:szCs w:val="18"/>
              </w:rPr>
              <w:br/>
              <w:t>(95% CI)</w:t>
            </w:r>
          </w:p>
        </w:tc>
        <w:tc>
          <w:tcPr>
            <w:tcW w:w="1159" w:type="dxa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E-value, RR</w:t>
            </w:r>
            <w:r w:rsidRPr="00BD3BC5">
              <w:rPr>
                <w:rFonts w:ascii="Times New Roman" w:hAnsi="Times New Roman" w:cs="Times New Roman"/>
                <w:sz w:val="18"/>
                <w:szCs w:val="18"/>
              </w:rPr>
              <w:br/>
              <w:t>(point; CI limit)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E-value, HR</w:t>
            </w:r>
            <w:r w:rsidRPr="00BD3BC5">
              <w:rPr>
                <w:rFonts w:ascii="Times New Roman" w:hAnsi="Times New Roman" w:cs="Times New Roman"/>
                <w:sz w:val="18"/>
                <w:szCs w:val="18"/>
              </w:rPr>
              <w:br/>
              <w:t>(point; CI limit)</w:t>
            </w:r>
          </w:p>
        </w:tc>
      </w:tr>
      <w:tr w:rsidR="004E67A5" w:rsidRPr="004E67A5" w:rsidTr="004E67A5">
        <w:tc>
          <w:tcPr>
            <w:tcW w:w="1311" w:type="dxa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S1 vs S2</w:t>
            </w:r>
          </w:p>
        </w:tc>
        <w:tc>
          <w:tcPr>
            <w:tcW w:w="1269" w:type="dxa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2.14 (0.05, 4.27)</w:t>
            </w:r>
          </w:p>
        </w:tc>
        <w:tc>
          <w:tcPr>
            <w:tcW w:w="1097" w:type="dxa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1136" w:type="dxa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1.78 (1.02, 2.67)</w:t>
            </w:r>
          </w:p>
        </w:tc>
        <w:tc>
          <w:tcPr>
            <w:tcW w:w="1174" w:type="dxa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1.70 (1.01, 2.55)</w:t>
            </w:r>
          </w:p>
        </w:tc>
        <w:tc>
          <w:tcPr>
            <w:tcW w:w="1159" w:type="dxa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2.95 (1.14)</w:t>
            </w:r>
          </w:p>
        </w:tc>
        <w:tc>
          <w:tcPr>
            <w:tcW w:w="1160" w:type="dxa"/>
            <w:tcBorders>
              <w:top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2.79 (1.11)</w:t>
            </w:r>
          </w:p>
        </w:tc>
      </w:tr>
      <w:tr w:rsidR="004E67A5" w:rsidRPr="004E67A5" w:rsidTr="004E67A5">
        <w:tc>
          <w:tcPr>
            <w:tcW w:w="1311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S1 vs S3</w:t>
            </w:r>
          </w:p>
        </w:tc>
        <w:tc>
          <w:tcPr>
            <w:tcW w:w="1269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1.85 (−0.24, 4.31)</w:t>
            </w:r>
          </w:p>
        </w:tc>
        <w:tc>
          <w:tcPr>
            <w:tcW w:w="1097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1136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1.61 (0.93, 2.53)</w:t>
            </w:r>
          </w:p>
        </w:tc>
        <w:tc>
          <w:tcPr>
            <w:tcW w:w="1174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1.55 (0.92, 2.42)</w:t>
            </w:r>
          </w:p>
        </w:tc>
        <w:tc>
          <w:tcPr>
            <w:tcW w:w="1159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2.60 (1.00)</w:t>
            </w:r>
          </w:p>
        </w:tc>
        <w:tc>
          <w:tcPr>
            <w:tcW w:w="1160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2.48 (1.00)</w:t>
            </w:r>
          </w:p>
        </w:tc>
      </w:tr>
      <w:tr w:rsidR="004E67A5" w:rsidRPr="004E67A5" w:rsidTr="004E67A5">
        <w:tc>
          <w:tcPr>
            <w:tcW w:w="1311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S1 vs S4</w:t>
            </w:r>
          </w:p>
        </w:tc>
        <w:tc>
          <w:tcPr>
            <w:tcW w:w="1269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0.33 (−2.76, 3.54)</w:t>
            </w:r>
          </w:p>
        </w:tc>
        <w:tc>
          <w:tcPr>
            <w:tcW w:w="1097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136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1.07 (0.49, 2.02)</w:t>
            </w:r>
          </w:p>
        </w:tc>
        <w:tc>
          <w:tcPr>
            <w:tcW w:w="1174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1.11 (0.54, 2.12)</w:t>
            </w:r>
          </w:p>
        </w:tc>
        <w:tc>
          <w:tcPr>
            <w:tcW w:w="1159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1.35 (1.00)</w:t>
            </w:r>
          </w:p>
        </w:tc>
        <w:tc>
          <w:tcPr>
            <w:tcW w:w="1160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1.46 (1.00)</w:t>
            </w:r>
          </w:p>
        </w:tc>
      </w:tr>
      <w:tr w:rsidR="004E67A5" w:rsidRPr="004E67A5" w:rsidTr="004E67A5">
        <w:tc>
          <w:tcPr>
            <w:tcW w:w="1311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S2 vs S3</w:t>
            </w:r>
          </w:p>
        </w:tc>
        <w:tc>
          <w:tcPr>
            <w:tcW w:w="1269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−0.29 (−1.37, 0.62)</w:t>
            </w:r>
          </w:p>
        </w:tc>
        <w:tc>
          <w:tcPr>
            <w:tcW w:w="1097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136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0.91 (0.62, 1.23)</w:t>
            </w:r>
          </w:p>
        </w:tc>
        <w:tc>
          <w:tcPr>
            <w:tcW w:w="1174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0.91 (0.62, 1.23)</w:t>
            </w:r>
          </w:p>
        </w:tc>
        <w:tc>
          <w:tcPr>
            <w:tcW w:w="1159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1.44 (1.00)</w:t>
            </w:r>
          </w:p>
        </w:tc>
        <w:tc>
          <w:tcPr>
            <w:tcW w:w="1160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1.44 (1.00)</w:t>
            </w:r>
          </w:p>
        </w:tc>
      </w:tr>
      <w:tr w:rsidR="004E67A5" w:rsidRPr="004E67A5" w:rsidTr="004E67A5">
        <w:tc>
          <w:tcPr>
            <w:tcW w:w="1311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S2 vs S4</w:t>
            </w:r>
          </w:p>
        </w:tc>
        <w:tc>
          <w:tcPr>
            <w:tcW w:w="1269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−1.81 (−3.84, 0.35)</w:t>
            </w:r>
          </w:p>
        </w:tc>
        <w:tc>
          <w:tcPr>
            <w:tcW w:w="1097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1136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0.60 (0.33, 1.10)</w:t>
            </w:r>
          </w:p>
        </w:tc>
        <w:tc>
          <w:tcPr>
            <w:tcW w:w="1174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0.63 (0.35, 1.14)</w:t>
            </w:r>
          </w:p>
        </w:tc>
        <w:tc>
          <w:tcPr>
            <w:tcW w:w="1159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2.70 (1.00)</w:t>
            </w:r>
          </w:p>
        </w:tc>
        <w:tc>
          <w:tcPr>
            <w:tcW w:w="1160" w:type="dxa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2.57 (1.00)</w:t>
            </w:r>
          </w:p>
        </w:tc>
      </w:tr>
      <w:tr w:rsidR="004E67A5" w:rsidRPr="004E67A5" w:rsidTr="004E67A5">
        <w:tc>
          <w:tcPr>
            <w:tcW w:w="1311" w:type="dxa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S3 vs S4</w:t>
            </w:r>
          </w:p>
        </w:tc>
        <w:tc>
          <w:tcPr>
            <w:tcW w:w="1269" w:type="dxa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−1.52 (−3.72, 0.51)</w:t>
            </w:r>
          </w:p>
        </w:tc>
        <w:tc>
          <w:tcPr>
            <w:tcW w:w="1097" w:type="dxa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136" w:type="dxa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0.67 (0.37, 1.14)</w:t>
            </w:r>
          </w:p>
        </w:tc>
        <w:tc>
          <w:tcPr>
            <w:tcW w:w="1174" w:type="dxa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0.69 (0.38, 1.16)</w:t>
            </w: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2.37 (1.00)</w:t>
            </w:r>
          </w:p>
        </w:tc>
        <w:tc>
          <w:tcPr>
            <w:tcW w:w="1160" w:type="dxa"/>
            <w:tcBorders>
              <w:bottom w:val="single" w:sz="12" w:space="0" w:color="auto"/>
            </w:tcBorders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2.28 (1.00)</w:t>
            </w:r>
          </w:p>
        </w:tc>
      </w:tr>
      <w:tr w:rsidR="004E67A5" w:rsidRPr="004E67A5" w:rsidTr="004E67A5">
        <w:tc>
          <w:tcPr>
            <w:tcW w:w="8306" w:type="dxa"/>
            <w:gridSpan w:val="7"/>
          </w:tcPr>
          <w:p w:rsidR="004E67A5" w:rsidRPr="00BD3BC5" w:rsidRDefault="004E67A5" w:rsidP="004E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BC5">
              <w:rPr>
                <w:rFonts w:ascii="Times New Roman" w:hAnsi="Times New Roman" w:cs="Times New Roman"/>
                <w:sz w:val="18"/>
                <w:szCs w:val="18"/>
              </w:rPr>
              <w:t>Risk differences are in percentage points (pp) and were obtained from weighted cumulative incidence estimates; 95% confidence intervals are from 500 bootstrap resamples of patients. q values are Benjamini–Hochberg adjusted within the outcome family (6 pairwise comparisons). * q &lt; 0.05; † 0.05 ≤ q &lt; 0.10. E-values were calculated with the VanderWeele–Ding formula after approximate conversion of the hazard ratio to a risk ratio; the value in parentheses is the E-value for the confidence limit closest to the null. No comparison of the primary outcome remained significant after correction for multiple comparisons. CI, confidence interval; HR, hazard ratio; RR, risk ratio.</w:t>
            </w:r>
          </w:p>
        </w:tc>
      </w:tr>
    </w:tbl>
    <w:p w:rsidR="004E67A5" w:rsidRDefault="004E67A5" w:rsidP="004E67A5">
      <w:pPr>
        <w:rPr>
          <w:b/>
        </w:rPr>
      </w:pPr>
    </w:p>
    <w:p w:rsidR="00BD3BC5" w:rsidRDefault="00BD3BC5" w:rsidP="004E67A5">
      <w:pPr>
        <w:rPr>
          <w:rFonts w:hint="eastAsia"/>
          <w:b/>
        </w:rPr>
      </w:pP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1156"/>
        <w:gridCol w:w="1156"/>
        <w:gridCol w:w="1157"/>
        <w:gridCol w:w="1157"/>
        <w:gridCol w:w="1157"/>
        <w:gridCol w:w="1158"/>
      </w:tblGrid>
      <w:tr w:rsidR="00BD3BC5" w:rsidRPr="00BD3BC5" w:rsidTr="00BD3BC5">
        <w:tc>
          <w:tcPr>
            <w:tcW w:w="8296" w:type="dxa"/>
            <w:gridSpan w:val="7"/>
          </w:tcPr>
          <w:p w:rsidR="00BD3BC5" w:rsidRPr="00BD3BC5" w:rsidRDefault="00BD3BC5" w:rsidP="00BD3BC5">
            <w:pPr>
              <w:rPr>
                <w:rFonts w:hint="eastAsia"/>
                <w:b/>
              </w:rPr>
            </w:pPr>
            <w:r w:rsidRPr="00BD3BC5">
              <w:rPr>
                <w:b/>
              </w:rPr>
              <w:t>Supplementary Table 2. Secondary outcomes</w:t>
            </w:r>
          </w:p>
        </w:tc>
      </w:tr>
      <w:tr w:rsidR="00BD3BC5" w:rsidRPr="00BD3BC5" w:rsidTr="00BD3BC5">
        <w:tc>
          <w:tcPr>
            <w:tcW w:w="8296" w:type="dxa"/>
            <w:gridSpan w:val="7"/>
          </w:tcPr>
          <w:p w:rsidR="00BD3BC5" w:rsidRPr="00BD3BC5" w:rsidRDefault="00BD3BC5">
            <w:pPr>
              <w:rPr>
                <w:b/>
              </w:rPr>
            </w:pPr>
            <w:r w:rsidRPr="00BD3BC5">
              <w:rPr>
                <w:b/>
              </w:rPr>
              <w:t>Panel A. Weighted risk at 30 days, %</w:t>
            </w:r>
          </w:p>
        </w:tc>
      </w:tr>
      <w:tr w:rsidR="00BD3BC5" w:rsidRPr="00BD3BC5" w:rsidTr="00BD3BC5">
        <w:tc>
          <w:tcPr>
            <w:tcW w:w="251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Outcome</w:t>
            </w:r>
          </w:p>
        </w:tc>
        <w:tc>
          <w:tcPr>
            <w:tcW w:w="1156" w:type="dxa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S1, &lt;24 h</w:t>
            </w:r>
          </w:p>
        </w:tc>
        <w:tc>
          <w:tcPr>
            <w:tcW w:w="1157" w:type="dxa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S2, &lt;48 h</w:t>
            </w:r>
          </w:p>
        </w:tc>
        <w:tc>
          <w:tcPr>
            <w:tcW w:w="1157" w:type="dxa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S3, &lt;72 h</w:t>
            </w:r>
          </w:p>
        </w:tc>
        <w:tc>
          <w:tcPr>
            <w:tcW w:w="231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jc w:val="center"/>
            </w:pPr>
            <w:r w:rsidRPr="00BD3BC5">
              <w:rPr>
                <w:rFonts w:ascii="Arial" w:eastAsia="Arial" w:hAnsi="Arial"/>
                <w:sz w:val="16"/>
              </w:rPr>
              <w:t>S4, ≥72 h–discharge</w:t>
            </w:r>
          </w:p>
        </w:tc>
      </w:tr>
      <w:tr w:rsidR="00BD3BC5" w:rsidRPr="00BD3BC5" w:rsidTr="00BD3BC5">
        <w:tc>
          <w:tcPr>
            <w:tcW w:w="2511" w:type="dxa"/>
            <w:gridSpan w:val="2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Hypotension</w:t>
            </w:r>
          </w:p>
        </w:tc>
        <w:tc>
          <w:tcPr>
            <w:tcW w:w="1156" w:type="dxa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58.50</w:t>
            </w:r>
          </w:p>
        </w:tc>
        <w:tc>
          <w:tcPr>
            <w:tcW w:w="1157" w:type="dxa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60.04</w:t>
            </w:r>
          </w:p>
        </w:tc>
        <w:tc>
          <w:tcPr>
            <w:tcW w:w="1157" w:type="dxa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60.09</w:t>
            </w:r>
          </w:p>
        </w:tc>
        <w:tc>
          <w:tcPr>
            <w:tcW w:w="2315" w:type="dxa"/>
            <w:gridSpan w:val="2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jc w:val="center"/>
            </w:pPr>
            <w:r w:rsidRPr="00BD3BC5">
              <w:rPr>
                <w:rFonts w:ascii="Arial" w:eastAsia="Arial" w:hAnsi="Arial"/>
                <w:sz w:val="16"/>
              </w:rPr>
              <w:t>61.68</w:t>
            </w:r>
          </w:p>
        </w:tc>
      </w:tr>
      <w:tr w:rsidR="00BD3BC5" w:rsidRPr="00BD3BC5" w:rsidTr="00CE3BBE">
        <w:tc>
          <w:tcPr>
            <w:tcW w:w="2511" w:type="dxa"/>
            <w:gridSpan w:val="2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Acute kidney injury (KDIGO ≥2)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4.43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5.41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5.47</w:t>
            </w:r>
          </w:p>
        </w:tc>
        <w:tc>
          <w:tcPr>
            <w:tcW w:w="2315" w:type="dxa"/>
            <w:gridSpan w:val="2"/>
          </w:tcPr>
          <w:p w:rsidR="00BD3BC5" w:rsidRPr="00BD3BC5" w:rsidRDefault="00BD3BC5" w:rsidP="00BD3BC5">
            <w:pPr>
              <w:jc w:val="center"/>
            </w:pPr>
            <w:r w:rsidRPr="00BD3BC5">
              <w:rPr>
                <w:rFonts w:ascii="Arial" w:eastAsia="Arial" w:hAnsi="Arial"/>
                <w:sz w:val="16"/>
              </w:rPr>
              <w:t>6.53</w:t>
            </w:r>
          </w:p>
        </w:tc>
      </w:tr>
      <w:tr w:rsidR="00BD3BC5" w:rsidRPr="00BD3BC5" w:rsidTr="009B2D7C">
        <w:tc>
          <w:tcPr>
            <w:tcW w:w="2511" w:type="dxa"/>
            <w:gridSpan w:val="2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Hyperkalemia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25.74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26.86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27.10</w:t>
            </w:r>
          </w:p>
        </w:tc>
        <w:tc>
          <w:tcPr>
            <w:tcW w:w="2315" w:type="dxa"/>
            <w:gridSpan w:val="2"/>
          </w:tcPr>
          <w:p w:rsidR="00BD3BC5" w:rsidRPr="00BD3BC5" w:rsidRDefault="00BD3BC5" w:rsidP="00BD3BC5">
            <w:pPr>
              <w:jc w:val="center"/>
            </w:pPr>
            <w:r w:rsidRPr="00BD3BC5">
              <w:rPr>
                <w:rFonts w:ascii="Arial" w:eastAsia="Arial" w:hAnsi="Arial"/>
                <w:sz w:val="16"/>
              </w:rPr>
              <w:t>28.13</w:t>
            </w:r>
          </w:p>
        </w:tc>
      </w:tr>
      <w:tr w:rsidR="00BD3BC5" w:rsidRPr="00BD3BC5" w:rsidTr="00FF05C5">
        <w:tc>
          <w:tcPr>
            <w:tcW w:w="2511" w:type="dxa"/>
            <w:gridSpan w:val="2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Reintubation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0.93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2.53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2.72</w:t>
            </w:r>
          </w:p>
        </w:tc>
        <w:tc>
          <w:tcPr>
            <w:tcW w:w="2315" w:type="dxa"/>
            <w:gridSpan w:val="2"/>
          </w:tcPr>
          <w:p w:rsidR="00BD3BC5" w:rsidRPr="00BD3BC5" w:rsidRDefault="00BD3BC5" w:rsidP="00BD3BC5">
            <w:pPr>
              <w:jc w:val="center"/>
            </w:pPr>
            <w:r w:rsidRPr="00BD3BC5">
              <w:rPr>
                <w:rFonts w:ascii="Arial" w:eastAsia="Arial" w:hAnsi="Arial"/>
                <w:sz w:val="16"/>
              </w:rPr>
              <w:t>3.34</w:t>
            </w:r>
          </w:p>
        </w:tc>
      </w:tr>
      <w:tr w:rsidR="00BD3BC5" w:rsidRPr="00BD3BC5" w:rsidTr="00E07174">
        <w:tc>
          <w:tcPr>
            <w:tcW w:w="2511" w:type="dxa"/>
            <w:gridSpan w:val="2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lastRenderedPageBreak/>
              <w:t>New-onset atrial fibrillation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21.63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23.34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22.85</w:t>
            </w:r>
          </w:p>
        </w:tc>
        <w:tc>
          <w:tcPr>
            <w:tcW w:w="2315" w:type="dxa"/>
            <w:gridSpan w:val="2"/>
          </w:tcPr>
          <w:p w:rsidR="00BD3BC5" w:rsidRPr="00BD3BC5" w:rsidRDefault="00BD3BC5" w:rsidP="00BD3BC5">
            <w:pPr>
              <w:jc w:val="center"/>
            </w:pPr>
            <w:r w:rsidRPr="00BD3BC5">
              <w:rPr>
                <w:rFonts w:ascii="Arial" w:eastAsia="Arial" w:hAnsi="Arial"/>
                <w:sz w:val="16"/>
              </w:rPr>
              <w:t>24.42</w:t>
            </w:r>
          </w:p>
        </w:tc>
      </w:tr>
      <w:tr w:rsidR="00BD3BC5" w:rsidRPr="00BD3BC5" w:rsidTr="00F05121">
        <w:tc>
          <w:tcPr>
            <w:tcW w:w="2511" w:type="dxa"/>
            <w:gridSpan w:val="2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Liver injury (≥ grade 3)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1.70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2.44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3.24</w:t>
            </w:r>
          </w:p>
        </w:tc>
        <w:tc>
          <w:tcPr>
            <w:tcW w:w="2315" w:type="dxa"/>
            <w:gridSpan w:val="2"/>
          </w:tcPr>
          <w:p w:rsidR="00BD3BC5" w:rsidRPr="00BD3BC5" w:rsidRDefault="00BD3BC5" w:rsidP="00BD3BC5">
            <w:pPr>
              <w:jc w:val="center"/>
            </w:pPr>
            <w:r w:rsidRPr="00BD3BC5">
              <w:rPr>
                <w:rFonts w:ascii="Arial" w:eastAsia="Arial" w:hAnsi="Arial"/>
                <w:sz w:val="16"/>
              </w:rPr>
              <w:t>4.39</w:t>
            </w:r>
          </w:p>
        </w:tc>
      </w:tr>
      <w:tr w:rsidR="00BD3BC5" w:rsidRPr="00BD3BC5" w:rsidTr="0002398F">
        <w:tc>
          <w:tcPr>
            <w:tcW w:w="2511" w:type="dxa"/>
            <w:gridSpan w:val="2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Infection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12.91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14.98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13.99</w:t>
            </w:r>
          </w:p>
        </w:tc>
        <w:tc>
          <w:tcPr>
            <w:tcW w:w="2315" w:type="dxa"/>
            <w:gridSpan w:val="2"/>
          </w:tcPr>
          <w:p w:rsidR="00BD3BC5" w:rsidRPr="00BD3BC5" w:rsidRDefault="00BD3BC5" w:rsidP="00BD3BC5">
            <w:pPr>
              <w:jc w:val="center"/>
            </w:pPr>
            <w:r w:rsidRPr="00BD3BC5">
              <w:rPr>
                <w:rFonts w:ascii="Arial" w:eastAsia="Arial" w:hAnsi="Arial"/>
                <w:sz w:val="16"/>
              </w:rPr>
              <w:t>11.90</w:t>
            </w:r>
          </w:p>
        </w:tc>
      </w:tr>
      <w:tr w:rsidR="00BD3BC5" w:rsidRPr="00BD3BC5" w:rsidTr="000945C6">
        <w:tc>
          <w:tcPr>
            <w:tcW w:w="2511" w:type="dxa"/>
            <w:gridSpan w:val="2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Pulmonary complications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25.14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27.37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26.09</w:t>
            </w:r>
          </w:p>
        </w:tc>
        <w:tc>
          <w:tcPr>
            <w:tcW w:w="2315" w:type="dxa"/>
            <w:gridSpan w:val="2"/>
          </w:tcPr>
          <w:p w:rsidR="00BD3BC5" w:rsidRPr="00BD3BC5" w:rsidRDefault="00BD3BC5" w:rsidP="00BD3BC5">
            <w:pPr>
              <w:jc w:val="center"/>
            </w:pPr>
            <w:r w:rsidRPr="00BD3BC5">
              <w:rPr>
                <w:rFonts w:ascii="Arial" w:eastAsia="Arial" w:hAnsi="Arial"/>
                <w:sz w:val="16"/>
              </w:rPr>
              <w:t>23.55</w:t>
            </w:r>
          </w:p>
        </w:tc>
      </w:tr>
      <w:tr w:rsidR="00BD3BC5" w:rsidRPr="00BD3BC5" w:rsidTr="00BD3BC5">
        <w:tc>
          <w:tcPr>
            <w:tcW w:w="2511" w:type="dxa"/>
            <w:gridSpan w:val="2"/>
            <w:tcBorders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Cardiovascular or cerebrovascular events</w:t>
            </w:r>
          </w:p>
        </w:tc>
        <w:tc>
          <w:tcPr>
            <w:tcW w:w="1156" w:type="dxa"/>
            <w:tcBorders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14.36</w:t>
            </w:r>
          </w:p>
        </w:tc>
        <w:tc>
          <w:tcPr>
            <w:tcW w:w="1157" w:type="dxa"/>
            <w:tcBorders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15.65</w:t>
            </w:r>
          </w:p>
        </w:tc>
        <w:tc>
          <w:tcPr>
            <w:tcW w:w="1157" w:type="dxa"/>
            <w:tcBorders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15.05</w:t>
            </w:r>
          </w:p>
        </w:tc>
        <w:tc>
          <w:tcPr>
            <w:tcW w:w="2315" w:type="dxa"/>
            <w:gridSpan w:val="2"/>
          </w:tcPr>
          <w:p w:rsidR="00BD3BC5" w:rsidRPr="00BD3BC5" w:rsidRDefault="00BD3BC5" w:rsidP="00BD3BC5">
            <w:pPr>
              <w:jc w:val="center"/>
            </w:pPr>
            <w:r w:rsidRPr="00BD3BC5">
              <w:rPr>
                <w:rFonts w:ascii="Arial" w:eastAsia="Arial" w:hAnsi="Arial"/>
                <w:sz w:val="16"/>
              </w:rPr>
              <w:t>13.41</w:t>
            </w:r>
          </w:p>
        </w:tc>
      </w:tr>
      <w:tr w:rsidR="00BD3BC5" w:rsidRPr="00BD3BC5" w:rsidTr="00BD3BC5">
        <w:tc>
          <w:tcPr>
            <w:tcW w:w="1355" w:type="dxa"/>
            <w:tcBorders>
              <w:top w:val="single" w:sz="12" w:space="0" w:color="auto"/>
            </w:tcBorders>
          </w:tcPr>
          <w:p w:rsidR="00BD3BC5" w:rsidRPr="00BD3BC5" w:rsidRDefault="00BD3BC5" w:rsidP="00BD3BC5"/>
        </w:tc>
        <w:tc>
          <w:tcPr>
            <w:tcW w:w="1156" w:type="dxa"/>
            <w:tcBorders>
              <w:top w:val="single" w:sz="12" w:space="0" w:color="auto"/>
            </w:tcBorders>
          </w:tcPr>
          <w:p w:rsidR="00BD3BC5" w:rsidRPr="00BD3BC5" w:rsidRDefault="00BD3BC5" w:rsidP="00BD3BC5"/>
        </w:tc>
        <w:tc>
          <w:tcPr>
            <w:tcW w:w="1156" w:type="dxa"/>
            <w:tcBorders>
              <w:top w:val="single" w:sz="12" w:space="0" w:color="auto"/>
            </w:tcBorders>
          </w:tcPr>
          <w:p w:rsidR="00BD3BC5" w:rsidRPr="00BD3BC5" w:rsidRDefault="00BD3BC5" w:rsidP="00BD3BC5"/>
        </w:tc>
        <w:tc>
          <w:tcPr>
            <w:tcW w:w="1157" w:type="dxa"/>
            <w:tcBorders>
              <w:top w:val="single" w:sz="12" w:space="0" w:color="auto"/>
            </w:tcBorders>
          </w:tcPr>
          <w:p w:rsidR="00BD3BC5" w:rsidRPr="00BD3BC5" w:rsidRDefault="00BD3BC5" w:rsidP="00BD3BC5"/>
        </w:tc>
        <w:tc>
          <w:tcPr>
            <w:tcW w:w="1157" w:type="dxa"/>
            <w:tcBorders>
              <w:top w:val="single" w:sz="12" w:space="0" w:color="auto"/>
            </w:tcBorders>
          </w:tcPr>
          <w:p w:rsidR="00BD3BC5" w:rsidRPr="00BD3BC5" w:rsidRDefault="00BD3BC5" w:rsidP="00BD3BC5"/>
        </w:tc>
        <w:tc>
          <w:tcPr>
            <w:tcW w:w="1157" w:type="dxa"/>
            <w:tcBorders>
              <w:top w:val="single" w:sz="12" w:space="0" w:color="auto"/>
            </w:tcBorders>
          </w:tcPr>
          <w:p w:rsidR="00BD3BC5" w:rsidRPr="00BD3BC5" w:rsidRDefault="00BD3BC5" w:rsidP="00BD3BC5"/>
        </w:tc>
        <w:tc>
          <w:tcPr>
            <w:tcW w:w="1158" w:type="dxa"/>
            <w:tcBorders>
              <w:top w:val="single" w:sz="12" w:space="0" w:color="auto"/>
            </w:tcBorders>
          </w:tcPr>
          <w:p w:rsidR="00BD3BC5" w:rsidRPr="00BD3BC5" w:rsidRDefault="00BD3BC5" w:rsidP="00BD3BC5"/>
        </w:tc>
      </w:tr>
      <w:tr w:rsidR="00BD3BC5" w:rsidRPr="00BD3BC5" w:rsidTr="00BD3BC5">
        <w:tc>
          <w:tcPr>
            <w:tcW w:w="8296" w:type="dxa"/>
            <w:gridSpan w:val="7"/>
          </w:tcPr>
          <w:p w:rsidR="00BD3BC5" w:rsidRPr="00BD3BC5" w:rsidRDefault="00BD3BC5" w:rsidP="00BD3BC5">
            <w:pPr>
              <w:rPr>
                <w:b/>
              </w:rPr>
            </w:pPr>
            <w:r w:rsidRPr="00BD3BC5">
              <w:rPr>
                <w:b/>
              </w:rPr>
              <w:t>Panel B. Risk differences between strategies, pp (95% CI)</w:t>
            </w:r>
          </w:p>
        </w:tc>
      </w:tr>
      <w:tr w:rsidR="00BD3BC5" w:rsidRPr="00BD3BC5" w:rsidTr="00BD3BC5">
        <w:tc>
          <w:tcPr>
            <w:tcW w:w="1355" w:type="dxa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Outcome</w:t>
            </w:r>
          </w:p>
        </w:tc>
        <w:tc>
          <w:tcPr>
            <w:tcW w:w="1156" w:type="dxa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S1 vs S2</w:t>
            </w:r>
          </w:p>
        </w:tc>
        <w:tc>
          <w:tcPr>
            <w:tcW w:w="1156" w:type="dxa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S1 vs S3</w:t>
            </w:r>
          </w:p>
        </w:tc>
        <w:tc>
          <w:tcPr>
            <w:tcW w:w="1157" w:type="dxa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S1 vs S4</w:t>
            </w:r>
          </w:p>
        </w:tc>
        <w:tc>
          <w:tcPr>
            <w:tcW w:w="1157" w:type="dxa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S2 vs S3</w:t>
            </w:r>
          </w:p>
        </w:tc>
        <w:tc>
          <w:tcPr>
            <w:tcW w:w="1157" w:type="dxa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S2 vs S4</w:t>
            </w:r>
          </w:p>
        </w:tc>
        <w:tc>
          <w:tcPr>
            <w:tcW w:w="1158" w:type="dxa"/>
            <w:tcBorders>
              <w:top w:val="single" w:sz="12" w:space="0" w:color="auto"/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S3 vs S4</w:t>
            </w:r>
          </w:p>
        </w:tc>
      </w:tr>
      <w:tr w:rsidR="00BD3BC5" w:rsidRPr="00BD3BC5" w:rsidTr="00BD3BC5">
        <w:tc>
          <w:tcPr>
            <w:tcW w:w="1355" w:type="dxa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</w:pPr>
            <w:r w:rsidRPr="00BD3BC5">
              <w:rPr>
                <w:rFonts w:ascii="Arial" w:eastAsia="Arial" w:hAnsi="Arial"/>
                <w:sz w:val="16"/>
              </w:rPr>
              <w:t>Hypotension</w:t>
            </w:r>
          </w:p>
        </w:tc>
        <w:tc>
          <w:tcPr>
            <w:tcW w:w="1156" w:type="dxa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−1.54 (−5.43, 3.06)</w:t>
            </w:r>
          </w:p>
        </w:tc>
        <w:tc>
          <w:tcPr>
            <w:tcW w:w="1156" w:type="dxa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−1.59 (−5.22, 2.48)</w:t>
            </w:r>
          </w:p>
        </w:tc>
        <w:tc>
          <w:tcPr>
            <w:tcW w:w="1157" w:type="dxa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−3.18 (−7.95, 1.48)</w:t>
            </w:r>
          </w:p>
        </w:tc>
        <w:tc>
          <w:tcPr>
            <w:tcW w:w="1157" w:type="dxa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−0.05 (−1.37, 1.73)</w:t>
            </w:r>
          </w:p>
        </w:tc>
        <w:tc>
          <w:tcPr>
            <w:tcW w:w="1157" w:type="dxa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−1.64 (−4.19, 1.32)</w:t>
            </w:r>
          </w:p>
        </w:tc>
        <w:tc>
          <w:tcPr>
            <w:tcW w:w="1158" w:type="dxa"/>
            <w:tcBorders>
              <w:top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−1.60 (−3.60, 0.51)</w:t>
            </w:r>
          </w:p>
        </w:tc>
      </w:tr>
      <w:tr w:rsidR="00BD3BC5" w:rsidRPr="00BD3BC5" w:rsidTr="00BD3BC5">
        <w:tc>
          <w:tcPr>
            <w:tcW w:w="1355" w:type="dxa"/>
          </w:tcPr>
          <w:p w:rsidR="00BD3BC5" w:rsidRPr="00BD3BC5" w:rsidRDefault="00BD3BC5" w:rsidP="00BD3BC5">
            <w:pPr>
              <w:spacing w:before="30" w:after="30"/>
            </w:pPr>
            <w:r w:rsidRPr="00BD3BC5">
              <w:rPr>
                <w:rFonts w:ascii="Arial" w:eastAsia="Arial" w:hAnsi="Arial"/>
                <w:sz w:val="16"/>
              </w:rPr>
              <w:t>Acute kidney injury (KDIGO ≥2)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−0.98 (−3.43, 1.53)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−1.03 (−3.67, 1.62)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−2.10 (−5.25, 0.83)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−0.06 (−1.50, 1.43)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−1.12 (−3.30, 1.26)</w:t>
            </w:r>
          </w:p>
        </w:tc>
        <w:tc>
          <w:tcPr>
            <w:tcW w:w="1158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−1.06 (−2.96, 0.90)</w:t>
            </w:r>
          </w:p>
        </w:tc>
      </w:tr>
      <w:tr w:rsidR="00BD3BC5" w:rsidRPr="00BD3BC5" w:rsidTr="00BD3BC5">
        <w:tc>
          <w:tcPr>
            <w:tcW w:w="1355" w:type="dxa"/>
          </w:tcPr>
          <w:p w:rsidR="00BD3BC5" w:rsidRPr="00BD3BC5" w:rsidRDefault="00BD3BC5" w:rsidP="00BD3BC5">
            <w:pPr>
              <w:spacing w:before="30" w:after="30"/>
            </w:pPr>
            <w:r w:rsidRPr="00BD3BC5">
              <w:rPr>
                <w:rFonts w:ascii="Arial" w:eastAsia="Arial" w:hAnsi="Arial"/>
                <w:sz w:val="16"/>
              </w:rPr>
              <w:t>Hyperkalemia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−1.12 (−3.03, 0.35)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−1.36 (−2.94, 0.11)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−2.39 (−4.25, −0.27)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−0.24 (−1.06, 0.78)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−1.27 (−2.93, 0.70)</w:t>
            </w:r>
          </w:p>
        </w:tc>
        <w:tc>
          <w:tcPr>
            <w:tcW w:w="1158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−1.03 (−2.51, 0.49)</w:t>
            </w:r>
          </w:p>
        </w:tc>
      </w:tr>
      <w:tr w:rsidR="00BD3BC5" w:rsidRPr="00BD3BC5" w:rsidTr="00BD3BC5">
        <w:tc>
          <w:tcPr>
            <w:tcW w:w="1355" w:type="dxa"/>
          </w:tcPr>
          <w:p w:rsidR="00BD3BC5" w:rsidRPr="00BD3BC5" w:rsidRDefault="00BD3BC5" w:rsidP="00BD3BC5">
            <w:pPr>
              <w:spacing w:before="30" w:after="30"/>
            </w:pPr>
            <w:r w:rsidRPr="00BD3BC5">
              <w:rPr>
                <w:rFonts w:ascii="Arial" w:eastAsia="Arial" w:hAnsi="Arial"/>
                <w:sz w:val="16"/>
              </w:rPr>
              <w:t>Reintubation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−1.60† (−3.32, −0.15)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−1.79† (−3.28, −0.38)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−2.40† (−3.97, −0.88)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−0.18 (−1.38, 1.05)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−0.80 (−2.41, 0.86)</w:t>
            </w:r>
          </w:p>
        </w:tc>
        <w:tc>
          <w:tcPr>
            <w:tcW w:w="1158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−0.62 (−2.03, 0.68)</w:t>
            </w:r>
          </w:p>
        </w:tc>
      </w:tr>
      <w:tr w:rsidR="00BD3BC5" w:rsidRPr="00BD3BC5" w:rsidTr="00BD3BC5">
        <w:tc>
          <w:tcPr>
            <w:tcW w:w="1355" w:type="dxa"/>
          </w:tcPr>
          <w:p w:rsidR="00BD3BC5" w:rsidRPr="00BD3BC5" w:rsidRDefault="00BD3BC5" w:rsidP="00BD3BC5">
            <w:pPr>
              <w:spacing w:before="30" w:after="30"/>
            </w:pPr>
            <w:r w:rsidRPr="00BD3BC5">
              <w:rPr>
                <w:rFonts w:ascii="Arial" w:eastAsia="Arial" w:hAnsi="Arial"/>
                <w:sz w:val="16"/>
              </w:rPr>
              <w:t>New-onset atrial fibrillation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−1.71 (−6.05, 3.48)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−1.22 (−5.32, 3.77)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−2.80 (−7.78, 2.92)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0.49 (−1.74, 2.73)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−1.08 (−4.95, 2.24)</w:t>
            </w:r>
          </w:p>
        </w:tc>
        <w:tc>
          <w:tcPr>
            <w:tcW w:w="1158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−1.57 (−4.09, 0.74)</w:t>
            </w:r>
          </w:p>
        </w:tc>
      </w:tr>
      <w:tr w:rsidR="00BD3BC5" w:rsidRPr="00BD3BC5" w:rsidTr="00BD3BC5">
        <w:tc>
          <w:tcPr>
            <w:tcW w:w="1355" w:type="dxa"/>
          </w:tcPr>
          <w:p w:rsidR="00BD3BC5" w:rsidRPr="00BD3BC5" w:rsidRDefault="00BD3BC5" w:rsidP="00BD3BC5">
            <w:pPr>
              <w:spacing w:before="30" w:after="30"/>
            </w:pPr>
            <w:r w:rsidRPr="00BD3BC5">
              <w:rPr>
                <w:rFonts w:ascii="Arial" w:eastAsia="Arial" w:hAnsi="Arial"/>
                <w:sz w:val="16"/>
              </w:rPr>
              <w:t>Liver injury (≥ grade 3)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−0.75 (−1.85, 0.34)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−1.55 (−3.32, 0.06)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−2.69† (−4.62, −0.73)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−0.80 (−2.19, 0.31)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−1.95† (−3.56, −0.21)</w:t>
            </w:r>
          </w:p>
        </w:tc>
        <w:tc>
          <w:tcPr>
            <w:tcW w:w="1158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−1.14 (−2.65, 0.30)</w:t>
            </w:r>
          </w:p>
        </w:tc>
      </w:tr>
      <w:tr w:rsidR="00BD3BC5" w:rsidRPr="00BD3BC5" w:rsidTr="00BD3BC5">
        <w:tc>
          <w:tcPr>
            <w:tcW w:w="1355" w:type="dxa"/>
          </w:tcPr>
          <w:p w:rsidR="00BD3BC5" w:rsidRPr="00BD3BC5" w:rsidRDefault="00BD3BC5" w:rsidP="00BD3BC5">
            <w:pPr>
              <w:spacing w:before="30" w:after="30"/>
            </w:pPr>
            <w:r w:rsidRPr="00BD3BC5">
              <w:rPr>
                <w:rFonts w:ascii="Arial" w:eastAsia="Arial" w:hAnsi="Arial"/>
                <w:sz w:val="16"/>
              </w:rPr>
              <w:t>Infection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−2.08* (−3.92, −0.62)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−1.08† (−3.25, 0.17)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1.01† (−0.09, 2.49)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0.99 (−0.46, 2.54)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3.08* (1.62, 5.11)</w:t>
            </w:r>
          </w:p>
        </w:tc>
        <w:tc>
          <w:tcPr>
            <w:tcW w:w="1158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2.09* (0.93, 4.12)</w:t>
            </w:r>
          </w:p>
        </w:tc>
      </w:tr>
      <w:tr w:rsidR="00BD3BC5" w:rsidRPr="00BD3BC5" w:rsidTr="00BD3BC5">
        <w:tc>
          <w:tcPr>
            <w:tcW w:w="1355" w:type="dxa"/>
          </w:tcPr>
          <w:p w:rsidR="00BD3BC5" w:rsidRPr="00BD3BC5" w:rsidRDefault="00BD3BC5" w:rsidP="00BD3BC5">
            <w:pPr>
              <w:spacing w:before="30" w:after="30"/>
            </w:pPr>
            <w:r w:rsidRPr="00BD3BC5">
              <w:rPr>
                <w:rFonts w:ascii="Arial" w:eastAsia="Arial" w:hAnsi="Arial"/>
                <w:sz w:val="16"/>
              </w:rPr>
              <w:t>Pulmonary complications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−2.23 (−4.34, 4.62)</w:t>
            </w:r>
          </w:p>
        </w:tc>
        <w:tc>
          <w:tcPr>
            <w:tcW w:w="1156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−0.95 (−3.10, 5.09)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1.59* (0.32, 8.03)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1.28 (−0.66, 2.83)</w:t>
            </w:r>
          </w:p>
        </w:tc>
        <w:tc>
          <w:tcPr>
            <w:tcW w:w="1157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3.82* (1.96, 6.12)</w:t>
            </w:r>
          </w:p>
        </w:tc>
        <w:tc>
          <w:tcPr>
            <w:tcW w:w="1158" w:type="dxa"/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2.54* (1.18, 4.93)</w:t>
            </w:r>
          </w:p>
        </w:tc>
      </w:tr>
      <w:tr w:rsidR="00BD3BC5" w:rsidRPr="00BD3BC5" w:rsidTr="00BD3BC5">
        <w:tc>
          <w:tcPr>
            <w:tcW w:w="1355" w:type="dxa"/>
            <w:tcBorders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</w:pPr>
            <w:r w:rsidRPr="00BD3BC5">
              <w:rPr>
                <w:rFonts w:ascii="Arial" w:eastAsia="Arial" w:hAnsi="Arial"/>
                <w:sz w:val="16"/>
              </w:rPr>
              <w:t>Cardiovascular or cerebrovascular events</w:t>
            </w:r>
          </w:p>
        </w:tc>
        <w:tc>
          <w:tcPr>
            <w:tcW w:w="1156" w:type="dxa"/>
            <w:tcBorders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−1.28 (−3.73, 0.16)</w:t>
            </w:r>
          </w:p>
        </w:tc>
        <w:tc>
          <w:tcPr>
            <w:tcW w:w="1156" w:type="dxa"/>
            <w:tcBorders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−0.68 (−2.84, 0.72)</w:t>
            </w:r>
          </w:p>
        </w:tc>
        <w:tc>
          <w:tcPr>
            <w:tcW w:w="1157" w:type="dxa"/>
            <w:tcBorders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0.96 (−1.47, 2.47)</w:t>
            </w:r>
          </w:p>
        </w:tc>
        <w:tc>
          <w:tcPr>
            <w:tcW w:w="1157" w:type="dxa"/>
            <w:tcBorders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0.60 (−0.52, 1.98)</w:t>
            </w:r>
          </w:p>
        </w:tc>
        <w:tc>
          <w:tcPr>
            <w:tcW w:w="1157" w:type="dxa"/>
            <w:tcBorders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2.24* (0.66, 4.26)</w:t>
            </w:r>
          </w:p>
        </w:tc>
        <w:tc>
          <w:tcPr>
            <w:tcW w:w="1158" w:type="dxa"/>
            <w:tcBorders>
              <w:bottom w:val="single" w:sz="12" w:space="0" w:color="auto"/>
            </w:tcBorders>
          </w:tcPr>
          <w:p w:rsidR="00BD3BC5" w:rsidRPr="00BD3BC5" w:rsidRDefault="00BD3BC5" w:rsidP="00BD3BC5">
            <w:pPr>
              <w:spacing w:before="30" w:after="30"/>
              <w:jc w:val="center"/>
            </w:pPr>
            <w:r w:rsidRPr="00BD3BC5">
              <w:rPr>
                <w:rFonts w:ascii="Arial" w:eastAsia="Arial" w:hAnsi="Arial"/>
                <w:sz w:val="16"/>
              </w:rPr>
              <w:t>1.64* (0.44, 3.08)</w:t>
            </w:r>
          </w:p>
        </w:tc>
      </w:tr>
      <w:tr w:rsidR="00BD3BC5" w:rsidRPr="00BD3BC5" w:rsidTr="00BD3BC5">
        <w:tc>
          <w:tcPr>
            <w:tcW w:w="8296" w:type="dxa"/>
            <w:gridSpan w:val="7"/>
          </w:tcPr>
          <w:p w:rsidR="00BD3BC5" w:rsidRPr="00BD3BC5" w:rsidRDefault="00BD3BC5" w:rsidP="00BD3BC5">
            <w:pPr>
              <w:rPr>
                <w:sz w:val="18"/>
                <w:szCs w:val="18"/>
              </w:rPr>
            </w:pPr>
            <w:r w:rsidRPr="00BD3BC5">
              <w:rPr>
                <w:sz w:val="18"/>
                <w:szCs w:val="18"/>
              </w:rPr>
              <w:t>All secondary outcomes were assessed as first occurrence within 720 h (30 days) of ICU admission. Risk differences are in percentage points; 95% confidence intervals are from 500 bootstrap resamples of patients. q values are Benjamini–Hochberg adjusted wit</w:t>
            </w:r>
            <w:r w:rsidRPr="00BD3BC5">
              <w:rPr>
                <w:rFonts w:hint="eastAsia"/>
                <w:sz w:val="18"/>
                <w:szCs w:val="18"/>
              </w:rPr>
              <w:t xml:space="preserve">hin each outcome family (6 pairwise comparisons). * q &lt; 0.05; </w:t>
            </w:r>
            <w:r w:rsidRPr="00BD3BC5">
              <w:rPr>
                <w:rFonts w:hint="eastAsia"/>
                <w:sz w:val="18"/>
                <w:szCs w:val="18"/>
              </w:rPr>
              <w:t>†</w:t>
            </w:r>
            <w:r w:rsidRPr="00BD3BC5">
              <w:rPr>
                <w:rFonts w:hint="eastAsia"/>
                <w:sz w:val="18"/>
                <w:szCs w:val="18"/>
              </w:rPr>
              <w:t xml:space="preserve"> 0.05 </w:t>
            </w:r>
            <w:r w:rsidRPr="00BD3BC5">
              <w:rPr>
                <w:rFonts w:hint="eastAsia"/>
                <w:sz w:val="18"/>
                <w:szCs w:val="18"/>
              </w:rPr>
              <w:t>≤</w:t>
            </w:r>
            <w:r w:rsidRPr="00BD3BC5">
              <w:rPr>
                <w:rFonts w:hint="eastAsia"/>
                <w:sz w:val="18"/>
                <w:szCs w:val="18"/>
              </w:rPr>
              <w:t xml:space="preserve"> q &lt; 0.10. ICD-coded outcomes (infection, pulmonary complications, cardiovascular or cerebrovascular events) were modelled as binary endpoints with a log length-of-stay offset and standa</w:t>
            </w:r>
            <w:r w:rsidRPr="00BD3BC5">
              <w:rPr>
                <w:sz w:val="18"/>
                <w:szCs w:val="18"/>
              </w:rPr>
              <w:t>rdised within the model. AKI, acute kidney injury; KDIGO, Kidney Disease: Improving Global Outcomes.</w:t>
            </w:r>
          </w:p>
        </w:tc>
      </w:tr>
    </w:tbl>
    <w:p w:rsidR="00BD3BC5" w:rsidRPr="00BD3BC5" w:rsidRDefault="00BD3BC5">
      <w:pPr>
        <w:rPr>
          <w:rFonts w:hint="eastAsia"/>
        </w:rPr>
      </w:pPr>
    </w:p>
    <w:sectPr w:rsidR="00BD3BC5" w:rsidRPr="00BD3B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935" w:rsidRDefault="00052935" w:rsidP="004E67A5">
      <w:r>
        <w:separator/>
      </w:r>
    </w:p>
  </w:endnote>
  <w:endnote w:type="continuationSeparator" w:id="0">
    <w:p w:rsidR="00052935" w:rsidRDefault="00052935" w:rsidP="004E6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935" w:rsidRDefault="00052935" w:rsidP="004E67A5">
      <w:r>
        <w:separator/>
      </w:r>
    </w:p>
  </w:footnote>
  <w:footnote w:type="continuationSeparator" w:id="0">
    <w:p w:rsidR="00052935" w:rsidRDefault="00052935" w:rsidP="004E67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96F"/>
    <w:rsid w:val="00052935"/>
    <w:rsid w:val="000669F4"/>
    <w:rsid w:val="004E67A5"/>
    <w:rsid w:val="009E096F"/>
    <w:rsid w:val="00BD3BC5"/>
    <w:rsid w:val="00CC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168E8D-711A-4E7A-9358-DF83428D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67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67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67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67A5"/>
    <w:rPr>
      <w:sz w:val="18"/>
      <w:szCs w:val="18"/>
    </w:rPr>
  </w:style>
  <w:style w:type="table" w:styleId="a5">
    <w:name w:val="Table Grid"/>
    <w:basedOn w:val="a1"/>
    <w:uiPriority w:val="39"/>
    <w:rsid w:val="004E67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LQL</dc:creator>
  <cp:keywords/>
  <dc:description/>
  <cp:lastModifiedBy>LQL</cp:lastModifiedBy>
  <cp:revision>3</cp:revision>
  <dcterms:created xsi:type="dcterms:W3CDTF">2026-10-29T08:30:00Z</dcterms:created>
  <dcterms:modified xsi:type="dcterms:W3CDTF">2026-10-29T08:45:00Z</dcterms:modified>
</cp:coreProperties>
</file>