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tiff" ContentType="image/tiff"/>
  <Default Extension="jpeg" ContentType="image/jpeg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jc w:val="both"/>
      </w:pPr>
      <w:r>
        <w:rPr>
          <w:sz w:val="36"/>
          <w:szCs w:val="36"/>
        </w:rPr>
        <w:t>Supplementary Materials for</w:t>
      </w:r>
      <w:bookmarkStart w:id="0" w:name="_Hlk84777790"/>
      <w:bookmarkEnd w:id="0"/>
      <w:bookmarkStart w:id="1" w:name="OLE_LINK8"/>
      <w:bookmarkStart w:id="2" w:name="OLE_LINK30"/>
      <w:bookmarkStart w:id="3" w:name="OLE_LINK46"/>
    </w:p>
    <w:p>
      <w:pPr>
        <w:spacing w:line="480" w:lineRule="auto"/>
        <w:jc w:val="left"/>
        <w:rPr>
          <w:rFonts w:hint="eastAsia" w:eastAsia="宋体"/>
          <w:b/>
          <w:bCs/>
          <w:kern w:val="28"/>
          <w:sz w:val="32"/>
          <w:szCs w:val="32"/>
          <w:lang w:eastAsia="zh-CN"/>
        </w:rPr>
      </w:pPr>
      <w:r>
        <w:rPr>
          <w:rFonts w:hint="eastAsia" w:eastAsia="宋体"/>
          <w:b/>
          <w:bCs/>
          <w:kern w:val="28"/>
          <w:sz w:val="32"/>
          <w:szCs w:val="32"/>
          <w:lang w:eastAsia="zh-CN"/>
        </w:rPr>
        <w:t xml:space="preserve">Steering </w:t>
      </w:r>
      <w:r>
        <w:rPr>
          <w:rFonts w:hint="eastAsia" w:eastAsia="宋体"/>
          <w:b/>
          <w:bCs/>
          <w:color w:val="000000" w:themeColor="text1"/>
          <w:kern w:val="28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device-quality perovski</w:t>
      </w:r>
      <w:r>
        <w:rPr>
          <w:rFonts w:hint="eastAsia" w:eastAsia="宋体"/>
          <w:b/>
          <w:bCs/>
          <w:kern w:val="28"/>
          <w:sz w:val="32"/>
          <w:szCs w:val="32"/>
          <w:lang w:eastAsia="zh-CN"/>
        </w:rPr>
        <w:t>tes with unique substrate tolerance</w:t>
      </w:r>
    </w:p>
    <w:p>
      <w:pPr>
        <w:adjustRightInd w:val="0"/>
        <w:snapToGrid w:val="0"/>
        <w:spacing w:line="480" w:lineRule="auto"/>
        <w:jc w:val="both"/>
        <w:rPr>
          <w:rFonts w:eastAsia="宋体"/>
          <w:sz w:val="24"/>
          <w:szCs w:val="24"/>
          <w:vertAlign w:val="superscript"/>
        </w:rPr>
      </w:pPr>
      <w:bookmarkStart w:id="4" w:name="_Hlk86946079"/>
      <w:r>
        <w:rPr>
          <w:rFonts w:eastAsia="宋体"/>
          <w:sz w:val="24"/>
          <w:szCs w:val="24"/>
        </w:rPr>
        <w:t>Ningyu Ren</w:t>
      </w:r>
      <w:r>
        <w:rPr>
          <w:rFonts w:eastAsia="宋体"/>
          <w:sz w:val="24"/>
          <w:szCs w:val="24"/>
          <w:vertAlign w:val="superscript"/>
        </w:rPr>
        <w:t>1,2,3,4,5,6</w:t>
      </w:r>
      <w:r>
        <w:rPr>
          <w:sz w:val="24"/>
          <w:szCs w:val="24"/>
          <w:vertAlign w:val="superscript"/>
        </w:rPr>
        <w:t>*</w:t>
      </w:r>
      <w:r>
        <w:rPr>
          <w:rFonts w:eastAsia="宋体"/>
          <w:sz w:val="24"/>
          <w:szCs w:val="24"/>
        </w:rPr>
        <w:t>, Pengyang Wang</w:t>
      </w:r>
      <w:bookmarkStart w:id="5" w:name="_Hlk69069391"/>
      <w:r>
        <w:rPr>
          <w:rFonts w:eastAsia="宋体"/>
          <w:sz w:val="24"/>
          <w:szCs w:val="24"/>
          <w:vertAlign w:val="superscript"/>
        </w:rPr>
        <w:t>1,2,3,4</w:t>
      </w:r>
      <w:r>
        <w:rPr>
          <w:sz w:val="24"/>
          <w:szCs w:val="24"/>
          <w:vertAlign w:val="superscript"/>
        </w:rPr>
        <w:t>*</w:t>
      </w:r>
      <w:r>
        <w:rPr>
          <w:rFonts w:eastAsia="宋体"/>
          <w:sz w:val="24"/>
          <w:szCs w:val="24"/>
        </w:rPr>
        <w:t>,Junke Jiang</w:t>
      </w:r>
      <w:bookmarkEnd w:id="5"/>
      <w:r>
        <w:rPr>
          <w:rFonts w:eastAsia="宋体"/>
          <w:sz w:val="24"/>
          <w:szCs w:val="24"/>
          <w:vertAlign w:val="superscript"/>
        </w:rPr>
        <w:t>7,8,</w:t>
      </w:r>
      <w:r>
        <w:rPr>
          <w:rFonts w:hint="eastAsia" w:eastAsia="宋体"/>
          <w:sz w:val="24"/>
          <w:szCs w:val="24"/>
          <w:vertAlign w:val="superscript"/>
          <w:lang w:val="en-US" w:eastAsia="zh-CN"/>
        </w:rPr>
        <w:t>9</w:t>
      </w:r>
      <w:r>
        <w:rPr>
          <w:sz w:val="24"/>
          <w:szCs w:val="24"/>
          <w:vertAlign w:val="superscript"/>
        </w:rPr>
        <w:t>*</w:t>
      </w:r>
      <w:r>
        <w:rPr>
          <w:rFonts w:eastAsia="宋体"/>
          <w:sz w:val="24"/>
          <w:szCs w:val="24"/>
        </w:rPr>
        <w:t>, Renjie Li</w:t>
      </w:r>
      <w:r>
        <w:rPr>
          <w:rFonts w:eastAsia="宋体"/>
          <w:sz w:val="24"/>
          <w:szCs w:val="24"/>
          <w:vertAlign w:val="superscript"/>
        </w:rPr>
        <w:t>1,2,3,4</w:t>
      </w:r>
      <w:r>
        <w:rPr>
          <w:rFonts w:eastAsia="宋体"/>
          <w:sz w:val="24"/>
          <w:szCs w:val="24"/>
        </w:rPr>
        <w:t>, Wei Han</w:t>
      </w:r>
      <w:r>
        <w:rPr>
          <w:rFonts w:eastAsia="宋体"/>
          <w:sz w:val="24"/>
          <w:szCs w:val="24"/>
          <w:vertAlign w:val="superscript"/>
        </w:rPr>
        <w:t>1,2,3,4</w:t>
      </w:r>
      <w:r>
        <w:rPr>
          <w:rFonts w:eastAsia="宋体"/>
          <w:sz w:val="24"/>
          <w:szCs w:val="24"/>
        </w:rPr>
        <w:t>, Jingjing Liu</w:t>
      </w:r>
      <w:r>
        <w:rPr>
          <w:rFonts w:eastAsia="宋体"/>
          <w:sz w:val="24"/>
          <w:szCs w:val="24"/>
          <w:vertAlign w:val="superscript"/>
        </w:rPr>
        <w:t>1,2,3,4</w:t>
      </w:r>
      <w:r>
        <w:rPr>
          <w:rFonts w:eastAsia="宋体"/>
          <w:sz w:val="24"/>
          <w:szCs w:val="24"/>
        </w:rPr>
        <w:t>, Zhao Zhu</w:t>
      </w:r>
      <w:r>
        <w:rPr>
          <w:rFonts w:eastAsia="宋体"/>
          <w:sz w:val="24"/>
          <w:szCs w:val="24"/>
          <w:vertAlign w:val="superscript"/>
        </w:rPr>
        <w:t>1,2,3,4</w:t>
      </w:r>
      <w:r>
        <w:rPr>
          <w:rFonts w:eastAsia="宋体"/>
          <w:sz w:val="24"/>
          <w:szCs w:val="24"/>
        </w:rPr>
        <w:t>, Bingbing Chen</w:t>
      </w:r>
      <w:r>
        <w:rPr>
          <w:rFonts w:eastAsia="宋体"/>
          <w:sz w:val="24"/>
          <w:szCs w:val="24"/>
          <w:vertAlign w:val="superscript"/>
        </w:rPr>
        <w:t>1,2,3,4</w:t>
      </w:r>
      <w:r>
        <w:rPr>
          <w:rFonts w:eastAsia="宋体"/>
          <w:sz w:val="24"/>
          <w:szCs w:val="24"/>
        </w:rPr>
        <w:t>, Qiaojing Xu</w:t>
      </w:r>
      <w:r>
        <w:rPr>
          <w:rFonts w:eastAsia="宋体"/>
          <w:sz w:val="24"/>
          <w:szCs w:val="24"/>
          <w:vertAlign w:val="superscript"/>
        </w:rPr>
        <w:t>1,2,3,4</w:t>
      </w:r>
      <w:r>
        <w:rPr>
          <w:rFonts w:eastAsia="宋体"/>
          <w:sz w:val="24"/>
          <w:szCs w:val="24"/>
        </w:rPr>
        <w:t>, Tiantian Li</w:t>
      </w:r>
      <w:r>
        <w:rPr>
          <w:rFonts w:hint="eastAsia" w:eastAsia="宋体"/>
          <w:sz w:val="24"/>
          <w:szCs w:val="24"/>
          <w:vertAlign w:val="superscript"/>
          <w:lang w:eastAsia="zh-CN"/>
        </w:rPr>
        <w:t>5</w:t>
      </w:r>
      <w:r>
        <w:rPr>
          <w:rFonts w:eastAsia="宋体"/>
          <w:sz w:val="24"/>
          <w:szCs w:val="24"/>
          <w:vertAlign w:val="superscript"/>
        </w:rPr>
        <w:t>,</w:t>
      </w:r>
      <w:r>
        <w:rPr>
          <w:rFonts w:hint="eastAsia" w:eastAsia="宋体"/>
          <w:sz w:val="24"/>
          <w:szCs w:val="24"/>
          <w:vertAlign w:val="superscript"/>
          <w:lang w:eastAsia="zh-CN"/>
        </w:rPr>
        <w:t>6</w:t>
      </w:r>
      <w:r>
        <w:rPr>
          <w:rFonts w:eastAsia="宋体"/>
          <w:sz w:val="24"/>
          <w:szCs w:val="24"/>
        </w:rPr>
        <w:t>, Biao Shi</w:t>
      </w:r>
      <w:r>
        <w:rPr>
          <w:rFonts w:eastAsia="宋体"/>
          <w:sz w:val="24"/>
          <w:szCs w:val="24"/>
          <w:vertAlign w:val="superscript"/>
        </w:rPr>
        <w:t>1,2,3,4</w:t>
      </w:r>
      <w:r>
        <w:rPr>
          <w:rFonts w:eastAsia="宋体"/>
          <w:sz w:val="24"/>
          <w:szCs w:val="24"/>
        </w:rPr>
        <w:t>, Qian Huang</w:t>
      </w:r>
      <w:r>
        <w:rPr>
          <w:rFonts w:eastAsia="宋体"/>
          <w:sz w:val="24"/>
          <w:szCs w:val="24"/>
          <w:vertAlign w:val="superscript"/>
        </w:rPr>
        <w:t>1,2,3,4</w:t>
      </w:r>
      <w:r>
        <w:rPr>
          <w:rFonts w:eastAsia="宋体"/>
          <w:sz w:val="24"/>
          <w:szCs w:val="24"/>
        </w:rPr>
        <w:t>, Dekun Zhang</w:t>
      </w:r>
      <w:r>
        <w:rPr>
          <w:rFonts w:eastAsia="宋体"/>
          <w:sz w:val="24"/>
          <w:szCs w:val="24"/>
          <w:vertAlign w:val="superscript"/>
        </w:rPr>
        <w:t>1,2,3,4</w:t>
      </w:r>
      <w:r>
        <w:rPr>
          <w:rFonts w:eastAsia="宋体"/>
          <w:sz w:val="24"/>
          <w:szCs w:val="24"/>
        </w:rPr>
        <w:t xml:space="preserve">, </w:t>
      </w:r>
      <w:r>
        <w:rPr>
          <w:rFonts w:hint="eastAsia" w:eastAsia="宋体"/>
          <w:sz w:val="24"/>
          <w:szCs w:val="24"/>
          <w:lang w:eastAsia="zh-CN"/>
        </w:rPr>
        <w:t>Sofia Apergi</w:t>
      </w:r>
      <w:r>
        <w:rPr>
          <w:rFonts w:eastAsia="宋体"/>
          <w:sz w:val="24"/>
          <w:szCs w:val="24"/>
          <w:vertAlign w:val="superscript"/>
        </w:rPr>
        <w:t>7,8</w:t>
      </w:r>
      <w:r>
        <w:rPr>
          <w:rFonts w:hint="eastAsia" w:eastAsia="宋体"/>
          <w:sz w:val="24"/>
          <w:szCs w:val="24"/>
          <w:lang w:eastAsia="zh-CN"/>
        </w:rPr>
        <w:t>, Geert Brocks</w:t>
      </w:r>
      <w:r>
        <w:rPr>
          <w:rFonts w:eastAsia="宋体"/>
          <w:sz w:val="24"/>
          <w:szCs w:val="24"/>
          <w:vertAlign w:val="superscript"/>
        </w:rPr>
        <w:t>7,8</w:t>
      </w:r>
      <w:r>
        <w:rPr>
          <w:rFonts w:hint="eastAsia" w:eastAsia="宋体"/>
          <w:sz w:val="24"/>
          <w:szCs w:val="24"/>
          <w:lang w:eastAsia="zh-CN"/>
        </w:rPr>
        <w:t xml:space="preserve">, </w:t>
      </w:r>
      <w:r>
        <w:rPr>
          <w:rFonts w:eastAsia="等线"/>
          <w:sz w:val="24"/>
        </w:rPr>
        <w:t>Chenjun Zhu</w:t>
      </w:r>
      <w:r>
        <w:rPr>
          <w:rFonts w:hint="eastAsia" w:eastAsia="宋体"/>
          <w:sz w:val="24"/>
          <w:szCs w:val="24"/>
          <w:vertAlign w:val="superscript"/>
          <w:lang w:eastAsia="zh-CN"/>
        </w:rPr>
        <w:t>5</w:t>
      </w:r>
      <w:r>
        <w:rPr>
          <w:rFonts w:eastAsia="宋体"/>
          <w:sz w:val="24"/>
          <w:szCs w:val="24"/>
          <w:vertAlign w:val="superscript"/>
        </w:rPr>
        <w:t>,</w:t>
      </w:r>
      <w:r>
        <w:rPr>
          <w:rFonts w:hint="eastAsia" w:eastAsia="宋体"/>
          <w:sz w:val="24"/>
          <w:szCs w:val="24"/>
          <w:vertAlign w:val="superscript"/>
          <w:lang w:eastAsia="zh-CN"/>
        </w:rPr>
        <w:t>6</w:t>
      </w:r>
      <w:r>
        <w:rPr>
          <w:rFonts w:eastAsia="等线"/>
          <w:sz w:val="24"/>
        </w:rPr>
        <w:t xml:space="preserve">, </w:t>
      </w:r>
      <w:r>
        <w:rPr>
          <w:rFonts w:eastAsia="宋体"/>
          <w:sz w:val="24"/>
          <w:szCs w:val="24"/>
        </w:rPr>
        <w:t>Shuxia Tao</w:t>
      </w:r>
      <w:r>
        <w:rPr>
          <w:rFonts w:eastAsia="宋体"/>
          <w:sz w:val="24"/>
          <w:szCs w:val="24"/>
          <w:vertAlign w:val="superscript"/>
        </w:rPr>
        <w:t>7,8</w:t>
      </w:r>
      <w:r>
        <w:rPr>
          <w:rFonts w:eastAsia="等线"/>
          <w:bCs/>
          <w:kern w:val="2"/>
          <w:sz w:val="24"/>
          <w:szCs w:val="24"/>
          <w:vertAlign w:val="superscript"/>
          <w:lang w:val="en-GB" w:eastAsia="zh-CN"/>
        </w:rPr>
        <w:t>†</w:t>
      </w:r>
      <w:r>
        <w:rPr>
          <w:rFonts w:eastAsia="宋体"/>
          <w:sz w:val="24"/>
          <w:szCs w:val="24"/>
        </w:rPr>
        <w:t>, Ying Zhao</w:t>
      </w:r>
      <w:r>
        <w:rPr>
          <w:rFonts w:eastAsia="宋体"/>
          <w:sz w:val="24"/>
          <w:szCs w:val="24"/>
          <w:vertAlign w:val="superscript"/>
        </w:rPr>
        <w:t>1,2,3,4</w:t>
      </w:r>
      <w:r>
        <w:rPr>
          <w:rFonts w:eastAsia="宋体"/>
          <w:sz w:val="24"/>
          <w:szCs w:val="24"/>
        </w:rPr>
        <w:t>, Xiaodan Zhang</w:t>
      </w:r>
      <w:r>
        <w:rPr>
          <w:rFonts w:eastAsia="宋体"/>
          <w:sz w:val="24"/>
          <w:szCs w:val="24"/>
          <w:vertAlign w:val="superscript"/>
        </w:rPr>
        <w:t>1,2,3,4</w:t>
      </w:r>
      <w:r>
        <w:rPr>
          <w:rFonts w:eastAsia="等线"/>
          <w:bCs/>
          <w:kern w:val="2"/>
          <w:sz w:val="24"/>
          <w:szCs w:val="24"/>
          <w:vertAlign w:val="superscript"/>
          <w:lang w:val="en-GB" w:eastAsia="zh-CN"/>
        </w:rPr>
        <w:t>†</w:t>
      </w:r>
    </w:p>
    <w:bookmarkEnd w:id="4"/>
    <w:p>
      <w:pPr>
        <w:pStyle w:val="243"/>
        <w:spacing w:before="0" w:line="360" w:lineRule="auto"/>
        <w:rPr>
          <w:rFonts w:eastAsia="宋体"/>
          <w:lang w:eastAsia="zh-CN"/>
        </w:rPr>
      </w:pPr>
    </w:p>
    <w:bookmarkEnd w:id="1"/>
    <w:bookmarkEnd w:id="2"/>
    <w:bookmarkEnd w:id="3"/>
    <w:p>
      <w:pPr>
        <w:spacing w:after="160"/>
        <w:rPr>
          <w:rFonts w:eastAsia="等线"/>
          <w:bCs/>
          <w:iCs/>
          <w:kern w:val="2"/>
          <w:szCs w:val="24"/>
          <w:lang w:val="en-GB" w:eastAsia="zh-CN"/>
        </w:rPr>
      </w:pPr>
      <w:r>
        <w:rPr>
          <w:i w:val="0"/>
          <w:iCs/>
          <w:color w:val="000000" w:themeColor="text1"/>
          <w:sz w:val="24"/>
          <w:szCs w:val="24"/>
          <w:lang w:val="en-GB"/>
          <w14:textFill>
            <w14:solidFill>
              <w14:schemeClr w14:val="tx1"/>
            </w14:solidFill>
          </w14:textFill>
        </w:rPr>
        <w:t>Correspondence to Shuxia Tao (</w:t>
      </w:r>
      <w:r>
        <w:rPr>
          <w:rFonts w:hint="eastAsia"/>
          <w:i w:val="0"/>
          <w:iCs/>
          <w:color w:val="000000" w:themeColor="text1"/>
          <w:sz w:val="24"/>
          <w:szCs w:val="24"/>
          <w:u w:val="none"/>
          <w:lang w:val="en-GB"/>
          <w14:textFill>
            <w14:solidFill>
              <w14:schemeClr w14:val="tx1"/>
            </w14:solidFill>
          </w14:textFill>
        </w:rPr>
        <w:t>s.x.tao@tue.nl</w:t>
      </w:r>
      <w:r>
        <w:rPr>
          <w:iCs/>
          <w:color w:val="000000" w:themeColor="text1"/>
          <w14:textFill>
            <w14:solidFill>
              <w14:schemeClr w14:val="tx1"/>
            </w14:solidFill>
          </w14:textFill>
        </w:rPr>
        <w:fldChar w:fldCharType="begin"/>
      </w:r>
      <w:r>
        <w:rPr>
          <w:iCs/>
          <w:color w:val="000000" w:themeColor="text1"/>
          <w14:textFill>
            <w14:solidFill>
              <w14:schemeClr w14:val="tx1"/>
            </w14:solidFill>
          </w14:textFill>
        </w:rPr>
        <w:instrText xml:space="preserve"> HYPERLINK "mailto:tcheng@suda.edu.cn" </w:instrText>
      </w:r>
      <w:r>
        <w:rPr>
          <w:iCs/>
          <w:color w:val="000000" w:themeColor="text1"/>
          <w14:textFill>
            <w14:solidFill>
              <w14:schemeClr w14:val="tx1"/>
            </w14:solidFill>
          </w14:textFill>
        </w:rPr>
        <w:fldChar w:fldCharType="separate"/>
      </w:r>
      <w:r>
        <w:rPr>
          <w:iCs/>
          <w:color w:val="000000" w:themeColor="text1"/>
          <w14:textFill>
            <w14:solidFill>
              <w14:schemeClr w14:val="tx1"/>
            </w14:solidFill>
          </w14:textFill>
        </w:rPr>
        <w:fldChar w:fldCharType="end"/>
      </w:r>
      <w:r>
        <w:rPr>
          <w:i w:val="0"/>
          <w:iCs/>
          <w:color w:val="000000" w:themeColor="text1"/>
          <w:sz w:val="24"/>
          <w:szCs w:val="24"/>
          <w:lang w:val="en-GB"/>
          <w14:textFill>
            <w14:solidFill>
              <w14:schemeClr w14:val="tx1"/>
            </w14:solidFill>
          </w14:textFill>
        </w:rPr>
        <w:t xml:space="preserve">) (S.T.) </w:t>
      </w:r>
      <w:r>
        <w:rPr>
          <w:i w:val="0"/>
          <w:iCs/>
          <w:color w:val="000000" w:themeColor="text1"/>
          <w:sz w:val="24"/>
          <w:szCs w:val="24"/>
          <w:lang w:val="en-GB" w:eastAsia="zh-CN"/>
          <w14:textFill>
            <w14:solidFill>
              <w14:schemeClr w14:val="tx1"/>
            </w14:solidFill>
          </w14:textFill>
        </w:rPr>
        <w:t>and</w:t>
      </w:r>
      <w:r>
        <w:rPr>
          <w:i w:val="0"/>
          <w:iCs/>
          <w:color w:val="000000" w:themeColor="text1"/>
          <w:sz w:val="24"/>
          <w:szCs w:val="24"/>
          <w:lang w:val="en-GB"/>
          <w14:textFill>
            <w14:solidFill>
              <w14:schemeClr w14:val="tx1"/>
            </w14:solidFill>
          </w14:textFill>
        </w:rPr>
        <w:t xml:space="preserve"> Xiaodan Zhang (</w:t>
      </w:r>
      <w:r>
        <w:rPr>
          <w:rStyle w:val="99"/>
          <w:i w:val="0"/>
          <w:iCs/>
          <w:color w:val="000000" w:themeColor="text1"/>
          <w:sz w:val="24"/>
          <w:szCs w:val="24"/>
          <w:u w:val="none"/>
          <w:lang w:val="en-GB" w:eastAsia="zh-CN"/>
          <w14:textFill>
            <w14:solidFill>
              <w14:schemeClr w14:val="tx1"/>
            </w14:solidFill>
          </w14:textFill>
        </w:rPr>
        <w:t xml:space="preserve">xdzhang@nankai.edu.cn </w:t>
      </w:r>
      <w:r>
        <w:rPr>
          <w:rStyle w:val="99"/>
          <w:rFonts w:hint="eastAsia"/>
          <w:i w:val="0"/>
          <w:iCs/>
          <w:color w:val="000000" w:themeColor="text1"/>
          <w:sz w:val="24"/>
          <w:szCs w:val="24"/>
          <w:u w:val="none"/>
          <w:lang w:eastAsia="zh-CN"/>
          <w14:textFill>
            <w14:solidFill>
              <w14:schemeClr w14:val="tx1"/>
            </w14:solidFill>
          </w14:textFill>
        </w:rPr>
        <w:t>)</w:t>
      </w:r>
      <w:r>
        <w:rPr>
          <w:rStyle w:val="99"/>
          <w:iCs/>
          <w:color w:val="000000" w:themeColor="text1"/>
          <w:u w:val="none"/>
          <w:lang w:eastAsia="zh-CN"/>
          <w14:textFill>
            <w14:solidFill>
              <w14:schemeClr w14:val="tx1"/>
            </w14:solidFill>
          </w14:textFill>
        </w:rPr>
        <w:t>(</w:t>
      </w:r>
      <w:r>
        <w:rPr>
          <w:i w:val="0"/>
          <w:iCs/>
          <w:color w:val="000000" w:themeColor="text1"/>
          <w:sz w:val="24"/>
          <w:szCs w:val="24"/>
          <w:lang w:val="en-GB"/>
          <w14:textFill>
            <w14:solidFill>
              <w14:schemeClr w14:val="tx1"/>
            </w14:solidFill>
          </w14:textFill>
        </w:rPr>
        <w:t>X.Z.)</w:t>
      </w:r>
      <w:r>
        <w:rPr>
          <w:i w:val="0"/>
          <w:iCs/>
          <w:color w:val="000000" w:themeColor="text1"/>
          <w:sz w:val="24"/>
          <w:szCs w:val="24"/>
          <w:lang w:val="en-GB" w:eastAsia="zh-CN"/>
          <w14:textFill>
            <w14:solidFill>
              <w14:schemeClr w14:val="tx1"/>
            </w14:solidFill>
          </w14:textFill>
        </w:rPr>
        <w:t>.</w:t>
      </w:r>
    </w:p>
    <w:p>
      <w:pPr>
        <w:spacing w:after="160"/>
        <w:rPr>
          <w:rFonts w:eastAsia="等线"/>
          <w:bCs/>
          <w:kern w:val="2"/>
          <w:szCs w:val="24"/>
          <w:lang w:val="en-GB" w:eastAsia="zh-CN"/>
        </w:rPr>
      </w:pPr>
    </w:p>
    <w:p>
      <w:pPr>
        <w:spacing w:after="160"/>
        <w:rPr>
          <w:rFonts w:eastAsia="等线"/>
          <w:bCs/>
          <w:kern w:val="2"/>
          <w:szCs w:val="24"/>
          <w:lang w:val="en-GB" w:eastAsia="zh-CN"/>
        </w:rPr>
      </w:pPr>
    </w:p>
    <w:p>
      <w:pPr>
        <w:spacing w:after="160"/>
        <w:rPr>
          <w:szCs w:val="24"/>
        </w:rPr>
      </w:pPr>
      <w:r>
        <w:rPr>
          <w:b/>
          <w:szCs w:val="24"/>
        </w:rPr>
        <w:t>This PDF file includes:</w:t>
      </w:r>
    </w:p>
    <w:p>
      <w:pPr>
        <w:spacing w:after="160"/>
        <w:rPr>
          <w:szCs w:val="24"/>
        </w:rPr>
      </w:pPr>
      <w:r>
        <w:rPr>
          <w:szCs w:val="24"/>
        </w:rPr>
        <w:t>Materials and Methods</w:t>
      </w:r>
    </w:p>
    <w:p>
      <w:pPr>
        <w:spacing w:after="160"/>
        <w:rPr>
          <w:rFonts w:hint="eastAsia" w:eastAsiaTheme="minorEastAsia"/>
          <w:szCs w:val="24"/>
          <w:lang w:eastAsia="zh-CN"/>
        </w:rPr>
      </w:pPr>
      <w:r>
        <w:rPr>
          <w:szCs w:val="24"/>
        </w:rPr>
        <w:t>Figs. S1 to S2</w:t>
      </w:r>
      <w:r>
        <w:rPr>
          <w:rFonts w:hint="eastAsia"/>
          <w:szCs w:val="24"/>
          <w:lang w:val="en-US" w:eastAsia="zh-CN"/>
        </w:rPr>
        <w:t>3</w:t>
      </w:r>
    </w:p>
    <w:p>
      <w:pPr>
        <w:spacing w:after="160"/>
        <w:rPr>
          <w:szCs w:val="24"/>
        </w:rPr>
      </w:pPr>
      <w:r>
        <w:rPr>
          <w:szCs w:val="24"/>
        </w:rPr>
        <w:t>Tables S1 to S4</w:t>
      </w:r>
    </w:p>
    <w:p>
      <w:pPr>
        <w:spacing w:after="160"/>
        <w:rPr>
          <w:szCs w:val="24"/>
        </w:rPr>
      </w:pPr>
      <w:r>
        <w:rPr>
          <w:szCs w:val="24"/>
        </w:rPr>
        <w:t>Supplementary Note 1 to 2</w:t>
      </w:r>
      <w:r>
        <w:rPr>
          <w:rFonts w:hint="eastAsia"/>
          <w:szCs w:val="24"/>
        </w:rPr>
        <w:t xml:space="preserve"> (</w:t>
      </w:r>
      <w:r>
        <w:rPr>
          <w:szCs w:val="24"/>
        </w:rPr>
        <w:t>Figs. S</w:t>
      </w:r>
      <w:r>
        <w:rPr>
          <w:rFonts w:hint="eastAsia"/>
          <w:szCs w:val="24"/>
        </w:rPr>
        <w:t>2</w:t>
      </w:r>
      <w:r>
        <w:rPr>
          <w:rFonts w:hint="eastAsia"/>
          <w:szCs w:val="24"/>
          <w:lang w:val="en-US" w:eastAsia="zh-CN"/>
        </w:rPr>
        <w:t>4</w:t>
      </w:r>
      <w:r>
        <w:rPr>
          <w:szCs w:val="24"/>
        </w:rPr>
        <w:t xml:space="preserve"> to S</w:t>
      </w:r>
      <w:r>
        <w:rPr>
          <w:rFonts w:hint="eastAsia"/>
          <w:szCs w:val="24"/>
        </w:rPr>
        <w:t>3</w:t>
      </w:r>
      <w:r>
        <w:rPr>
          <w:rFonts w:hint="eastAsia"/>
          <w:szCs w:val="24"/>
          <w:lang w:val="en-US" w:eastAsia="zh-CN"/>
        </w:rPr>
        <w:t>0</w:t>
      </w:r>
      <w:r>
        <w:rPr>
          <w:rFonts w:hint="eastAsia"/>
          <w:szCs w:val="24"/>
        </w:rPr>
        <w:t>)</w:t>
      </w:r>
    </w:p>
    <w:p>
      <w:pPr>
        <w:spacing w:after="160"/>
        <w:rPr>
          <w:szCs w:val="24"/>
        </w:rPr>
      </w:pPr>
      <w:r>
        <w:rPr>
          <w:szCs w:val="24"/>
        </w:rPr>
        <w:t>References 1-</w:t>
      </w:r>
      <w:r>
        <w:rPr>
          <w:rFonts w:hint="eastAsia"/>
          <w:szCs w:val="24"/>
          <w:lang w:val="en-US" w:eastAsia="zh-CN"/>
        </w:rPr>
        <w:t>45</w:t>
      </w:r>
      <w:r>
        <w:rPr>
          <w:szCs w:val="24"/>
        </w:rPr>
        <w:t>.</w:t>
      </w:r>
    </w:p>
    <w:p>
      <w:pPr>
        <w:spacing w:after="160"/>
        <w:rPr>
          <w:szCs w:val="24"/>
        </w:rPr>
      </w:pPr>
    </w:p>
    <w:p>
      <w:pPr>
        <w:spacing w:after="160"/>
        <w:rPr>
          <w:szCs w:val="24"/>
        </w:rPr>
      </w:pPr>
    </w:p>
    <w:p>
      <w:pPr>
        <w:adjustRightInd w:val="0"/>
        <w:snapToGrid w:val="0"/>
        <w:spacing w:after="163" w:afterLines="50" w:line="480" w:lineRule="auto"/>
        <w:ind w:firstLine="562" w:firstLineChars="200"/>
        <w:jc w:val="both"/>
        <w:rPr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page"/>
      </w:r>
    </w:p>
    <w:p>
      <w:pPr>
        <w:spacing w:line="360" w:lineRule="auto"/>
        <w:jc w:val="center"/>
      </w:pPr>
      <w:r>
        <w:rPr>
          <w:lang w:eastAsia="zh-CN"/>
        </w:rPr>
        <w:drawing>
          <wp:inline distT="0" distB="0" distL="114300" distR="114300">
            <wp:extent cx="3128010" cy="3044190"/>
            <wp:effectExtent l="0" t="0" r="11430" b="3810"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128010" cy="30441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spacing w:line="360" w:lineRule="auto"/>
      </w:pPr>
      <w:r>
        <w:rPr>
          <w:rFonts w:hint="eastAsia"/>
          <w:b/>
          <w:bCs/>
          <w:color w:val="000000" w:themeColor="text1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Supplementary </w:t>
      </w:r>
      <w:r>
        <w:rPr>
          <w:b/>
          <w:bCs/>
          <w:color w:val="000000" w:themeColor="text1"/>
          <w:szCs w:val="24"/>
          <w14:textFill>
            <w14:solidFill>
              <w14:schemeClr w14:val="tx1"/>
            </w14:solidFill>
          </w14:textFill>
        </w:rPr>
        <w:t>Fig</w:t>
      </w:r>
      <w:r>
        <w:rPr>
          <w:rFonts w:hint="eastAsia"/>
          <w:b/>
          <w:bCs/>
          <w:color w:val="000000" w:themeColor="text1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. </w:t>
      </w:r>
      <w:r>
        <w:rPr>
          <w:b/>
          <w:bCs/>
          <w:color w:val="000000" w:themeColor="text1"/>
          <w:szCs w:val="24"/>
          <w14:textFill>
            <w14:solidFill>
              <w14:schemeClr w14:val="tx1"/>
            </w14:solidFill>
          </w14:textFill>
        </w:rPr>
        <w:t xml:space="preserve">1. </w:t>
      </w:r>
      <w:r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  <w:t>The x-ray diffraction patterns of PbI</w:t>
      </w:r>
      <w:r>
        <w:rPr>
          <w:color w:val="000000" w:themeColor="text1"/>
          <w:szCs w:val="24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  <w:t xml:space="preserve"> film on the rigid substrate without addition and with Ac, CdI</w:t>
      </w:r>
      <w:r>
        <w:rPr>
          <w:color w:val="000000" w:themeColor="text1"/>
          <w:szCs w:val="24"/>
          <w:vertAlign w:val="subscript"/>
          <w14:textFill>
            <w14:solidFill>
              <w14:schemeClr w14:val="tx1"/>
            </w14:solidFill>
          </w14:textFill>
        </w:rPr>
        <w:t>2,</w:t>
      </w:r>
      <w:r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  <w:t xml:space="preserve"> and CdAc</w:t>
      </w:r>
      <w:r>
        <w:rPr>
          <w:rFonts w:hint="eastAsia"/>
          <w:color w:val="000000" w:themeColor="text1"/>
          <w:szCs w:val="24"/>
          <w:vertAlign w:val="subscript"/>
          <w:lang w:eastAsia="zh-CN"/>
          <w14:textFill>
            <w14:solidFill>
              <w14:schemeClr w14:val="tx1"/>
            </w14:solidFill>
          </w14:textFill>
        </w:rPr>
        <w:t>2</w:t>
      </w:r>
      <w:r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  <w:t>.</w:t>
      </w:r>
    </w:p>
    <w:p>
      <w:pPr>
        <w:adjustRightInd w:val="0"/>
        <w:snapToGrid w:val="0"/>
        <w:spacing w:line="360" w:lineRule="auto"/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  <w:t xml:space="preserve"> </w:t>
      </w:r>
    </w:p>
    <w:p>
      <w:pPr>
        <w:adjustRightInd w:val="0"/>
        <w:snapToGrid w:val="0"/>
        <w:spacing w:line="360" w:lineRule="auto"/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360" w:lineRule="auto"/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360" w:lineRule="auto"/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360" w:lineRule="auto"/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360" w:lineRule="auto"/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360" w:lineRule="auto"/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360" w:lineRule="auto"/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360" w:lineRule="auto"/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360" w:lineRule="auto"/>
        <w:jc w:val="center"/>
      </w:pPr>
      <w:r>
        <w:rPr>
          <w:lang w:eastAsia="zh-CN"/>
        </w:rPr>
        <w:drawing>
          <wp:inline distT="0" distB="0" distL="114300" distR="114300">
            <wp:extent cx="3528695" cy="2946400"/>
            <wp:effectExtent l="0" t="0" r="6985" b="1016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528695" cy="29464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spacing w:line="360" w:lineRule="auto"/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bCs/>
          <w:color w:val="000000" w:themeColor="text1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Supplementary </w:t>
      </w:r>
      <w:r>
        <w:rPr>
          <w:b/>
          <w:bCs/>
          <w:color w:val="000000" w:themeColor="text1"/>
          <w:szCs w:val="24"/>
          <w14:textFill>
            <w14:solidFill>
              <w14:schemeClr w14:val="tx1"/>
            </w14:solidFill>
          </w14:textFill>
        </w:rPr>
        <w:t>Fig</w:t>
      </w:r>
      <w:r>
        <w:rPr>
          <w:rFonts w:hint="eastAsia"/>
          <w:b/>
          <w:bCs/>
          <w:color w:val="000000" w:themeColor="text1"/>
          <w:szCs w:val="24"/>
          <w:lang w:val="en-US" w:eastAsia="zh-CN"/>
          <w14:textFill>
            <w14:solidFill>
              <w14:schemeClr w14:val="tx1"/>
            </w14:solidFill>
          </w14:textFill>
        </w:rPr>
        <w:t>. 2</w:t>
      </w:r>
      <w:r>
        <w:rPr>
          <w:b/>
          <w:bCs/>
          <w:color w:val="000000" w:themeColor="text1"/>
          <w:szCs w:val="24"/>
          <w14:textFill>
            <w14:solidFill>
              <w14:schemeClr w14:val="tx1"/>
            </w14:solidFill>
          </w14:textFill>
        </w:rPr>
        <w:t xml:space="preserve">. </w:t>
      </w:r>
      <w:r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  <w:t>The x-ray diffraction patterns of perovskite films on the rigid substrate without addition and with Ac, CdI</w:t>
      </w:r>
      <w:r>
        <w:rPr>
          <w:color w:val="000000" w:themeColor="text1"/>
          <w:szCs w:val="24"/>
          <w:vertAlign w:val="subscript"/>
          <w14:textFill>
            <w14:solidFill>
              <w14:schemeClr w14:val="tx1"/>
            </w14:solidFill>
          </w14:textFill>
        </w:rPr>
        <w:t>2,</w:t>
      </w:r>
      <w:r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  <w:t xml:space="preserve"> and CdAc</w:t>
      </w:r>
      <w:r>
        <w:rPr>
          <w:rFonts w:hint="eastAsia"/>
          <w:color w:val="000000" w:themeColor="text1"/>
          <w:szCs w:val="24"/>
          <w:vertAlign w:val="subscript"/>
          <w:lang w:eastAsia="zh-CN"/>
          <w14:textFill>
            <w14:solidFill>
              <w14:schemeClr w14:val="tx1"/>
            </w14:solidFill>
          </w14:textFill>
        </w:rPr>
        <w:t>2</w:t>
      </w:r>
      <w:r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  <w:t>.</w:t>
      </w:r>
    </w:p>
    <w:p>
      <w:pPr>
        <w:adjustRightInd w:val="0"/>
        <w:snapToGrid w:val="0"/>
        <w:spacing w:line="360" w:lineRule="auto"/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360" w:lineRule="auto"/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360" w:lineRule="auto"/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360" w:lineRule="auto"/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360" w:lineRule="auto"/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360" w:lineRule="auto"/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360" w:lineRule="auto"/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360" w:lineRule="auto"/>
        <w:rPr>
          <w:b/>
          <w:bCs/>
          <w:color w:val="000000" w:themeColor="text1"/>
          <w:szCs w:val="24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360" w:lineRule="auto"/>
        <w:rPr>
          <w:b/>
          <w:bCs/>
          <w:color w:val="000000" w:themeColor="text1"/>
          <w:szCs w:val="24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360" w:lineRule="auto"/>
        <w:rPr>
          <w:b/>
          <w:bCs/>
          <w:color w:val="000000" w:themeColor="text1"/>
          <w:szCs w:val="24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360" w:lineRule="auto"/>
        <w:rPr>
          <w:b/>
          <w:bCs/>
          <w:color w:val="000000" w:themeColor="text1"/>
          <w:szCs w:val="24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360" w:lineRule="auto"/>
        <w:rPr>
          <w:b/>
          <w:bCs/>
          <w:color w:val="000000" w:themeColor="text1"/>
          <w:szCs w:val="24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360" w:lineRule="auto"/>
        <w:rPr>
          <w:b/>
          <w:bCs/>
          <w:color w:val="000000" w:themeColor="text1"/>
          <w:szCs w:val="24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360" w:lineRule="auto"/>
        <w:jc w:val="center"/>
        <w:rPr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lang w:eastAsia="zh-CN"/>
        </w:rPr>
        <w:drawing>
          <wp:inline distT="0" distB="0" distL="114300" distR="114300">
            <wp:extent cx="5266690" cy="1886585"/>
            <wp:effectExtent l="0" t="0" r="0" b="0"/>
            <wp:docPr id="9" name="图片 9" descr="不同浓度对比-1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不同浓度对比-1副本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323634" cy="19073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spacing w:line="360" w:lineRule="auto"/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bCs/>
          <w:color w:val="000000" w:themeColor="text1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Supplementary </w:t>
      </w:r>
      <w:r>
        <w:rPr>
          <w:b/>
          <w:bCs/>
          <w:color w:val="000000" w:themeColor="text1"/>
          <w:szCs w:val="24"/>
          <w14:textFill>
            <w14:solidFill>
              <w14:schemeClr w14:val="tx1"/>
            </w14:solidFill>
          </w14:textFill>
        </w:rPr>
        <w:t>Fig</w:t>
      </w:r>
      <w:r>
        <w:rPr>
          <w:rFonts w:hint="eastAsia"/>
          <w:b/>
          <w:bCs/>
          <w:color w:val="000000" w:themeColor="text1"/>
          <w:szCs w:val="24"/>
          <w:lang w:val="en-US" w:eastAsia="zh-CN"/>
          <w14:textFill>
            <w14:solidFill>
              <w14:schemeClr w14:val="tx1"/>
            </w14:solidFill>
          </w14:textFill>
        </w:rPr>
        <w:t>. 3</w:t>
      </w:r>
      <w:r>
        <w:rPr>
          <w:b/>
          <w:bCs/>
          <w:color w:val="000000" w:themeColor="text1"/>
          <w:szCs w:val="24"/>
          <w14:textFill>
            <w14:solidFill>
              <w14:schemeClr w14:val="tx1"/>
            </w14:solidFill>
          </w14:textFill>
        </w:rPr>
        <w:t>.</w:t>
      </w:r>
      <w:r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  <w:t xml:space="preserve"> XRD spectra of the perovskite films on the flexible substrate with CdAc</w:t>
      </w:r>
      <w:r>
        <w:rPr>
          <w:rFonts w:hint="eastAsia"/>
          <w:color w:val="000000" w:themeColor="text1"/>
          <w:szCs w:val="24"/>
          <w:vertAlign w:val="subscript"/>
          <w:lang w:eastAsia="zh-CN"/>
          <w14:textFill>
            <w14:solidFill>
              <w14:schemeClr w14:val="tx1"/>
            </w14:solidFill>
          </w14:textFill>
        </w:rPr>
        <w:t>2</w:t>
      </w:r>
      <w:r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  <w:t xml:space="preserve"> introduced from 0 to 4 mg, respectively.</w:t>
      </w:r>
    </w:p>
    <w:p>
      <w:pPr>
        <w:adjustRightInd w:val="0"/>
        <w:snapToGrid w:val="0"/>
        <w:spacing w:line="360" w:lineRule="auto"/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jc w:val="center"/>
      </w:pPr>
      <w:r>
        <w:rPr>
          <w:lang w:eastAsia="zh-CN"/>
        </w:rPr>
        <w:drawing>
          <wp:inline distT="0" distB="0" distL="0" distR="0">
            <wp:extent cx="4415790" cy="4418965"/>
            <wp:effectExtent l="0" t="0" r="0" b="635"/>
            <wp:docPr id="1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429035" cy="4432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both"/>
        <w:rPr>
          <w:rFonts w:hint="eastAsia"/>
        </w:rPr>
      </w:pPr>
      <w:r>
        <w:rPr>
          <w:rFonts w:hint="eastAsia"/>
          <w:b/>
          <w:bCs/>
          <w:color w:val="000000" w:themeColor="text1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Supplementary </w:t>
      </w:r>
      <w:r>
        <w:rPr>
          <w:b/>
          <w:bCs/>
          <w:color w:val="000000" w:themeColor="text1"/>
          <w:szCs w:val="24"/>
          <w14:textFill>
            <w14:solidFill>
              <w14:schemeClr w14:val="tx1"/>
            </w14:solidFill>
          </w14:textFill>
        </w:rPr>
        <w:t>Fig</w:t>
      </w:r>
      <w:r>
        <w:rPr>
          <w:rFonts w:hint="eastAsia"/>
          <w:b/>
          <w:bCs/>
          <w:color w:val="000000" w:themeColor="text1"/>
          <w:szCs w:val="24"/>
          <w:lang w:val="en-US" w:eastAsia="zh-CN"/>
          <w14:textFill>
            <w14:solidFill>
              <w14:schemeClr w14:val="tx1"/>
            </w14:solidFill>
          </w14:textFill>
        </w:rPr>
        <w:t>. 4</w:t>
      </w:r>
      <w:r>
        <w:rPr>
          <w:b/>
          <w:bCs/>
          <w:color w:val="000000" w:themeColor="text1"/>
          <w:szCs w:val="24"/>
          <w14:textFill>
            <w14:solidFill>
              <w14:schemeClr w14:val="tx1"/>
            </w14:solidFill>
          </w14:textFill>
        </w:rPr>
        <w:t>.</w:t>
      </w:r>
      <w:r>
        <w:rPr>
          <w:b/>
        </w:rPr>
        <w:t xml:space="preserve"> </w:t>
      </w:r>
      <w:r>
        <w:rPr>
          <w:rFonts w:hint="eastAsia"/>
        </w:rPr>
        <w:t>DFT-relaxed slabs of FAPbI</w:t>
      </w:r>
      <w:r>
        <w:rPr>
          <w:rFonts w:hint="eastAsia"/>
          <w:vertAlign w:val="subscript"/>
        </w:rPr>
        <w:t>3</w:t>
      </w:r>
      <w:r>
        <w:rPr>
          <w:rFonts w:hint="eastAsia"/>
        </w:rPr>
        <w:t xml:space="preserve"> with Ac, HCOO</w:t>
      </w:r>
      <w:r>
        <w:rPr>
          <w:rFonts w:hint="eastAsia"/>
          <w:vertAlign w:val="superscript"/>
        </w:rPr>
        <w:t>-</w:t>
      </w:r>
      <w:r>
        <w:rPr>
          <w:rFonts w:hint="eastAsia"/>
        </w:rPr>
        <w:t>, and I</w:t>
      </w:r>
      <w:r>
        <w:rPr>
          <w:rFonts w:hint="eastAsia"/>
          <w:vertAlign w:val="superscript"/>
        </w:rPr>
        <w:t>-</w:t>
      </w:r>
      <w:r>
        <w:rPr>
          <w:rFonts w:hint="eastAsia"/>
        </w:rPr>
        <w:t xml:space="preserve"> adsorbed at an iodide-vacancy site (top) on the PbI</w:t>
      </w:r>
      <w:r>
        <w:rPr>
          <w:rFonts w:hint="eastAsia"/>
          <w:vertAlign w:val="subscript"/>
        </w:rPr>
        <w:t>2</w:t>
      </w:r>
      <w:r>
        <w:rPr>
          <w:rFonts w:hint="eastAsia"/>
        </w:rPr>
        <w:t>-terminated surface and move away for ~4 Å (bottom), respectively.</w:t>
      </w:r>
    </w:p>
    <w:p>
      <w:pPr>
        <w:spacing w:line="360" w:lineRule="auto"/>
        <w:jc w:val="both"/>
      </w:pPr>
    </w:p>
    <w:p>
      <w:pPr>
        <w:spacing w:line="360" w:lineRule="auto"/>
        <w:jc w:val="both"/>
      </w:pPr>
      <w:r>
        <w:rPr>
          <w:lang w:eastAsia="zh-CN"/>
        </w:rPr>
        <w:drawing>
          <wp:inline distT="0" distB="0" distL="0" distR="0">
            <wp:extent cx="4208780" cy="3124200"/>
            <wp:effectExtent l="0" t="0" r="12700" b="0"/>
            <wp:docPr id="3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9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251960" cy="31561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spacing w:line="360" w:lineRule="auto"/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bCs/>
          <w:color w:val="000000" w:themeColor="text1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Supplementary </w:t>
      </w:r>
      <w:r>
        <w:rPr>
          <w:b/>
          <w:bCs/>
          <w:color w:val="000000" w:themeColor="text1"/>
          <w:szCs w:val="24"/>
          <w14:textFill>
            <w14:solidFill>
              <w14:schemeClr w14:val="tx1"/>
            </w14:solidFill>
          </w14:textFill>
        </w:rPr>
        <w:t>Fig</w:t>
      </w:r>
      <w:r>
        <w:rPr>
          <w:rFonts w:hint="eastAsia"/>
          <w:b/>
          <w:bCs/>
          <w:color w:val="000000" w:themeColor="text1"/>
          <w:szCs w:val="24"/>
          <w:lang w:val="en-US" w:eastAsia="zh-CN"/>
          <w14:textFill>
            <w14:solidFill>
              <w14:schemeClr w14:val="tx1"/>
            </w14:solidFill>
          </w14:textFill>
        </w:rPr>
        <w:t>. 5</w:t>
      </w:r>
      <w:r>
        <w:rPr>
          <w:b/>
          <w:bCs/>
          <w:color w:val="000000" w:themeColor="text1"/>
          <w:szCs w:val="24"/>
          <w14:textFill>
            <w14:solidFill>
              <w14:schemeClr w14:val="tx1"/>
            </w14:solidFill>
          </w14:textFill>
        </w:rPr>
        <w:t>.</w:t>
      </w:r>
      <w:r>
        <w:t xml:space="preserve"> The relative interaction strengths of Ac, HCOO</w:t>
      </w:r>
      <w:r>
        <w:rPr>
          <w:vertAlign w:val="superscript"/>
        </w:rPr>
        <w:t>-</w:t>
      </w:r>
      <w:r>
        <w:t>, and I</w:t>
      </w:r>
      <w:r>
        <w:rPr>
          <w:vertAlign w:val="superscript"/>
        </w:rPr>
        <w:t>-</w:t>
      </w:r>
      <w:r>
        <w:t xml:space="preserve"> with the I</w:t>
      </w:r>
      <w:r>
        <w:rPr>
          <w:vertAlign w:val="superscript"/>
        </w:rPr>
        <w:t>-</w:t>
      </w:r>
      <w:r>
        <w:t xml:space="preserve"> vacancy at the FAPbI</w:t>
      </w:r>
      <w:r>
        <w:rPr>
          <w:vertAlign w:val="subscript"/>
        </w:rPr>
        <w:t>3</w:t>
      </w:r>
      <w:r>
        <w:t xml:space="preserve"> surface.</w:t>
      </w:r>
    </w:p>
    <w:p>
      <w:pPr>
        <w:adjustRightInd w:val="0"/>
        <w:snapToGrid w:val="0"/>
        <w:spacing w:line="360" w:lineRule="auto"/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360" w:lineRule="auto"/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360" w:lineRule="auto"/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360" w:lineRule="auto"/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360" w:lineRule="auto"/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360" w:lineRule="auto"/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360" w:lineRule="auto"/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360" w:lineRule="auto"/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360" w:lineRule="auto"/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360" w:lineRule="auto"/>
        <w:jc w:val="center"/>
      </w:pPr>
      <w:r>
        <w:rPr>
          <w:lang w:eastAsia="zh-CN"/>
        </w:rPr>
        <w:drawing>
          <wp:inline distT="0" distB="0" distL="114300" distR="114300">
            <wp:extent cx="3612515" cy="2790825"/>
            <wp:effectExtent l="0" t="0" r="14605" b="13335"/>
            <wp:docPr id="19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5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612515" cy="27908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spacing w:line="360" w:lineRule="auto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bCs/>
          <w:color w:val="000000" w:themeColor="text1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Supplementary </w:t>
      </w:r>
      <w:r>
        <w:rPr>
          <w:b/>
          <w:bCs/>
          <w:color w:val="000000" w:themeColor="text1"/>
          <w:szCs w:val="24"/>
          <w14:textFill>
            <w14:solidFill>
              <w14:schemeClr w14:val="tx1"/>
            </w14:solidFill>
          </w14:textFill>
        </w:rPr>
        <w:t>Fig</w:t>
      </w:r>
      <w:r>
        <w:rPr>
          <w:rFonts w:hint="eastAsia"/>
          <w:b/>
          <w:bCs/>
          <w:color w:val="000000" w:themeColor="text1"/>
          <w:szCs w:val="24"/>
          <w:lang w:val="en-US" w:eastAsia="zh-CN"/>
          <w14:textFill>
            <w14:solidFill>
              <w14:schemeClr w14:val="tx1"/>
            </w14:solidFill>
          </w14:textFill>
        </w:rPr>
        <w:t>. 6</w:t>
      </w:r>
      <w:r>
        <w:rPr>
          <w:b/>
          <w:bCs/>
          <w:color w:val="000000" w:themeColor="text1"/>
          <w:szCs w:val="24"/>
          <w14:textFill>
            <w14:solidFill>
              <w14:schemeClr w14:val="tx1"/>
            </w14:solidFill>
          </w14:textFill>
        </w:rPr>
        <w:t xml:space="preserve">. </w:t>
      </w:r>
      <w:r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  <w:t>XPS spectra of I 3d for perovskite film wo/w CdAc</w:t>
      </w:r>
      <w:r>
        <w:rPr>
          <w:rFonts w:hint="eastAsia"/>
          <w:color w:val="000000" w:themeColor="text1"/>
          <w:szCs w:val="24"/>
          <w:vertAlign w:val="subscript"/>
          <w:lang w:eastAsia="zh-CN"/>
          <w14:textFill>
            <w14:solidFill>
              <w14:schemeClr w14:val="tx1"/>
            </w14:solidFill>
          </w14:textFill>
        </w:rPr>
        <w:t>2</w:t>
      </w:r>
      <w:r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  <w:t xml:space="preserve"> introduced.</w:t>
      </w:r>
      <w:r>
        <w:t xml:space="preserve"> </w:t>
      </w:r>
    </w:p>
    <w:p>
      <w:pPr>
        <w:adjustRightInd w:val="0"/>
        <w:snapToGrid w:val="0"/>
        <w:spacing w:line="360" w:lineRule="auto"/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360" w:lineRule="auto"/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360" w:lineRule="auto"/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360" w:lineRule="auto"/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360" w:lineRule="auto"/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360" w:lineRule="auto"/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360" w:lineRule="auto"/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360" w:lineRule="auto"/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360" w:lineRule="auto"/>
        <w:jc w:val="center"/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</w:pPr>
      <w:r>
        <w:rPr>
          <w:lang w:eastAsia="zh-CN"/>
        </w:rPr>
        <w:drawing>
          <wp:inline distT="0" distB="0" distL="114300" distR="114300">
            <wp:extent cx="5269230" cy="3160395"/>
            <wp:effectExtent l="0" t="0" r="3810" b="9525"/>
            <wp:docPr id="21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17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31603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t>-</w:t>
      </w:r>
    </w:p>
    <w:p>
      <w:pPr>
        <w:adjustRightInd w:val="0"/>
        <w:snapToGrid w:val="0"/>
        <w:spacing w:line="360" w:lineRule="auto"/>
        <w:jc w:val="both"/>
        <w:rPr>
          <w:bCs/>
          <w:color w:val="000000" w:themeColor="text1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bCs/>
          <w:color w:val="000000" w:themeColor="text1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Supplementary </w:t>
      </w:r>
      <w:r>
        <w:rPr>
          <w:b/>
          <w:bCs/>
          <w:color w:val="000000" w:themeColor="text1"/>
          <w:szCs w:val="24"/>
          <w14:textFill>
            <w14:solidFill>
              <w14:schemeClr w14:val="tx1"/>
            </w14:solidFill>
          </w14:textFill>
        </w:rPr>
        <w:t>Fig</w:t>
      </w:r>
      <w:r>
        <w:rPr>
          <w:rFonts w:hint="eastAsia"/>
          <w:b/>
          <w:bCs/>
          <w:color w:val="000000" w:themeColor="text1"/>
          <w:szCs w:val="24"/>
          <w:lang w:val="en-US" w:eastAsia="zh-CN"/>
          <w14:textFill>
            <w14:solidFill>
              <w14:schemeClr w14:val="tx1"/>
            </w14:solidFill>
          </w14:textFill>
        </w:rPr>
        <w:t>. 7</w:t>
      </w:r>
      <w:r>
        <w:rPr>
          <w:b/>
          <w:bCs/>
          <w:color w:val="000000" w:themeColor="text1"/>
          <w:szCs w:val="24"/>
          <w14:textFill>
            <w14:solidFill>
              <w14:schemeClr w14:val="tx1"/>
            </w14:solidFill>
          </w14:textFill>
        </w:rPr>
        <w:t xml:space="preserve">. </w:t>
      </w:r>
      <w:r>
        <w:rPr>
          <w:bCs/>
          <w:color w:val="000000" w:themeColor="text1"/>
          <w:szCs w:val="24"/>
          <w14:textFill>
            <w14:solidFill>
              <w14:schemeClr w14:val="tx1"/>
            </w14:solidFill>
          </w14:textFill>
        </w:rPr>
        <w:t>UPS data for perovskite film wo/w CdAc</w:t>
      </w:r>
      <w:r>
        <w:rPr>
          <w:rFonts w:hint="eastAsia"/>
          <w:bCs/>
          <w:color w:val="000000" w:themeColor="text1"/>
          <w:szCs w:val="24"/>
          <w:vertAlign w:val="subscript"/>
          <w:lang w:eastAsia="zh-CN"/>
          <w14:textFill>
            <w14:solidFill>
              <w14:schemeClr w14:val="tx1"/>
            </w14:solidFill>
          </w14:textFill>
        </w:rPr>
        <w:t>2</w:t>
      </w:r>
      <w:r>
        <w:rPr>
          <w:bCs/>
          <w:color w:val="000000" w:themeColor="text1"/>
          <w:szCs w:val="24"/>
          <w14:textFill>
            <w14:solidFill>
              <w14:schemeClr w14:val="tx1"/>
            </w14:solidFill>
          </w14:textFill>
        </w:rPr>
        <w:t xml:space="preserve"> introduced. Helium Iα (hν= 21.22 eV) spectra of secondary electron cut-off (left panel) and UPS spectra in the valence band (VB) region (right panel) are shown.</w:t>
      </w:r>
    </w:p>
    <w:p>
      <w:pPr>
        <w:adjustRightInd w:val="0"/>
        <w:snapToGrid w:val="0"/>
        <w:spacing w:line="360" w:lineRule="auto"/>
        <w:rPr>
          <w:bCs/>
          <w:color w:val="000000" w:themeColor="text1"/>
          <w:szCs w:val="24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360" w:lineRule="auto"/>
        <w:rPr>
          <w:bCs/>
          <w:color w:val="000000" w:themeColor="text1"/>
          <w:szCs w:val="24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360" w:lineRule="auto"/>
        <w:rPr>
          <w:bCs/>
          <w:color w:val="000000" w:themeColor="text1"/>
          <w:szCs w:val="24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360" w:lineRule="auto"/>
        <w:rPr>
          <w:bCs/>
          <w:color w:val="000000" w:themeColor="text1"/>
          <w:szCs w:val="24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360" w:lineRule="auto"/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lang w:eastAsia="zh-CN"/>
        </w:rPr>
        <w:drawing>
          <wp:inline distT="0" distB="0" distL="114300" distR="114300">
            <wp:extent cx="5273675" cy="3235325"/>
            <wp:effectExtent l="0" t="0" r="3175" b="3175"/>
            <wp:docPr id="3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1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90556" cy="3245917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spacing w:line="360" w:lineRule="auto"/>
        <w:jc w:val="both"/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bCs/>
          <w:color w:val="000000" w:themeColor="text1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Supplementary </w:t>
      </w:r>
      <w:r>
        <w:rPr>
          <w:b/>
          <w:bCs/>
          <w:color w:val="000000" w:themeColor="text1"/>
          <w:szCs w:val="24"/>
          <w14:textFill>
            <w14:solidFill>
              <w14:schemeClr w14:val="tx1"/>
            </w14:solidFill>
          </w14:textFill>
        </w:rPr>
        <w:t>Fig</w:t>
      </w:r>
      <w:r>
        <w:rPr>
          <w:rFonts w:hint="eastAsia"/>
          <w:b/>
          <w:bCs/>
          <w:color w:val="000000" w:themeColor="text1"/>
          <w:szCs w:val="24"/>
          <w:lang w:val="en-US" w:eastAsia="zh-CN"/>
          <w14:textFill>
            <w14:solidFill>
              <w14:schemeClr w14:val="tx1"/>
            </w14:solidFill>
          </w14:textFill>
        </w:rPr>
        <w:t>. 8</w:t>
      </w:r>
      <w:r>
        <w:rPr>
          <w:b/>
          <w:bCs/>
          <w:color w:val="000000" w:themeColor="text1"/>
          <w:szCs w:val="24"/>
          <w14:textFill>
            <w14:solidFill>
              <w14:schemeClr w14:val="tx1"/>
            </w14:solidFill>
          </w14:textFill>
        </w:rPr>
        <w:t xml:space="preserve">. </w:t>
      </w:r>
      <w:r>
        <w:rPr>
          <w:bCs/>
          <w:color w:val="000000" w:themeColor="text1"/>
          <w:szCs w:val="24"/>
          <w14:textFill>
            <w14:solidFill>
              <w14:schemeClr w14:val="tx1"/>
            </w14:solidFill>
          </w14:textFill>
        </w:rPr>
        <w:t>The elements mapping in perovskite films. D</w:t>
      </w:r>
      <w:r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  <w:t>epth profiles of Br, I, Sn, Pb, Cd, Li, Au in flexible perovskite devices by SIMS.</w:t>
      </w:r>
    </w:p>
    <w:p>
      <w:pPr>
        <w:adjustRightInd w:val="0"/>
        <w:snapToGrid w:val="0"/>
        <w:spacing w:line="360" w:lineRule="auto"/>
        <w:jc w:val="center"/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360" w:lineRule="auto"/>
        <w:jc w:val="center"/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360" w:lineRule="auto"/>
        <w:jc w:val="center"/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360" w:lineRule="auto"/>
        <w:jc w:val="center"/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360" w:lineRule="auto"/>
        <w:jc w:val="both"/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360" w:lineRule="auto"/>
        <w:jc w:val="both"/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360" w:lineRule="auto"/>
        <w:jc w:val="center"/>
        <w:rPr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lang w:eastAsia="zh-CN"/>
        </w:rPr>
        <w:drawing>
          <wp:inline distT="0" distB="0" distL="114300" distR="114300">
            <wp:extent cx="4568190" cy="3493770"/>
            <wp:effectExtent l="0" t="0" r="3810" b="11430"/>
            <wp:docPr id="31" name="图片 3" descr="C:\Users\Rny\Desktop\CCO\EDS\无标题-1副本.jpg无标题-1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" descr="C:\Users\Rny\Desktop\CCO\EDS\无标题-1副本.jpg无标题-1副本"/>
                    <pic:cNvPicPr>
                      <a:picLocks noChangeAspect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68190" cy="3493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spacing w:line="360" w:lineRule="auto"/>
        <w:rPr>
          <w:bCs/>
          <w:color w:val="000000" w:themeColor="text1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bCs/>
          <w:color w:val="000000" w:themeColor="text1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Supplementary </w:t>
      </w:r>
      <w:r>
        <w:rPr>
          <w:b/>
          <w:bCs/>
          <w:color w:val="000000" w:themeColor="text1"/>
          <w:szCs w:val="24"/>
          <w14:textFill>
            <w14:solidFill>
              <w14:schemeClr w14:val="tx1"/>
            </w14:solidFill>
          </w14:textFill>
        </w:rPr>
        <w:t>Fig</w:t>
      </w:r>
      <w:r>
        <w:rPr>
          <w:rFonts w:hint="eastAsia"/>
          <w:b/>
          <w:bCs/>
          <w:color w:val="000000" w:themeColor="text1"/>
          <w:szCs w:val="24"/>
          <w:lang w:val="en-US" w:eastAsia="zh-CN"/>
          <w14:textFill>
            <w14:solidFill>
              <w14:schemeClr w14:val="tx1"/>
            </w14:solidFill>
          </w14:textFill>
        </w:rPr>
        <w:t>. 9</w:t>
      </w:r>
      <w:r>
        <w:rPr>
          <w:b/>
          <w:bCs/>
          <w:color w:val="000000" w:themeColor="text1"/>
          <w:szCs w:val="24"/>
          <w14:textFill>
            <w14:solidFill>
              <w14:schemeClr w14:val="tx1"/>
            </w14:solidFill>
          </w14:textFill>
        </w:rPr>
        <w:t xml:space="preserve">. </w:t>
      </w:r>
      <w:r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  <w:t>Energy dispersive spectrometer (EDS)</w:t>
      </w:r>
      <w:r>
        <w:rPr>
          <w:bCs/>
          <w:color w:val="000000" w:themeColor="text1"/>
          <w:szCs w:val="24"/>
          <w14:textFill>
            <w14:solidFill>
              <w14:schemeClr w14:val="tx1"/>
            </w14:solidFill>
          </w14:textFill>
        </w:rPr>
        <w:t xml:space="preserve"> mapping spectra of perovskite film with CdAc</w:t>
      </w:r>
      <w:r>
        <w:rPr>
          <w:rFonts w:hint="eastAsia"/>
          <w:bCs/>
          <w:color w:val="000000" w:themeColor="text1"/>
          <w:szCs w:val="24"/>
          <w:vertAlign w:val="subscript"/>
          <w:lang w:eastAsia="zh-CN"/>
          <w14:textFill>
            <w14:solidFill>
              <w14:schemeClr w14:val="tx1"/>
            </w14:solidFill>
          </w14:textFill>
        </w:rPr>
        <w:t>2</w:t>
      </w:r>
      <w:r>
        <w:rPr>
          <w:bCs/>
          <w:color w:val="000000" w:themeColor="text1"/>
          <w:szCs w:val="24"/>
          <w14:textFill>
            <w14:solidFill>
              <w14:schemeClr w14:val="tx1"/>
            </w14:solidFill>
          </w14:textFill>
        </w:rPr>
        <w:t xml:space="preserve"> introduced.</w:t>
      </w:r>
    </w:p>
    <w:p>
      <w:pPr>
        <w:adjustRightInd w:val="0"/>
        <w:snapToGrid w:val="0"/>
        <w:spacing w:line="360" w:lineRule="auto"/>
        <w:rPr>
          <w:bCs/>
          <w:color w:val="000000" w:themeColor="text1"/>
          <w:szCs w:val="24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360" w:lineRule="auto"/>
        <w:rPr>
          <w:rFonts w:hint="eastAsia" w:eastAsiaTheme="minorEastAsia"/>
          <w:bCs/>
          <w:color w:val="000000" w:themeColor="text1"/>
          <w:szCs w:val="24"/>
          <w:lang w:val="en-US" w:eastAsia="zh-CN"/>
          <w14:textFill>
            <w14:solidFill>
              <w14:schemeClr w14:val="tx1"/>
            </w14:solidFill>
          </w14:textFill>
        </w:rPr>
      </w:pPr>
    </w:p>
    <w:p/>
    <w:p/>
    <w:p/>
    <w:p/>
    <w:p/>
    <w:p/>
    <w:p/>
    <w:p/>
    <w:p>
      <w:pPr>
        <w:adjustRightInd w:val="0"/>
        <w:snapToGrid w:val="0"/>
        <w:spacing w:line="360" w:lineRule="auto"/>
        <w:jc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lang w:eastAsia="zh-CN"/>
        </w:rPr>
        <w:drawing>
          <wp:inline distT="0" distB="0" distL="114300" distR="114300">
            <wp:extent cx="3637280" cy="2703830"/>
            <wp:effectExtent l="0" t="0" r="5080" b="8890"/>
            <wp:docPr id="44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7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637280" cy="27038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spacing w:line="360" w:lineRule="auto"/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bCs/>
          <w:color w:val="000000" w:themeColor="text1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Supplementary </w:t>
      </w:r>
      <w:r>
        <w:rPr>
          <w:b/>
          <w:bCs/>
          <w:color w:val="000000" w:themeColor="text1"/>
          <w:szCs w:val="24"/>
          <w14:textFill>
            <w14:solidFill>
              <w14:schemeClr w14:val="tx1"/>
            </w14:solidFill>
          </w14:textFill>
        </w:rPr>
        <w:t>Fig</w:t>
      </w:r>
      <w:r>
        <w:rPr>
          <w:rFonts w:hint="eastAsia"/>
          <w:b/>
          <w:bCs/>
          <w:color w:val="000000" w:themeColor="text1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. </w:t>
      </w:r>
      <w:r>
        <w:rPr>
          <w:b/>
          <w:bCs/>
          <w:color w:val="000000" w:themeColor="text1"/>
          <w:szCs w:val="24"/>
          <w14:textFill>
            <w14:solidFill>
              <w14:schemeClr w14:val="tx1"/>
            </w14:solidFill>
          </w14:textFill>
        </w:rPr>
        <w:t>1</w:t>
      </w:r>
      <w:r>
        <w:rPr>
          <w:rFonts w:hint="eastAsia"/>
          <w:b/>
          <w:bCs/>
          <w:color w:val="000000" w:themeColor="text1"/>
          <w:szCs w:val="24"/>
          <w:lang w:val="en-US" w:eastAsia="zh-CN"/>
          <w14:textFill>
            <w14:solidFill>
              <w14:schemeClr w14:val="tx1"/>
            </w14:solidFill>
          </w14:textFill>
        </w:rPr>
        <w:t>0</w:t>
      </w:r>
      <w:r>
        <w:rPr>
          <w:b/>
          <w:bCs/>
          <w:color w:val="000000" w:themeColor="text1"/>
          <w:szCs w:val="24"/>
          <w14:textFill>
            <w14:solidFill>
              <w14:schemeClr w14:val="tx1"/>
            </w14:solidFill>
          </w14:textFill>
        </w:rPr>
        <w:t xml:space="preserve">. </w:t>
      </w:r>
      <w:r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  <w:t>Transmittance spectra of substrates including Glass/ITO and PET/ITO.</w:t>
      </w:r>
    </w:p>
    <w:p>
      <w:pPr>
        <w:adjustRightInd w:val="0"/>
        <w:snapToGrid w:val="0"/>
        <w:spacing w:line="360" w:lineRule="auto"/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360" w:lineRule="auto"/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360" w:lineRule="auto"/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360" w:lineRule="auto"/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360" w:lineRule="auto"/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360" w:lineRule="auto"/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360" w:lineRule="auto"/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360" w:lineRule="auto"/>
        <w:jc w:val="center"/>
      </w:pPr>
      <w:r>
        <w:rPr>
          <w:lang w:eastAsia="zh-CN"/>
        </w:rPr>
        <w:drawing>
          <wp:inline distT="0" distB="0" distL="114300" distR="114300">
            <wp:extent cx="4900295" cy="3823335"/>
            <wp:effectExtent l="0" t="0" r="6985" b="1905"/>
            <wp:docPr id="32" name="图片 8" descr="C:\Users\Rny\Desktop\CCO\picture\BUTONGNONGDUDUIBI-1.tifBUTONGNONGDUDUIBI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8" descr="C:\Users\Rny\Desktop\CCO\picture\BUTONGNONGDUDUIBI-1.tifBUTONGNONGDUDUIBI-1"/>
                    <pic:cNvPicPr>
                      <a:picLocks noChangeAspect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900295" cy="38233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spacing w:line="360" w:lineRule="auto"/>
        <w:jc w:val="both"/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bCs/>
          <w:color w:val="000000" w:themeColor="text1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Supplementary </w:t>
      </w:r>
      <w:r>
        <w:rPr>
          <w:b/>
          <w:bCs/>
          <w:color w:val="000000" w:themeColor="text1"/>
          <w:szCs w:val="24"/>
          <w14:textFill>
            <w14:solidFill>
              <w14:schemeClr w14:val="tx1"/>
            </w14:solidFill>
          </w14:textFill>
        </w:rPr>
        <w:t>Fig</w:t>
      </w:r>
      <w:r>
        <w:rPr>
          <w:rFonts w:hint="eastAsia"/>
          <w:b/>
          <w:bCs/>
          <w:color w:val="000000" w:themeColor="text1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. </w:t>
      </w:r>
      <w:r>
        <w:rPr>
          <w:b/>
          <w:bCs/>
          <w:color w:val="000000" w:themeColor="text1"/>
          <w:szCs w:val="24"/>
          <w14:textFill>
            <w14:solidFill>
              <w14:schemeClr w14:val="tx1"/>
            </w14:solidFill>
          </w14:textFill>
        </w:rPr>
        <w:t>1</w:t>
      </w:r>
      <w:r>
        <w:rPr>
          <w:rFonts w:hint="eastAsia"/>
          <w:b/>
          <w:bCs/>
          <w:color w:val="000000" w:themeColor="text1"/>
          <w:szCs w:val="24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b/>
          <w:bCs/>
          <w:color w:val="000000" w:themeColor="text1"/>
          <w:szCs w:val="24"/>
          <w14:textFill>
            <w14:solidFill>
              <w14:schemeClr w14:val="tx1"/>
            </w14:solidFill>
          </w14:textFill>
        </w:rPr>
        <w:t xml:space="preserve">. </w:t>
      </w:r>
      <w:r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  <w:t xml:space="preserve">Box charts of </w:t>
      </w:r>
      <w:r>
        <w:rPr>
          <w:i/>
          <w:iCs/>
          <w:color w:val="000000" w:themeColor="text1"/>
          <w:szCs w:val="24"/>
          <w14:textFill>
            <w14:solidFill>
              <w14:schemeClr w14:val="tx1"/>
            </w14:solidFill>
          </w14:textFill>
        </w:rPr>
        <w:t>J</w:t>
      </w:r>
      <w:r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  <w:t>sc (</w:t>
      </w:r>
      <w:r>
        <w:rPr>
          <w:rFonts w:hint="eastAsia"/>
          <w:b w:val="0"/>
          <w:bCs w:val="0"/>
          <w:color w:val="000000" w:themeColor="text1"/>
          <w:szCs w:val="24"/>
          <w:lang w:val="en-US" w:eastAsia="zh-CN"/>
          <w14:textFill>
            <w14:solidFill>
              <w14:schemeClr w14:val="tx1"/>
            </w14:solidFill>
          </w14:textFill>
        </w:rPr>
        <w:t>a</w:t>
      </w:r>
      <w:r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  <w:t xml:space="preserve">), </w:t>
      </w:r>
      <w:r>
        <w:rPr>
          <w:i/>
          <w:iCs/>
          <w:color w:val="000000" w:themeColor="text1"/>
          <w:szCs w:val="24"/>
          <w14:textFill>
            <w14:solidFill>
              <w14:schemeClr w14:val="tx1"/>
            </w14:solidFill>
          </w14:textFill>
        </w:rPr>
        <w:t>V</w:t>
      </w:r>
      <w:r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  <w:t>oc (</w:t>
      </w:r>
      <w:r>
        <w:rPr>
          <w:rFonts w:hint="eastAsia"/>
          <w:b w:val="0"/>
          <w:bCs w:val="0"/>
          <w:color w:val="000000" w:themeColor="text1"/>
          <w:szCs w:val="24"/>
          <w:lang w:val="en-US" w:eastAsia="zh-CN"/>
          <w14:textFill>
            <w14:solidFill>
              <w14:schemeClr w14:val="tx1"/>
            </w14:solidFill>
          </w14:textFill>
        </w:rPr>
        <w:t>b</w:t>
      </w:r>
      <w:r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  <w:t xml:space="preserve">), </w:t>
      </w:r>
      <w:r>
        <w:rPr>
          <w:i/>
          <w:iCs/>
          <w:color w:val="000000" w:themeColor="text1"/>
          <w:szCs w:val="24"/>
          <w14:textFill>
            <w14:solidFill>
              <w14:schemeClr w14:val="tx1"/>
            </w14:solidFill>
          </w14:textFill>
        </w:rPr>
        <w:t>FF</w:t>
      </w:r>
      <w:r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  <w:t xml:space="preserve"> (</w:t>
      </w:r>
      <w:r>
        <w:rPr>
          <w:rFonts w:hint="eastAsia"/>
          <w:b w:val="0"/>
          <w:bCs w:val="0"/>
          <w:color w:val="000000" w:themeColor="text1"/>
          <w:szCs w:val="24"/>
          <w:lang w:val="en-US" w:eastAsia="zh-CN"/>
          <w14:textFill>
            <w14:solidFill>
              <w14:schemeClr w14:val="tx1"/>
            </w14:solidFill>
          </w14:textFill>
        </w:rPr>
        <w:t>c</w:t>
      </w:r>
      <w:r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  <w:t>), and PCE (</w:t>
      </w:r>
      <w:r>
        <w:rPr>
          <w:rFonts w:hint="eastAsia"/>
          <w:b w:val="0"/>
          <w:bCs w:val="0"/>
          <w:color w:val="000000" w:themeColor="text1"/>
          <w:szCs w:val="24"/>
          <w:lang w:val="en-US" w:eastAsia="zh-CN"/>
          <w14:textFill>
            <w14:solidFill>
              <w14:schemeClr w14:val="tx1"/>
            </w14:solidFill>
          </w14:textFill>
        </w:rPr>
        <w:t>d</w:t>
      </w:r>
      <w:r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  <w:t>) of PSCs with various concentration (0, 1, 2, 3 and 4 mg/mL) of CdAc</w:t>
      </w:r>
      <w:r>
        <w:rPr>
          <w:rFonts w:hint="eastAsia"/>
          <w:color w:val="000000" w:themeColor="text1"/>
          <w:szCs w:val="24"/>
          <w:vertAlign w:val="subscript"/>
          <w:lang w:eastAsia="zh-CN"/>
          <w14:textFill>
            <w14:solidFill>
              <w14:schemeClr w14:val="tx1"/>
            </w14:solidFill>
          </w14:textFill>
        </w:rPr>
        <w:t>2</w:t>
      </w:r>
      <w:r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  <w:t xml:space="preserve"> alloying. </w:t>
      </w:r>
    </w:p>
    <w:p>
      <w:pPr>
        <w:adjustRightInd w:val="0"/>
        <w:snapToGrid w:val="0"/>
        <w:spacing w:line="360" w:lineRule="auto"/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360" w:lineRule="auto"/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360" w:lineRule="auto"/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360" w:lineRule="auto"/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360" w:lineRule="auto"/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360" w:lineRule="auto"/>
        <w:rPr>
          <w:b/>
          <w:bCs/>
          <w:color w:val="000000" w:themeColor="text1"/>
          <w:szCs w:val="24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b/>
          <w:bCs/>
          <w:color w:val="000000" w:themeColor="text1"/>
          <w:szCs w:val="24"/>
          <w14:textFill>
            <w14:solidFill>
              <w14:schemeClr w14:val="tx1"/>
            </w14:solidFill>
          </w14:textFill>
        </w:rPr>
      </w:pPr>
      <w:r>
        <w:rPr>
          <w:lang w:eastAsia="zh-CN"/>
        </w:rPr>
        <w:drawing>
          <wp:inline distT="0" distB="0" distL="114300" distR="114300">
            <wp:extent cx="4057015" cy="2787015"/>
            <wp:effectExtent l="0" t="0" r="12065" b="1905"/>
            <wp:docPr id="39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3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057015" cy="27870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bCs/>
          <w:color w:val="000000" w:themeColor="text1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Supplementary </w:t>
      </w:r>
      <w:r>
        <w:rPr>
          <w:b/>
          <w:bCs/>
          <w:color w:val="000000" w:themeColor="text1"/>
          <w:szCs w:val="24"/>
          <w14:textFill>
            <w14:solidFill>
              <w14:schemeClr w14:val="tx1"/>
            </w14:solidFill>
          </w14:textFill>
        </w:rPr>
        <w:t>Fig</w:t>
      </w:r>
      <w:r>
        <w:rPr>
          <w:rFonts w:hint="eastAsia"/>
          <w:b/>
          <w:bCs/>
          <w:color w:val="000000" w:themeColor="text1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. </w:t>
      </w:r>
      <w:r>
        <w:rPr>
          <w:b/>
          <w:bCs/>
          <w:color w:val="000000" w:themeColor="text1"/>
          <w:szCs w:val="24"/>
          <w14:textFill>
            <w14:solidFill>
              <w14:schemeClr w14:val="tx1"/>
            </w14:solidFill>
          </w14:textFill>
        </w:rPr>
        <w:t>1</w:t>
      </w:r>
      <w:r>
        <w:rPr>
          <w:rFonts w:hint="eastAsia"/>
          <w:b/>
          <w:bCs/>
          <w:color w:val="000000" w:themeColor="text1"/>
          <w:szCs w:val="24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b/>
          <w:bCs/>
          <w:color w:val="000000" w:themeColor="text1"/>
          <w:szCs w:val="24"/>
          <w14:textFill>
            <w14:solidFill>
              <w14:schemeClr w14:val="tx1"/>
            </w14:solidFill>
          </w14:textFill>
        </w:rPr>
        <w:t xml:space="preserve">. </w:t>
      </w:r>
      <w:r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  <w:t>The steady-state PCE of FPSCs with CdAc</w:t>
      </w:r>
      <w:r>
        <w:rPr>
          <w:rFonts w:hint="eastAsia"/>
          <w:color w:val="000000" w:themeColor="text1"/>
          <w:szCs w:val="24"/>
          <w:vertAlign w:val="subscript"/>
          <w:lang w:eastAsia="zh-CN"/>
          <w14:textFill>
            <w14:solidFill>
              <w14:schemeClr w14:val="tx1"/>
            </w14:solidFill>
          </w14:textFill>
        </w:rPr>
        <w:t>2</w:t>
      </w:r>
      <w:r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  <w:t xml:space="preserve"> treatment.</w:t>
      </w:r>
    </w:p>
    <w:p>
      <w:pPr>
        <w:spacing w:line="360" w:lineRule="auto"/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</w:pPr>
    </w:p>
    <w:p/>
    <w:p>
      <w:pPr>
        <w:adjustRightInd w:val="0"/>
        <w:snapToGrid w:val="0"/>
        <w:spacing w:line="360" w:lineRule="auto"/>
        <w:jc w:val="center"/>
      </w:pPr>
      <w:r>
        <w:rPr>
          <w:lang w:eastAsia="zh-CN"/>
        </w:rPr>
        <w:drawing>
          <wp:inline distT="0" distB="0" distL="114300" distR="114300">
            <wp:extent cx="4054475" cy="3208020"/>
            <wp:effectExtent l="0" t="0" r="14605" b="7620"/>
            <wp:docPr id="8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6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054475" cy="32080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spacing w:line="360" w:lineRule="auto"/>
        <w:jc w:val="both"/>
      </w:pPr>
      <w:r>
        <w:rPr>
          <w:rFonts w:hint="eastAsia"/>
          <w:b/>
          <w:bCs/>
          <w:color w:val="000000" w:themeColor="text1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Supplementary </w:t>
      </w:r>
      <w:r>
        <w:rPr>
          <w:b/>
          <w:bCs/>
          <w:color w:val="000000" w:themeColor="text1"/>
          <w:szCs w:val="24"/>
          <w14:textFill>
            <w14:solidFill>
              <w14:schemeClr w14:val="tx1"/>
            </w14:solidFill>
          </w14:textFill>
        </w:rPr>
        <w:t>Fig</w:t>
      </w:r>
      <w:r>
        <w:rPr>
          <w:rFonts w:hint="eastAsia"/>
          <w:b/>
          <w:bCs/>
          <w:color w:val="000000" w:themeColor="text1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. </w:t>
      </w:r>
      <w:r>
        <w:rPr>
          <w:b/>
          <w:bCs/>
          <w:color w:val="000000" w:themeColor="text1"/>
          <w:szCs w:val="24"/>
          <w14:textFill>
            <w14:solidFill>
              <w14:schemeClr w14:val="tx1"/>
            </w14:solidFill>
          </w14:textFill>
        </w:rPr>
        <w:t>1</w:t>
      </w:r>
      <w:r>
        <w:rPr>
          <w:rFonts w:hint="eastAsia"/>
          <w:b/>
          <w:bCs/>
          <w:color w:val="000000" w:themeColor="text1"/>
          <w:szCs w:val="24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b/>
          <w:bCs/>
          <w:color w:val="000000" w:themeColor="text1"/>
          <w:szCs w:val="24"/>
          <w14:textFill>
            <w14:solidFill>
              <w14:schemeClr w14:val="tx1"/>
            </w14:solidFill>
          </w14:textFill>
        </w:rPr>
        <w:t xml:space="preserve">. </w:t>
      </w:r>
      <w:r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  <w:t>Tauc plots of the perovskite films wo/w CdAc</w:t>
      </w:r>
      <w:r>
        <w:rPr>
          <w:rFonts w:hint="eastAsia"/>
          <w:color w:val="000000" w:themeColor="text1"/>
          <w:szCs w:val="24"/>
          <w:vertAlign w:val="subscript"/>
          <w:lang w:eastAsia="zh-CN"/>
          <w14:textFill>
            <w14:solidFill>
              <w14:schemeClr w14:val="tx1"/>
            </w14:solidFill>
          </w14:textFill>
        </w:rPr>
        <w:t>2</w:t>
      </w:r>
      <w:r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  <w:t xml:space="preserve"> introduced. Tauc plots of the perovskite with CdAc</w:t>
      </w:r>
      <w:r>
        <w:rPr>
          <w:rFonts w:hint="eastAsia"/>
          <w:color w:val="000000" w:themeColor="text1"/>
          <w:szCs w:val="24"/>
          <w:vertAlign w:val="subscript"/>
          <w:lang w:eastAsia="zh-CN"/>
          <w14:textFill>
            <w14:solidFill>
              <w14:schemeClr w14:val="tx1"/>
            </w14:solidFill>
          </w14:textFill>
        </w:rPr>
        <w:t>2</w:t>
      </w:r>
      <w:r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  <w:t xml:space="preserve"> treatment. The bandgap of the perovskite are 1.53 eV.</w:t>
      </w:r>
      <w:r>
        <w:t xml:space="preserve"> </w:t>
      </w:r>
    </w:p>
    <w:p>
      <w:pPr>
        <w:adjustRightInd w:val="0"/>
        <w:snapToGrid w:val="0"/>
        <w:spacing w:line="360" w:lineRule="auto"/>
      </w:pPr>
    </w:p>
    <w:p>
      <w:pPr>
        <w:adjustRightInd w:val="0"/>
        <w:snapToGrid w:val="0"/>
        <w:spacing w:line="360" w:lineRule="auto"/>
      </w:pPr>
    </w:p>
    <w:p>
      <w:pPr>
        <w:adjustRightInd w:val="0"/>
        <w:snapToGrid w:val="0"/>
        <w:spacing w:line="360" w:lineRule="auto"/>
      </w:pPr>
    </w:p>
    <w:p>
      <w:pPr>
        <w:adjustRightInd w:val="0"/>
        <w:snapToGrid w:val="0"/>
        <w:spacing w:line="360" w:lineRule="auto"/>
      </w:pPr>
    </w:p>
    <w:p>
      <w:pPr>
        <w:adjustRightInd w:val="0"/>
        <w:snapToGrid w:val="0"/>
        <w:spacing w:line="360" w:lineRule="auto"/>
      </w:pPr>
    </w:p>
    <w:p>
      <w:pPr>
        <w:adjustRightInd w:val="0"/>
        <w:snapToGrid w:val="0"/>
        <w:spacing w:line="360" w:lineRule="auto"/>
      </w:pPr>
    </w:p>
    <w:p>
      <w:pPr>
        <w:adjustRightInd w:val="0"/>
        <w:snapToGrid w:val="0"/>
        <w:spacing w:line="360" w:lineRule="auto"/>
      </w:pPr>
    </w:p>
    <w:p>
      <w:pPr>
        <w:adjustRightInd w:val="0"/>
        <w:snapToGrid w:val="0"/>
        <w:spacing w:line="360" w:lineRule="auto"/>
      </w:pPr>
    </w:p>
    <w:p>
      <w:pPr>
        <w:adjustRightInd w:val="0"/>
        <w:snapToGrid w:val="0"/>
        <w:spacing w:line="360" w:lineRule="auto"/>
      </w:pPr>
    </w:p>
    <w:p>
      <w:pPr>
        <w:adjustRightInd w:val="0"/>
        <w:snapToGrid w:val="0"/>
        <w:spacing w:line="360" w:lineRule="auto"/>
      </w:pPr>
    </w:p>
    <w:p>
      <w:pPr>
        <w:adjustRightInd w:val="0"/>
        <w:snapToGrid w:val="0"/>
        <w:spacing w:line="360" w:lineRule="auto"/>
      </w:pPr>
    </w:p>
    <w:p>
      <w:pPr>
        <w:adjustRightInd w:val="0"/>
        <w:snapToGrid w:val="0"/>
        <w:spacing w:line="360" w:lineRule="auto"/>
      </w:pPr>
    </w:p>
    <w:p>
      <w:pPr>
        <w:adjustRightInd w:val="0"/>
        <w:snapToGrid w:val="0"/>
        <w:spacing w:line="360" w:lineRule="auto"/>
      </w:pPr>
    </w:p>
    <w:p>
      <w:pPr>
        <w:adjustRightInd w:val="0"/>
        <w:snapToGrid w:val="0"/>
        <w:spacing w:line="360" w:lineRule="auto"/>
      </w:pPr>
    </w:p>
    <w:p>
      <w:pPr>
        <w:adjustRightInd w:val="0"/>
        <w:snapToGrid w:val="0"/>
        <w:spacing w:line="360" w:lineRule="auto"/>
      </w:pPr>
    </w:p>
    <w:p>
      <w:pPr>
        <w:adjustRightInd w:val="0"/>
        <w:snapToGrid w:val="0"/>
        <w:spacing w:line="360" w:lineRule="auto"/>
      </w:pPr>
    </w:p>
    <w:p>
      <w:pPr>
        <w:adjustRightInd w:val="0"/>
        <w:snapToGrid w:val="0"/>
        <w:spacing w:line="360" w:lineRule="auto"/>
      </w:pPr>
    </w:p>
    <w:p>
      <w:pPr>
        <w:adjustRightInd w:val="0"/>
        <w:snapToGrid w:val="0"/>
        <w:spacing w:line="360" w:lineRule="auto"/>
      </w:pPr>
    </w:p>
    <w:p>
      <w:pPr>
        <w:jc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lang w:eastAsia="zh-CN"/>
        </w:rPr>
        <w:drawing>
          <wp:inline distT="0" distB="0" distL="114300" distR="114300">
            <wp:extent cx="4305935" cy="3017520"/>
            <wp:effectExtent l="0" t="0" r="6985" b="0"/>
            <wp:docPr id="3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4305935" cy="30175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spacing w:line="360" w:lineRule="auto"/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bCs/>
          <w:color w:val="000000" w:themeColor="text1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Supplementary </w:t>
      </w:r>
      <w:r>
        <w:rPr>
          <w:b/>
          <w:bCs/>
          <w:color w:val="000000" w:themeColor="text1"/>
          <w:szCs w:val="24"/>
          <w14:textFill>
            <w14:solidFill>
              <w14:schemeClr w14:val="tx1"/>
            </w14:solidFill>
          </w14:textFill>
        </w:rPr>
        <w:t>Fig</w:t>
      </w:r>
      <w:r>
        <w:rPr>
          <w:rFonts w:hint="eastAsia"/>
          <w:b/>
          <w:bCs/>
          <w:color w:val="000000" w:themeColor="text1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. </w:t>
      </w:r>
      <w:r>
        <w:rPr>
          <w:b/>
          <w:bCs/>
          <w:color w:val="000000" w:themeColor="text1"/>
          <w:szCs w:val="24"/>
          <w14:textFill>
            <w14:solidFill>
              <w14:schemeClr w14:val="tx1"/>
            </w14:solidFill>
          </w14:textFill>
        </w:rPr>
        <w:t>1</w:t>
      </w:r>
      <w:r>
        <w:rPr>
          <w:rFonts w:hint="eastAsia"/>
          <w:b/>
          <w:bCs/>
          <w:color w:val="000000" w:themeColor="text1"/>
          <w:szCs w:val="24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b/>
          <w:bCs/>
          <w:color w:val="000000" w:themeColor="text1"/>
          <w:szCs w:val="24"/>
          <w14:textFill>
            <w14:solidFill>
              <w14:schemeClr w14:val="tx1"/>
            </w14:solidFill>
          </w14:textFill>
        </w:rPr>
        <w:t xml:space="preserve">. </w:t>
      </w:r>
      <w:r>
        <w:rPr>
          <w:i/>
          <w:iCs/>
          <w:color w:val="000000" w:themeColor="text1"/>
          <w:szCs w:val="24"/>
          <w14:textFill>
            <w14:solidFill>
              <w14:schemeClr w14:val="tx1"/>
            </w14:solidFill>
          </w14:textFill>
        </w:rPr>
        <w:t>J–V</w:t>
      </w:r>
      <w:r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  <w:t xml:space="preserve"> curves of the best-performing device based on glass substrate with CdAc</w:t>
      </w:r>
      <w:r>
        <w:rPr>
          <w:rFonts w:hint="eastAsia"/>
          <w:color w:val="000000" w:themeColor="text1"/>
          <w:szCs w:val="24"/>
          <w:vertAlign w:val="subscript"/>
          <w:lang w:eastAsia="zh-CN"/>
          <w14:textFill>
            <w14:solidFill>
              <w14:schemeClr w14:val="tx1"/>
            </w14:solidFill>
          </w14:textFill>
        </w:rPr>
        <w:t>2</w:t>
      </w:r>
      <w:r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  <w:t xml:space="preserve"> introduced.</w:t>
      </w:r>
    </w:p>
    <w:p>
      <w:pPr>
        <w:adjustRightInd w:val="0"/>
        <w:snapToGrid w:val="0"/>
        <w:spacing w:line="360" w:lineRule="auto"/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360" w:lineRule="auto"/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360" w:lineRule="auto"/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360" w:lineRule="auto"/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360" w:lineRule="auto"/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360" w:lineRule="auto"/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360" w:lineRule="auto"/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360" w:lineRule="auto"/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360" w:lineRule="auto"/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360" w:lineRule="auto"/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360" w:lineRule="auto"/>
        <w:rPr>
          <w:b/>
          <w:bCs/>
          <w:color w:val="000000" w:themeColor="text1"/>
          <w:szCs w:val="24"/>
          <w14:textFill>
            <w14:solidFill>
              <w14:schemeClr w14:val="tx1"/>
            </w14:solidFill>
          </w14:textFill>
        </w:rPr>
      </w:pPr>
    </w:p>
    <w:p>
      <w:pPr>
        <w:jc w:val="center"/>
      </w:pPr>
      <w:r>
        <w:rPr>
          <w:lang w:eastAsia="zh-CN"/>
        </w:rPr>
        <w:drawing>
          <wp:inline distT="0" distB="0" distL="114300" distR="114300">
            <wp:extent cx="4077335" cy="3078480"/>
            <wp:effectExtent l="0" t="0" r="6985" b="0"/>
            <wp:docPr id="11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8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4077335" cy="30784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spacing w:line="360" w:lineRule="auto"/>
        <w:jc w:val="both"/>
        <w:rPr>
          <w:bCs/>
          <w:color w:val="000000" w:themeColor="text1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bCs/>
          <w:color w:val="000000" w:themeColor="text1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Supplementary </w:t>
      </w:r>
      <w:r>
        <w:rPr>
          <w:b/>
          <w:bCs/>
          <w:color w:val="000000" w:themeColor="text1"/>
          <w:szCs w:val="24"/>
          <w14:textFill>
            <w14:solidFill>
              <w14:schemeClr w14:val="tx1"/>
            </w14:solidFill>
          </w14:textFill>
        </w:rPr>
        <w:t>Fig</w:t>
      </w:r>
      <w:r>
        <w:rPr>
          <w:rFonts w:hint="eastAsia"/>
          <w:b/>
          <w:bCs/>
          <w:color w:val="000000" w:themeColor="text1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. </w:t>
      </w:r>
      <w:r>
        <w:rPr>
          <w:b/>
          <w:bCs/>
          <w:color w:val="000000" w:themeColor="text1"/>
          <w:szCs w:val="24"/>
          <w14:textFill>
            <w14:solidFill>
              <w14:schemeClr w14:val="tx1"/>
            </w14:solidFill>
          </w14:textFill>
        </w:rPr>
        <w:t>1</w:t>
      </w:r>
      <w:r>
        <w:rPr>
          <w:rFonts w:hint="eastAsia"/>
          <w:b/>
          <w:bCs/>
          <w:color w:val="000000" w:themeColor="text1"/>
          <w:szCs w:val="24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b/>
          <w:bCs/>
          <w:color w:val="000000" w:themeColor="text1"/>
          <w:szCs w:val="24"/>
          <w14:textFill>
            <w14:solidFill>
              <w14:schemeClr w14:val="tx1"/>
            </w14:solidFill>
          </w14:textFill>
        </w:rPr>
        <w:t>.</w:t>
      </w:r>
      <w:r>
        <w:rPr>
          <w:b/>
          <w:color w:val="000000" w:themeColor="text1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bCs/>
          <w:color w:val="000000" w:themeColor="text1"/>
          <w:szCs w:val="24"/>
          <w14:textFill>
            <w14:solidFill>
              <w14:schemeClr w14:val="tx1"/>
            </w14:solidFill>
          </w14:textFill>
        </w:rPr>
        <w:t xml:space="preserve">Dark </w:t>
      </w:r>
      <w:r>
        <w:rPr>
          <w:bCs/>
          <w:i/>
          <w:iCs/>
          <w:color w:val="000000" w:themeColor="text1"/>
          <w:szCs w:val="24"/>
          <w14:textFill>
            <w14:solidFill>
              <w14:schemeClr w14:val="tx1"/>
            </w14:solidFill>
          </w14:textFill>
        </w:rPr>
        <w:t>J−V</w:t>
      </w:r>
      <w:r>
        <w:rPr>
          <w:bCs/>
          <w:color w:val="000000" w:themeColor="text1"/>
          <w:szCs w:val="24"/>
          <w14:textFill>
            <w14:solidFill>
              <w14:schemeClr w14:val="tx1"/>
            </w14:solidFill>
          </w14:textFill>
        </w:rPr>
        <w:t xml:space="preserve"> curves for PSCs without and with CdAc</w:t>
      </w:r>
      <w:r>
        <w:rPr>
          <w:rFonts w:hint="eastAsia"/>
          <w:bCs/>
          <w:color w:val="000000" w:themeColor="text1"/>
          <w:szCs w:val="24"/>
          <w:vertAlign w:val="subscript"/>
          <w:lang w:eastAsia="zh-CN"/>
          <w14:textFill>
            <w14:solidFill>
              <w14:schemeClr w14:val="tx1"/>
            </w14:solidFill>
          </w14:textFill>
        </w:rPr>
        <w:t>2</w:t>
      </w:r>
      <w:r>
        <w:rPr>
          <w:bCs/>
          <w:color w:val="000000" w:themeColor="text1"/>
          <w:szCs w:val="24"/>
          <w14:textFill>
            <w14:solidFill>
              <w14:schemeClr w14:val="tx1"/>
            </w14:solidFill>
          </w14:textFill>
        </w:rPr>
        <w:t xml:space="preserve"> introduced.</w:t>
      </w:r>
    </w:p>
    <w:p>
      <w:pPr>
        <w:adjustRightInd w:val="0"/>
        <w:snapToGrid w:val="0"/>
        <w:spacing w:line="360" w:lineRule="auto"/>
        <w:jc w:val="both"/>
        <w:rPr>
          <w:lang w:eastAsia="zh-CN"/>
        </w:rPr>
      </w:pPr>
      <w:r>
        <w:rPr>
          <w:lang w:eastAsia="zh-CN"/>
        </w:rPr>
        <w:br w:type="page"/>
      </w:r>
    </w:p>
    <w:p>
      <w:pPr>
        <w:adjustRightInd w:val="0"/>
        <w:snapToGrid w:val="0"/>
        <w:spacing w:line="360" w:lineRule="auto"/>
        <w:jc w:val="center"/>
      </w:pPr>
      <w:r>
        <w:rPr>
          <w:lang w:eastAsia="zh-CN"/>
        </w:rPr>
        <w:drawing>
          <wp:inline distT="0" distB="0" distL="114300" distR="114300">
            <wp:extent cx="3848735" cy="2956560"/>
            <wp:effectExtent l="0" t="0" r="6985" b="0"/>
            <wp:docPr id="12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9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3848735" cy="29565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spacing w:line="360" w:lineRule="auto"/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bCs/>
          <w:color w:val="000000" w:themeColor="text1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Supplementary </w:t>
      </w:r>
      <w:r>
        <w:rPr>
          <w:b/>
          <w:bCs/>
          <w:color w:val="000000" w:themeColor="text1"/>
          <w:szCs w:val="24"/>
          <w14:textFill>
            <w14:solidFill>
              <w14:schemeClr w14:val="tx1"/>
            </w14:solidFill>
          </w14:textFill>
        </w:rPr>
        <w:t>Fig</w:t>
      </w:r>
      <w:r>
        <w:rPr>
          <w:rFonts w:hint="eastAsia"/>
          <w:b/>
          <w:bCs/>
          <w:color w:val="000000" w:themeColor="text1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. </w:t>
      </w:r>
      <w:r>
        <w:rPr>
          <w:b/>
          <w:bCs/>
          <w:color w:val="000000" w:themeColor="text1"/>
          <w:szCs w:val="24"/>
          <w14:textFill>
            <w14:solidFill>
              <w14:schemeClr w14:val="tx1"/>
            </w14:solidFill>
          </w14:textFill>
        </w:rPr>
        <w:t>1</w:t>
      </w:r>
      <w:r>
        <w:rPr>
          <w:rFonts w:hint="eastAsia"/>
          <w:b/>
          <w:bCs/>
          <w:color w:val="000000" w:themeColor="text1"/>
          <w:szCs w:val="24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b/>
          <w:bCs/>
          <w:color w:val="000000" w:themeColor="text1"/>
          <w:szCs w:val="24"/>
          <w14:textFill>
            <w14:solidFill>
              <w14:schemeClr w14:val="tx1"/>
            </w14:solidFill>
          </w14:textFill>
        </w:rPr>
        <w:t xml:space="preserve">. </w:t>
      </w:r>
      <w:r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  <w:t>Nyquist curves of PSCs with CdAc</w:t>
      </w:r>
      <w:r>
        <w:rPr>
          <w:rFonts w:hint="eastAsia"/>
          <w:color w:val="000000" w:themeColor="text1"/>
          <w:szCs w:val="24"/>
          <w:vertAlign w:val="subscript"/>
          <w:lang w:eastAsia="zh-CN"/>
          <w14:textFill>
            <w14:solidFill>
              <w14:schemeClr w14:val="tx1"/>
            </w14:solidFill>
          </w14:textFill>
        </w:rPr>
        <w:t>2</w:t>
      </w:r>
      <w:r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  <w:t xml:space="preserve"> alloying under Voc in the dark.</w:t>
      </w:r>
    </w:p>
    <w:p>
      <w:pPr>
        <w:adjustRightInd w:val="0"/>
        <w:snapToGrid w:val="0"/>
        <w:spacing w:line="360" w:lineRule="auto"/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360" w:lineRule="auto"/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360" w:lineRule="auto"/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360" w:lineRule="auto"/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360" w:lineRule="auto"/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360" w:lineRule="auto"/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360" w:lineRule="auto"/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360" w:lineRule="auto"/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360" w:lineRule="auto"/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</w:pPr>
    </w:p>
    <w:p>
      <w:pPr>
        <w:jc w:val="both"/>
      </w:pPr>
    </w:p>
    <w:p>
      <w:pPr>
        <w:jc w:val="both"/>
      </w:pPr>
      <w:r>
        <w:br w:type="page"/>
      </w:r>
    </w:p>
    <w:p>
      <w:pPr>
        <w:jc w:val="both"/>
      </w:pPr>
      <w:r>
        <w:drawing>
          <wp:inline distT="0" distB="0" distL="114300" distR="114300">
            <wp:extent cx="5267325" cy="1748790"/>
            <wp:effectExtent l="0" t="0" r="5715" b="3810"/>
            <wp:docPr id="7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2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17487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spacing w:line="360" w:lineRule="auto"/>
        <w:jc w:val="both"/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bCs/>
          <w:color w:val="000000" w:themeColor="text1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Supplementary </w:t>
      </w:r>
      <w:r>
        <w:rPr>
          <w:b/>
          <w:bCs/>
          <w:color w:val="000000" w:themeColor="text1"/>
          <w:szCs w:val="24"/>
          <w14:textFill>
            <w14:solidFill>
              <w14:schemeClr w14:val="tx1"/>
            </w14:solidFill>
          </w14:textFill>
        </w:rPr>
        <w:t>Fig</w:t>
      </w:r>
      <w:r>
        <w:rPr>
          <w:rFonts w:hint="eastAsia"/>
          <w:b/>
          <w:bCs/>
          <w:color w:val="000000" w:themeColor="text1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. </w:t>
      </w:r>
      <w:r>
        <w:rPr>
          <w:b/>
          <w:bCs/>
          <w:color w:val="000000" w:themeColor="text1"/>
          <w:szCs w:val="24"/>
          <w14:textFill>
            <w14:solidFill>
              <w14:schemeClr w14:val="tx1"/>
            </w14:solidFill>
          </w14:textFill>
        </w:rPr>
        <w:t>1</w:t>
      </w:r>
      <w:r>
        <w:rPr>
          <w:rFonts w:hint="eastAsia"/>
          <w:b/>
          <w:bCs/>
          <w:color w:val="000000" w:themeColor="text1"/>
          <w:szCs w:val="24"/>
          <w:lang w:val="en-US" w:eastAsia="zh-CN"/>
          <w14:textFill>
            <w14:solidFill>
              <w14:schemeClr w14:val="tx1"/>
            </w14:solidFill>
          </w14:textFill>
        </w:rPr>
        <w:t>7</w:t>
      </w:r>
      <w:r>
        <w:rPr>
          <w:b/>
          <w:bCs/>
          <w:color w:val="000000" w:themeColor="text1"/>
          <w:szCs w:val="24"/>
          <w14:textFill>
            <w14:solidFill>
              <w14:schemeClr w14:val="tx1"/>
            </w14:solidFill>
          </w14:textFill>
        </w:rPr>
        <w:t>.</w:t>
      </w:r>
      <w:r>
        <w:rPr>
          <w:rFonts w:hint="eastAsia"/>
          <w:b/>
          <w:bCs/>
          <w:color w:val="000000" w:themeColor="text1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  <w:t>(</w:t>
      </w:r>
      <w:r>
        <w:rPr>
          <w:rFonts w:hint="eastAsia"/>
          <w:b w:val="0"/>
          <w:bCs w:val="0"/>
          <w:color w:val="000000" w:themeColor="text1"/>
          <w:szCs w:val="24"/>
          <w:lang w:val="en-US" w:eastAsia="zh-CN"/>
          <w14:textFill>
            <w14:solidFill>
              <w14:schemeClr w14:val="tx1"/>
            </w14:solidFill>
          </w14:textFill>
        </w:rPr>
        <w:t>a</w:t>
      </w:r>
      <w:r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  <w:t>), Bending durability of FPSCs as a function of bending cycles with a radius of 3 mm. (</w:t>
      </w:r>
      <w:r>
        <w:rPr>
          <w:rFonts w:hint="eastAsia"/>
          <w:b w:val="0"/>
          <w:bCs w:val="0"/>
          <w:color w:val="000000" w:themeColor="text1"/>
          <w:szCs w:val="24"/>
          <w:lang w:val="en-US" w:eastAsia="zh-CN"/>
          <w14:textFill>
            <w14:solidFill>
              <w14:schemeClr w14:val="tx1"/>
            </w14:solidFill>
          </w14:textFill>
        </w:rPr>
        <w:t>b</w:t>
      </w:r>
      <w:r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  <w:t>), The thermal stability of control and CdAc</w:t>
      </w:r>
      <w:r>
        <w:rPr>
          <w:rFonts w:hint="eastAsia"/>
          <w:color w:val="000000" w:themeColor="text1"/>
          <w:szCs w:val="24"/>
          <w:vertAlign w:val="subscript"/>
          <w:lang w:eastAsia="zh-CN"/>
          <w14:textFill>
            <w14:solidFill>
              <w14:schemeClr w14:val="tx1"/>
            </w14:solidFill>
          </w14:textFill>
        </w:rPr>
        <w:t>2</w:t>
      </w:r>
      <w:r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  <w:t xml:space="preserve"> treated FPSCs. </w:t>
      </w:r>
    </w:p>
    <w:p>
      <w:pPr>
        <w:adjustRightInd w:val="0"/>
        <w:snapToGrid w:val="0"/>
        <w:spacing w:line="360" w:lineRule="auto"/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360" w:lineRule="auto"/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360" w:lineRule="auto"/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360" w:lineRule="auto"/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360" w:lineRule="auto"/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360" w:lineRule="auto"/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360" w:lineRule="auto"/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360" w:lineRule="auto"/>
        <w:rPr>
          <w:b/>
          <w:bCs/>
          <w:color w:val="000000" w:themeColor="text1"/>
          <w:szCs w:val="24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360" w:lineRule="auto"/>
        <w:rPr>
          <w:b/>
          <w:bCs/>
          <w:color w:val="000000" w:themeColor="text1"/>
          <w:szCs w:val="24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360" w:lineRule="auto"/>
        <w:rPr>
          <w:b/>
          <w:bCs/>
          <w:color w:val="000000" w:themeColor="text1"/>
          <w:szCs w:val="24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360" w:lineRule="auto"/>
        <w:rPr>
          <w:b/>
          <w:bCs/>
          <w:color w:val="000000" w:themeColor="text1"/>
          <w:szCs w:val="24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360" w:lineRule="auto"/>
        <w:rPr>
          <w:b/>
          <w:bCs/>
          <w:color w:val="000000" w:themeColor="text1"/>
          <w:szCs w:val="24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360" w:lineRule="auto"/>
        <w:rPr>
          <w:b/>
          <w:bCs/>
          <w:color w:val="000000" w:themeColor="text1"/>
          <w:szCs w:val="24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360" w:lineRule="auto"/>
        <w:rPr>
          <w:b/>
          <w:bCs/>
          <w:color w:val="000000" w:themeColor="text1"/>
          <w:szCs w:val="24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360" w:lineRule="auto"/>
        <w:rPr>
          <w:b/>
          <w:bCs/>
          <w:color w:val="000000" w:themeColor="text1"/>
          <w:szCs w:val="24"/>
          <w14:textFill>
            <w14:solidFill>
              <w14:schemeClr w14:val="tx1"/>
            </w14:solidFill>
          </w14:textFill>
        </w:rPr>
      </w:pPr>
      <w:r>
        <w:rPr>
          <w:b/>
          <w:bCs/>
          <w:color w:val="000000" w:themeColor="text1"/>
          <w:szCs w:val="24"/>
          <w14:textFill>
            <w14:solidFill>
              <w14:schemeClr w14:val="tx1"/>
            </w14:solidFill>
          </w14:textFill>
        </w:rPr>
        <w:br w:type="page"/>
      </w:r>
    </w:p>
    <w:p>
      <w:pPr>
        <w:jc w:val="both"/>
      </w:pPr>
      <w:bookmarkStart w:id="6" w:name="_GoBack"/>
      <w:bookmarkEnd w:id="6"/>
      <w:r>
        <w:rPr>
          <w:lang w:eastAsia="zh-CN"/>
        </w:rPr>
        <w:drawing>
          <wp:inline distT="0" distB="0" distL="0" distR="0">
            <wp:extent cx="5615940" cy="2159635"/>
            <wp:effectExtent l="0" t="0" r="7620" b="4445"/>
            <wp:docPr id="5" name="图片 5" descr="C:\Users\Rny\Desktop\CCO\picture\宽带隙钙钛矿界面对比-副本.jpg宽带隙钙钛矿界面对比-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C:\Users\Rny\Desktop\CCO\picture\宽带隙钙钛矿界面对比-副本.jpg宽带隙钙钛矿界面对比-副本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 l="2496" r="2155"/>
                    <a:stretch>
                      <a:fillRect/>
                    </a:stretch>
                  </pic:blipFill>
                  <pic:spPr>
                    <a:xfrm>
                      <a:off x="0" y="0"/>
                      <a:ext cx="5615940" cy="2159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both"/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bCs/>
          <w:color w:val="000000" w:themeColor="text1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Supplementary </w:t>
      </w:r>
      <w:r>
        <w:rPr>
          <w:b/>
          <w:bCs/>
          <w:color w:val="000000" w:themeColor="text1"/>
          <w:szCs w:val="24"/>
          <w14:textFill>
            <w14:solidFill>
              <w14:schemeClr w14:val="tx1"/>
            </w14:solidFill>
          </w14:textFill>
        </w:rPr>
        <w:t>Fig</w:t>
      </w:r>
      <w:r>
        <w:rPr>
          <w:rFonts w:hint="eastAsia"/>
          <w:b/>
          <w:bCs/>
          <w:color w:val="000000" w:themeColor="text1"/>
          <w:szCs w:val="24"/>
          <w:lang w:val="en-US" w:eastAsia="zh-CN"/>
          <w14:textFill>
            <w14:solidFill>
              <w14:schemeClr w14:val="tx1"/>
            </w14:solidFill>
          </w14:textFill>
        </w:rPr>
        <w:t>. 18</w:t>
      </w:r>
      <w:r>
        <w:rPr>
          <w:b/>
          <w:bCs/>
          <w:color w:val="000000" w:themeColor="text1"/>
          <w:szCs w:val="24"/>
          <w14:textFill>
            <w14:solidFill>
              <w14:schemeClr w14:val="tx1"/>
            </w14:solidFill>
          </w14:textFill>
        </w:rPr>
        <w:t xml:space="preserve">. </w:t>
      </w:r>
      <w:r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  <w:t>Cross-section images of control (</w:t>
      </w:r>
      <w:r>
        <w:rPr>
          <w:rFonts w:hint="eastAsia"/>
          <w:b w:val="0"/>
          <w:bCs w:val="0"/>
          <w:color w:val="000000" w:themeColor="text1"/>
          <w:szCs w:val="24"/>
          <w:lang w:val="en-US" w:eastAsia="zh-CN"/>
          <w14:textFill>
            <w14:solidFill>
              <w14:schemeClr w14:val="tx1"/>
            </w14:solidFill>
          </w14:textFill>
        </w:rPr>
        <w:t>a</w:t>
      </w:r>
      <w:r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  <w:t>) and CdAc</w:t>
      </w:r>
      <w:r>
        <w:rPr>
          <w:rFonts w:hint="eastAsia"/>
          <w:color w:val="000000" w:themeColor="text1"/>
          <w:szCs w:val="24"/>
          <w:vertAlign w:val="subscript"/>
          <w:lang w:eastAsia="zh-CN"/>
          <w14:textFill>
            <w14:solidFill>
              <w14:schemeClr w14:val="tx1"/>
            </w14:solidFill>
          </w14:textFill>
        </w:rPr>
        <w:t>2</w:t>
      </w:r>
      <w:r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  <w:t xml:space="preserve"> treated (</w:t>
      </w:r>
      <w:r>
        <w:rPr>
          <w:rFonts w:hint="eastAsia"/>
          <w:b w:val="0"/>
          <w:bCs w:val="0"/>
          <w:color w:val="000000" w:themeColor="text1"/>
          <w:szCs w:val="24"/>
          <w:lang w:val="en-US" w:eastAsia="zh-CN"/>
          <w14:textFill>
            <w14:solidFill>
              <w14:schemeClr w14:val="tx1"/>
            </w14:solidFill>
          </w14:textFill>
        </w:rPr>
        <w:t>b</w:t>
      </w:r>
      <w:r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  <w:t>) wide bandgap (1.68-eV) perovskite by a one-step method.</w:t>
      </w:r>
    </w:p>
    <w:p>
      <w:pPr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</w:pPr>
    </w:p>
    <w:p>
      <w:pPr>
        <w:jc w:val="center"/>
      </w:pPr>
      <w:r>
        <w:rPr>
          <w:lang w:eastAsia="zh-CN"/>
        </w:rPr>
        <w:drawing>
          <wp:inline distT="0" distB="0" distL="114300" distR="114300">
            <wp:extent cx="3634740" cy="2783205"/>
            <wp:effectExtent l="0" t="0" r="7620" b="5715"/>
            <wp:docPr id="15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1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3634740" cy="27832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both"/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bCs/>
          <w:color w:val="000000" w:themeColor="text1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Supplementary </w:t>
      </w:r>
      <w:r>
        <w:rPr>
          <w:b/>
          <w:bCs/>
          <w:color w:val="000000" w:themeColor="text1"/>
          <w:szCs w:val="24"/>
          <w14:textFill>
            <w14:solidFill>
              <w14:schemeClr w14:val="tx1"/>
            </w14:solidFill>
          </w14:textFill>
        </w:rPr>
        <w:t>Fig</w:t>
      </w:r>
      <w:r>
        <w:rPr>
          <w:rFonts w:hint="eastAsia"/>
          <w:b/>
          <w:bCs/>
          <w:color w:val="000000" w:themeColor="text1"/>
          <w:szCs w:val="24"/>
          <w:lang w:val="en-US" w:eastAsia="zh-CN"/>
          <w14:textFill>
            <w14:solidFill>
              <w14:schemeClr w14:val="tx1"/>
            </w14:solidFill>
          </w14:textFill>
        </w:rPr>
        <w:t>. 19</w:t>
      </w:r>
      <w:r>
        <w:rPr>
          <w:b/>
          <w:bCs/>
          <w:color w:val="000000" w:themeColor="text1"/>
          <w:szCs w:val="24"/>
          <w14:textFill>
            <w14:solidFill>
              <w14:schemeClr w14:val="tx1"/>
            </w14:solidFill>
          </w14:textFill>
        </w:rPr>
        <w:t xml:space="preserve">. </w:t>
      </w:r>
      <w:r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  <w:t>The x-ray diffraction patterns of wide bandgap (1.68-eV) perovskite films without addition and with CdAc</w:t>
      </w:r>
      <w:r>
        <w:rPr>
          <w:rFonts w:hint="eastAsia"/>
          <w:color w:val="000000" w:themeColor="text1"/>
          <w:szCs w:val="24"/>
          <w:vertAlign w:val="subscript"/>
          <w:lang w:eastAsia="zh-CN"/>
          <w14:textFill>
            <w14:solidFill>
              <w14:schemeClr w14:val="tx1"/>
            </w14:solidFill>
          </w14:textFill>
        </w:rPr>
        <w:t>2</w:t>
      </w:r>
      <w:r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  <w:t>.</w:t>
      </w:r>
    </w:p>
    <w:p>
      <w:pPr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</w:pPr>
    </w:p>
    <w:p>
      <w:pPr>
        <w:jc w:val="center"/>
      </w:pPr>
      <w:r>
        <w:rPr>
          <w:lang w:eastAsia="zh-CN"/>
        </w:rPr>
        <w:drawing>
          <wp:inline distT="0" distB="0" distL="114300" distR="114300">
            <wp:extent cx="3813810" cy="2863215"/>
            <wp:effectExtent l="0" t="0" r="11430" b="1905"/>
            <wp:docPr id="14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0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3813810" cy="28632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both"/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bCs/>
          <w:color w:val="000000" w:themeColor="text1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Supplementary </w:t>
      </w:r>
      <w:r>
        <w:rPr>
          <w:b/>
          <w:bCs/>
          <w:color w:val="000000" w:themeColor="text1"/>
          <w:szCs w:val="24"/>
          <w14:textFill>
            <w14:solidFill>
              <w14:schemeClr w14:val="tx1"/>
            </w14:solidFill>
          </w14:textFill>
        </w:rPr>
        <w:t>Fig</w:t>
      </w:r>
      <w:r>
        <w:rPr>
          <w:rFonts w:hint="eastAsia"/>
          <w:b/>
          <w:bCs/>
          <w:color w:val="000000" w:themeColor="text1"/>
          <w:szCs w:val="24"/>
          <w:lang w:val="en-US" w:eastAsia="zh-CN"/>
          <w14:textFill>
            <w14:solidFill>
              <w14:schemeClr w14:val="tx1"/>
            </w14:solidFill>
          </w14:textFill>
        </w:rPr>
        <w:t>. 20</w:t>
      </w:r>
      <w:r>
        <w:rPr>
          <w:b/>
          <w:bCs/>
          <w:color w:val="000000" w:themeColor="text1"/>
          <w:szCs w:val="24"/>
          <w14:textFill>
            <w14:solidFill>
              <w14:schemeClr w14:val="tx1"/>
            </w14:solidFill>
          </w14:textFill>
        </w:rPr>
        <w:t>.</w:t>
      </w:r>
      <w:r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  <w:t xml:space="preserve"> Time-resolved photoluminescence of wide bandgap (1.68-eV) perovskite films without addition and with CdAc</w:t>
      </w:r>
      <w:r>
        <w:rPr>
          <w:rFonts w:hint="eastAsia"/>
          <w:color w:val="000000" w:themeColor="text1"/>
          <w:szCs w:val="24"/>
          <w:vertAlign w:val="subscript"/>
          <w:lang w:eastAsia="zh-CN"/>
          <w14:textFill>
            <w14:solidFill>
              <w14:schemeClr w14:val="tx1"/>
            </w14:solidFill>
          </w14:textFill>
        </w:rPr>
        <w:t>2</w:t>
      </w:r>
      <w:r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  <w:t>.</w:t>
      </w:r>
    </w:p>
    <w:p>
      <w:pPr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</w:pPr>
    </w:p>
    <w:p>
      <w:pPr>
        <w:jc w:val="both"/>
      </w:pPr>
      <w:r>
        <w:drawing>
          <wp:inline distT="0" distB="0" distL="114300" distR="114300">
            <wp:extent cx="5661025" cy="2153920"/>
            <wp:effectExtent l="0" t="0" r="8255" b="10160"/>
            <wp:docPr id="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661025" cy="21539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both"/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bCs/>
          <w:color w:val="000000" w:themeColor="text1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Supplementary </w:t>
      </w:r>
      <w:r>
        <w:rPr>
          <w:b/>
          <w:bCs/>
          <w:color w:val="000000" w:themeColor="text1"/>
          <w:szCs w:val="24"/>
          <w14:textFill>
            <w14:solidFill>
              <w14:schemeClr w14:val="tx1"/>
            </w14:solidFill>
          </w14:textFill>
        </w:rPr>
        <w:t>Fig</w:t>
      </w:r>
      <w:r>
        <w:rPr>
          <w:rFonts w:hint="eastAsia"/>
          <w:b/>
          <w:bCs/>
          <w:color w:val="000000" w:themeColor="text1"/>
          <w:szCs w:val="24"/>
          <w:lang w:val="en-US" w:eastAsia="zh-CN"/>
          <w14:textFill>
            <w14:solidFill>
              <w14:schemeClr w14:val="tx1"/>
            </w14:solidFill>
          </w14:textFill>
        </w:rPr>
        <w:t>. 21</w:t>
      </w:r>
      <w:r>
        <w:rPr>
          <w:b/>
          <w:bCs/>
          <w:color w:val="000000" w:themeColor="text1"/>
          <w:szCs w:val="24"/>
          <w14:textFill>
            <w14:solidFill>
              <w14:schemeClr w14:val="tx1"/>
            </w14:solidFill>
          </w14:textFill>
        </w:rPr>
        <w:t xml:space="preserve">. </w:t>
      </w:r>
      <w:r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  <w:t>(</w:t>
      </w:r>
      <w:r>
        <w:rPr>
          <w:rFonts w:hint="eastAsia"/>
          <w:b w:val="0"/>
          <w:bCs w:val="0"/>
          <w:color w:val="000000" w:themeColor="text1"/>
          <w:szCs w:val="24"/>
          <w:lang w:val="en-US" w:eastAsia="zh-CN"/>
          <w14:textFill>
            <w14:solidFill>
              <w14:schemeClr w14:val="tx1"/>
            </w14:solidFill>
          </w14:textFill>
        </w:rPr>
        <w:t>a</w:t>
      </w:r>
      <w:r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  <w:t xml:space="preserve">) The </w:t>
      </w:r>
      <w:r>
        <w:rPr>
          <w:i/>
          <w:iCs/>
          <w:color w:val="000000" w:themeColor="text1"/>
          <w:szCs w:val="24"/>
          <w14:textFill>
            <w14:solidFill>
              <w14:schemeClr w14:val="tx1"/>
            </w14:solidFill>
          </w14:textFill>
        </w:rPr>
        <w:t>J-V</w:t>
      </w:r>
      <w:r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  <w:t xml:space="preserve"> characteristics of wide bandgap single-junction PSCs without and with CdAc</w:t>
      </w:r>
      <w:r>
        <w:rPr>
          <w:rFonts w:hint="eastAsia"/>
          <w:color w:val="000000" w:themeColor="text1"/>
          <w:szCs w:val="24"/>
          <w:vertAlign w:val="subscript"/>
          <w:lang w:eastAsia="zh-CN"/>
          <w14:textFill>
            <w14:solidFill>
              <w14:schemeClr w14:val="tx1"/>
            </w14:solidFill>
          </w14:textFill>
        </w:rPr>
        <w:t>2</w:t>
      </w:r>
      <w:r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  <w:t xml:space="preserve"> treatment. (</w:t>
      </w:r>
      <w:r>
        <w:rPr>
          <w:rFonts w:hint="eastAsia"/>
          <w:b w:val="0"/>
          <w:bCs w:val="0"/>
          <w:color w:val="000000" w:themeColor="text1"/>
          <w:szCs w:val="24"/>
          <w:lang w:val="en-US" w:eastAsia="zh-CN"/>
          <w14:textFill>
            <w14:solidFill>
              <w14:schemeClr w14:val="tx1"/>
            </w14:solidFill>
          </w14:textFill>
        </w:rPr>
        <w:t>b</w:t>
      </w:r>
      <w:r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  <w:t>) The external quantum efficiency (EQE) of PSCs with CdAc</w:t>
      </w:r>
      <w:r>
        <w:rPr>
          <w:rFonts w:hint="eastAsia"/>
          <w:color w:val="000000" w:themeColor="text1"/>
          <w:szCs w:val="24"/>
          <w:vertAlign w:val="subscript"/>
          <w:lang w:eastAsia="zh-CN"/>
          <w14:textFill>
            <w14:solidFill>
              <w14:schemeClr w14:val="tx1"/>
            </w14:solidFill>
          </w14:textFill>
        </w:rPr>
        <w:t>2</w:t>
      </w:r>
      <w:r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  <w:t xml:space="preserve"> treatment.</w:t>
      </w:r>
    </w:p>
    <w:p>
      <w:pPr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</w:pPr>
    </w:p>
    <w:p>
      <w:pPr>
        <w:rPr>
          <w:lang w:eastAsia="zh-CN"/>
        </w:rPr>
      </w:pPr>
    </w:p>
    <w:p>
      <w:pPr>
        <w:rPr>
          <w:lang w:eastAsia="zh-CN"/>
        </w:rPr>
      </w:pPr>
    </w:p>
    <w:p>
      <w:pPr>
        <w:rPr>
          <w:lang w:eastAsia="zh-CN"/>
        </w:rPr>
      </w:pPr>
    </w:p>
    <w:p>
      <w:pPr>
        <w:rPr>
          <w:lang w:eastAsia="zh-CN"/>
        </w:rPr>
      </w:pPr>
    </w:p>
    <w:p>
      <w:pPr>
        <w:rPr>
          <w:lang w:eastAsia="zh-CN"/>
        </w:rPr>
      </w:pPr>
    </w:p>
    <w:p>
      <w:pPr>
        <w:rPr>
          <w:lang w:eastAsia="zh-CN"/>
        </w:rPr>
      </w:pPr>
    </w:p>
    <w:p>
      <w:pPr>
        <w:rPr>
          <w:lang w:eastAsia="zh-CN"/>
        </w:rPr>
      </w:pPr>
    </w:p>
    <w:p>
      <w:pPr>
        <w:rPr>
          <w:lang w:eastAsia="zh-CN"/>
        </w:rPr>
      </w:pPr>
    </w:p>
    <w:p>
      <w:pPr>
        <w:rPr>
          <w:lang w:eastAsia="zh-CN"/>
        </w:rPr>
      </w:pPr>
    </w:p>
    <w:p>
      <w:pPr>
        <w:jc w:val="center"/>
      </w:pPr>
      <w:r>
        <w:rPr>
          <w:lang w:eastAsia="zh-CN"/>
        </w:rPr>
        <w:drawing>
          <wp:inline distT="0" distB="0" distL="114300" distR="114300">
            <wp:extent cx="5268595" cy="3599815"/>
            <wp:effectExtent l="0" t="0" r="4445" b="12065"/>
            <wp:docPr id="16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2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35998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bCs/>
        </w:rPr>
      </w:pPr>
      <w:r>
        <w:rPr>
          <w:rFonts w:hint="eastAsia"/>
          <w:b/>
          <w:bCs/>
          <w:color w:val="000000" w:themeColor="text1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Supplementary </w:t>
      </w:r>
      <w:r>
        <w:rPr>
          <w:b/>
          <w:bCs/>
          <w:color w:val="000000" w:themeColor="text1"/>
          <w:szCs w:val="24"/>
          <w14:textFill>
            <w14:solidFill>
              <w14:schemeClr w14:val="tx1"/>
            </w14:solidFill>
          </w14:textFill>
        </w:rPr>
        <w:t>Fig</w:t>
      </w:r>
      <w:r>
        <w:rPr>
          <w:rFonts w:hint="eastAsia"/>
          <w:b/>
          <w:bCs/>
          <w:color w:val="000000" w:themeColor="text1"/>
          <w:szCs w:val="24"/>
          <w:lang w:val="en-US" w:eastAsia="zh-CN"/>
          <w14:textFill>
            <w14:solidFill>
              <w14:schemeClr w14:val="tx1"/>
            </w14:solidFill>
          </w14:textFill>
        </w:rPr>
        <w:t>. 22</w:t>
      </w:r>
      <w:r>
        <w:rPr>
          <w:b/>
          <w:bCs/>
          <w:color w:val="000000" w:themeColor="text1"/>
          <w:szCs w:val="24"/>
          <w14:textFill>
            <w14:solidFill>
              <w14:schemeClr w14:val="tx1"/>
            </w14:solidFill>
          </w14:textFill>
        </w:rPr>
        <w:t>.</w:t>
      </w:r>
      <w:r>
        <w:rPr>
          <w:b/>
        </w:rPr>
        <w:t xml:space="preserve"> </w:t>
      </w:r>
      <w:r>
        <w:rPr>
          <w:bCs/>
        </w:rPr>
        <w:t>Statistics of the PCE of tandem solar cells without and with CdAc</w:t>
      </w:r>
      <w:r>
        <w:rPr>
          <w:rFonts w:hint="eastAsia"/>
          <w:bCs/>
          <w:vertAlign w:val="subscript"/>
          <w:lang w:eastAsia="zh-CN"/>
        </w:rPr>
        <w:t>2</w:t>
      </w:r>
      <w:r>
        <w:rPr>
          <w:bCs/>
        </w:rPr>
        <w:t xml:space="preserve">. </w:t>
      </w:r>
    </w:p>
    <w:p>
      <w:pPr>
        <w:jc w:val="center"/>
      </w:pPr>
      <w:r>
        <w:rPr>
          <w:lang w:eastAsia="zh-CN"/>
        </w:rPr>
        <w:drawing>
          <wp:inline distT="0" distB="0" distL="0" distR="0">
            <wp:extent cx="2920365" cy="4048125"/>
            <wp:effectExtent l="0" t="0" r="0" b="0"/>
            <wp:docPr id="52" name="图片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52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407" r="1924" b="8376"/>
                    <a:stretch>
                      <a:fillRect/>
                    </a:stretch>
                  </pic:blipFill>
                  <pic:spPr>
                    <a:xfrm>
                      <a:off x="0" y="0"/>
                      <a:ext cx="2929113" cy="40595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-</w:t>
      </w:r>
      <w:r>
        <w:rPr>
          <w:lang w:eastAsia="zh-CN"/>
        </w:rPr>
        <w:drawing>
          <wp:inline distT="0" distB="0" distL="0" distR="0">
            <wp:extent cx="3190875" cy="4123690"/>
            <wp:effectExtent l="0" t="0" r="0" b="0"/>
            <wp:docPr id="53" name="图片 53" descr="C:\Users\nkuxi\Desktop\叠层电池-18所扫描\8f297d022fc498c293291740500fce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53" descr="C:\Users\nkuxi\Desktop\叠层电池-18所扫描\8f297d022fc498c293291740500fce3.jpg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232" t="7024" r="2156" b="6860"/>
                    <a:stretch>
                      <a:fillRect/>
                    </a:stretch>
                  </pic:blipFill>
                  <pic:spPr>
                    <a:xfrm>
                      <a:off x="0" y="0"/>
                      <a:ext cx="3204487" cy="41418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Calibri" w:hAnsi="Calibri" w:eastAsia="宋体" w:cs="Calibri"/>
          <w:kern w:val="2"/>
          <w:szCs w:val="24"/>
          <w:lang w:eastAsia="zh-CN" w:bidi="ar"/>
        </w:rPr>
      </w:pPr>
      <w:r>
        <w:rPr>
          <w:rFonts w:hint="eastAsia"/>
          <w:b/>
          <w:bCs/>
          <w:color w:val="000000" w:themeColor="text1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Supplementary </w:t>
      </w:r>
      <w:r>
        <w:rPr>
          <w:b/>
          <w:bCs/>
          <w:color w:val="000000" w:themeColor="text1"/>
          <w:szCs w:val="24"/>
          <w14:textFill>
            <w14:solidFill>
              <w14:schemeClr w14:val="tx1"/>
            </w14:solidFill>
          </w14:textFill>
        </w:rPr>
        <w:t>Fig</w:t>
      </w:r>
      <w:r>
        <w:rPr>
          <w:rFonts w:hint="eastAsia"/>
          <w:b/>
          <w:bCs/>
          <w:color w:val="000000" w:themeColor="text1"/>
          <w:szCs w:val="24"/>
          <w:lang w:val="en-US" w:eastAsia="zh-CN"/>
          <w14:textFill>
            <w14:solidFill>
              <w14:schemeClr w14:val="tx1"/>
            </w14:solidFill>
          </w14:textFill>
        </w:rPr>
        <w:t>. 23</w:t>
      </w:r>
      <w:r>
        <w:rPr>
          <w:b/>
          <w:bCs/>
          <w:color w:val="000000" w:themeColor="text1"/>
          <w:szCs w:val="24"/>
          <w14:textFill>
            <w14:solidFill>
              <w14:schemeClr w14:val="tx1"/>
            </w14:solidFill>
          </w14:textFill>
        </w:rPr>
        <w:t>.</w:t>
      </w:r>
      <w:r>
        <w:rPr>
          <w:b/>
        </w:rPr>
        <w:t xml:space="preserve"> </w:t>
      </w:r>
      <w:r>
        <w:rPr>
          <w:bCs/>
        </w:rPr>
        <w:t>Certification results of large-area perovskite/silicon TSCs with an active area of 11.879 cm</w:t>
      </w:r>
      <w:r>
        <w:rPr>
          <w:bCs/>
          <w:vertAlign w:val="superscript"/>
        </w:rPr>
        <w:t>2</w:t>
      </w:r>
      <w:r>
        <w:rPr>
          <w:bCs/>
        </w:rPr>
        <w:t>.</w:t>
      </w:r>
      <w:r>
        <w:br w:type="page"/>
      </w:r>
    </w:p>
    <w:p>
      <w:pPr>
        <w:rPr>
          <w:rFonts w:eastAsia="宋体"/>
          <w:szCs w:val="18"/>
          <w:shd w:val="clear" w:color="auto" w:fill="FFFFFF"/>
        </w:rPr>
      </w:pPr>
      <w:r>
        <w:rPr>
          <w:rFonts w:hint="eastAsia"/>
          <w:b/>
          <w:bCs/>
          <w:color w:val="000000" w:themeColor="text1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Supplementary </w:t>
      </w:r>
      <w:r>
        <w:rPr>
          <w:rFonts w:eastAsia="宋体"/>
          <w:b/>
          <w:bCs/>
          <w:color w:val="000000" w:themeColor="text1"/>
          <w:szCs w:val="18"/>
          <w:shd w:val="clear" w:color="auto" w:fill="FFFFFF"/>
          <w14:textFill>
            <w14:solidFill>
              <w14:schemeClr w14:val="tx1"/>
            </w14:solidFill>
          </w14:textFill>
        </w:rPr>
        <w:t>Table 1.</w:t>
      </w:r>
      <w:r>
        <w:rPr>
          <w:rFonts w:eastAsia="宋体"/>
          <w:color w:val="000000" w:themeColor="text1"/>
          <w:szCs w:val="18"/>
          <w:shd w:val="clear" w:color="auto" w:fill="FFFFFF"/>
          <w14:textFill>
            <w14:solidFill>
              <w14:schemeClr w14:val="tx1"/>
            </w14:solidFill>
          </w14:textFill>
        </w:rPr>
        <w:t xml:space="preserve"> </w:t>
      </w:r>
      <w:r>
        <w:rPr>
          <w:rFonts w:eastAsia="宋体"/>
          <w:szCs w:val="18"/>
          <w:shd w:val="clear" w:color="auto" w:fill="FFFFFF"/>
        </w:rPr>
        <w:t>Summarize the TRPL lifetime for perovskite films without and with CdAc</w:t>
      </w:r>
      <w:r>
        <w:rPr>
          <w:rFonts w:hint="eastAsia" w:eastAsia="宋体"/>
          <w:szCs w:val="18"/>
          <w:shd w:val="clear" w:color="auto" w:fill="FFFFFF"/>
          <w:vertAlign w:val="subscript"/>
          <w:lang w:eastAsia="zh-CN"/>
        </w:rPr>
        <w:t>2</w:t>
      </w:r>
      <w:r>
        <w:rPr>
          <w:rFonts w:eastAsia="宋体"/>
          <w:szCs w:val="18"/>
          <w:shd w:val="clear" w:color="auto" w:fill="FFFFFF"/>
        </w:rPr>
        <w:t xml:space="preserve"> introduced. </w:t>
      </w:r>
    </w:p>
    <w:p>
      <w:pPr>
        <w:jc w:val="center"/>
      </w:pPr>
    </w:p>
    <w:tbl>
      <w:tblPr>
        <w:tblStyle w:val="345"/>
        <w:tblW w:w="8306" w:type="dxa"/>
        <w:jc w:val="center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3"/>
        <w:gridCol w:w="1659"/>
        <w:gridCol w:w="1305"/>
        <w:gridCol w:w="1305"/>
        <w:gridCol w:w="1724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313" w:type="dxa"/>
            <w:tcBorders>
              <w:top w:val="single" w:color="auto" w:sz="12" w:space="0"/>
              <w:bottom w:val="single" w:color="auto" w:sz="12" w:space="0"/>
              <w:right w:val="dotted" w:color="auto" w:sz="4" w:space="0"/>
            </w:tcBorders>
            <w:shd w:val="clear" w:color="auto" w:fill="DCD8C2" w:themeFill="background2" w:themeFillShade="E5"/>
            <w:vAlign w:val="center"/>
          </w:tcPr>
          <w:p>
            <w:pPr>
              <w:jc w:val="center"/>
              <w:rPr>
                <w:rFonts w:ascii="等线" w:hAnsi="等线" w:eastAsia="宋体" w:cstheme="minorBidi"/>
                <w:kern w:val="2"/>
                <w:sz w:val="18"/>
                <w:szCs w:val="18"/>
                <w:shd w:val="clear" w:color="auto" w:fill="FFFFFF"/>
                <w:lang w:eastAsia="zh-CN"/>
              </w:rPr>
            </w:pPr>
          </w:p>
        </w:tc>
        <w:tc>
          <w:tcPr>
            <w:tcW w:w="1659" w:type="dxa"/>
            <w:tcBorders>
              <w:top w:val="single" w:color="auto" w:sz="12" w:space="0"/>
              <w:left w:val="dotted" w:color="auto" w:sz="4" w:space="0"/>
              <w:bottom w:val="single" w:color="auto" w:sz="12" w:space="0"/>
              <w:right w:val="dotted" w:color="auto" w:sz="4" w:space="0"/>
            </w:tcBorders>
            <w:shd w:val="clear" w:color="auto" w:fill="DCD8C2" w:themeFill="background2" w:themeFillShade="E5"/>
            <w:vAlign w:val="center"/>
          </w:tcPr>
          <w:p>
            <w:pPr>
              <w:jc w:val="center"/>
              <w:rPr>
                <w:rFonts w:ascii="等线" w:hAnsi="等线" w:eastAsia="宋体" w:cstheme="minorBidi"/>
                <w:b/>
                <w:bCs/>
                <w:i/>
                <w:kern w:val="2"/>
                <w:sz w:val="18"/>
                <w:szCs w:val="18"/>
                <w:shd w:val="clear" w:color="auto" w:fill="FFFFFF"/>
                <w:lang w:eastAsia="zh-CN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eastAsia="宋体" w:cstheme="minorBidi"/>
                        <w:b/>
                        <w:bCs/>
                        <w:i/>
                        <w:kern w:val="2"/>
                        <w:sz w:val="18"/>
                        <w:szCs w:val="18"/>
                        <w:shd w:val="clear" w:color="auto" w:fill="FFFFFF"/>
                        <w:lang w:eastAsia="zh-CN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eastAsia="宋体" w:cstheme="minorBidi"/>
                        <w:kern w:val="2"/>
                        <w:sz w:val="18"/>
                        <w:szCs w:val="18"/>
                        <w:shd w:val="clear" w:color="auto" w:fill="FFFFFF"/>
                        <w:lang w:eastAsia="zh-CN"/>
                      </w:rPr>
                      <m:t>τ</m:t>
                    </m:r>
                    <m:ctrlPr>
                      <w:rPr>
                        <w:rFonts w:ascii="Cambria Math" w:hAnsi="Cambria Math" w:eastAsia="宋体" w:cstheme="minorBidi"/>
                        <w:b/>
                        <w:bCs/>
                        <w:i/>
                        <w:kern w:val="2"/>
                        <w:sz w:val="18"/>
                        <w:szCs w:val="18"/>
                        <w:shd w:val="clear" w:color="auto" w:fill="FFFFFF"/>
                        <w:lang w:eastAsia="zh-CN"/>
                      </w:rPr>
                    </m:ctrlP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eastAsia="宋体" w:cstheme="minorBidi"/>
                        <w:kern w:val="2"/>
                        <w:sz w:val="18"/>
                        <w:szCs w:val="18"/>
                        <w:shd w:val="clear" w:color="auto" w:fill="FFFFFF"/>
                        <w:lang w:eastAsia="zh-CN"/>
                      </w:rPr>
                      <m:t>1</m:t>
                    </m:r>
                    <m:ctrlPr>
                      <w:rPr>
                        <w:rFonts w:ascii="Cambria Math" w:hAnsi="Cambria Math" w:eastAsia="宋体" w:cstheme="minorBidi"/>
                        <w:b/>
                        <w:bCs/>
                        <w:i/>
                        <w:kern w:val="2"/>
                        <w:sz w:val="18"/>
                        <w:szCs w:val="18"/>
                        <w:shd w:val="clear" w:color="auto" w:fill="FFFFFF"/>
                        <w:lang w:eastAsia="zh-CN"/>
                      </w:rPr>
                    </m:ctrlPr>
                  </m:sub>
                </m:sSub>
                <m:r>
                  <m:rPr>
                    <m:sty m:val="bi"/>
                  </m:rPr>
                  <w:rPr>
                    <w:rFonts w:ascii="Cambria Math" w:hAnsi="Cambria Math" w:eastAsia="宋体" w:cstheme="minorBidi"/>
                    <w:kern w:val="2"/>
                    <w:sz w:val="18"/>
                    <w:szCs w:val="18"/>
                    <w:shd w:val="clear" w:color="auto" w:fill="FFFFFF"/>
                    <w:lang w:eastAsia="zh-CN"/>
                  </w:rPr>
                  <m:t>(ns)</m:t>
                </m:r>
              </m:oMath>
            </m:oMathPara>
          </w:p>
        </w:tc>
        <w:tc>
          <w:tcPr>
            <w:tcW w:w="1305" w:type="dxa"/>
            <w:tcBorders>
              <w:top w:val="single" w:color="auto" w:sz="12" w:space="0"/>
              <w:left w:val="dotted" w:color="auto" w:sz="4" w:space="0"/>
              <w:bottom w:val="single" w:color="auto" w:sz="12" w:space="0"/>
              <w:right w:val="dotted" w:color="auto" w:sz="4" w:space="0"/>
            </w:tcBorders>
            <w:shd w:val="clear" w:color="auto" w:fill="DCD8C2" w:themeFill="background2" w:themeFillShade="E5"/>
            <w:vAlign w:val="center"/>
          </w:tcPr>
          <w:p>
            <w:pPr>
              <w:jc w:val="center"/>
              <w:rPr>
                <w:rFonts w:ascii="等线" w:hAnsi="等线" w:eastAsia="宋体" w:cstheme="minorBidi"/>
                <w:b/>
                <w:bCs/>
                <w:kern w:val="2"/>
                <w:sz w:val="18"/>
                <w:szCs w:val="18"/>
                <w:shd w:val="clear" w:color="auto" w:fill="FFFFFF"/>
                <w:lang w:eastAsia="zh-CN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eastAsia="宋体" w:cstheme="minorBidi"/>
                        <w:b/>
                        <w:bCs/>
                        <w:i/>
                        <w:kern w:val="2"/>
                        <w:sz w:val="18"/>
                        <w:szCs w:val="18"/>
                        <w:shd w:val="clear" w:color="auto" w:fill="FFFFFF"/>
                        <w:lang w:eastAsia="zh-CN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eastAsia="宋体" w:cstheme="minorBidi"/>
                        <w:kern w:val="2"/>
                        <w:sz w:val="18"/>
                        <w:szCs w:val="18"/>
                        <w:shd w:val="clear" w:color="auto" w:fill="FFFFFF"/>
                        <w:lang w:eastAsia="zh-CN"/>
                      </w:rPr>
                      <m:t>τ</m:t>
                    </m:r>
                    <m:ctrlPr>
                      <w:rPr>
                        <w:rFonts w:ascii="Cambria Math" w:hAnsi="Cambria Math" w:eastAsia="宋体" w:cstheme="minorBidi"/>
                        <w:b/>
                        <w:bCs/>
                        <w:i/>
                        <w:kern w:val="2"/>
                        <w:sz w:val="18"/>
                        <w:szCs w:val="18"/>
                        <w:shd w:val="clear" w:color="auto" w:fill="FFFFFF"/>
                        <w:lang w:eastAsia="zh-CN"/>
                      </w:rPr>
                    </m:ctrlP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eastAsia="宋体" w:cstheme="minorBidi"/>
                        <w:kern w:val="2"/>
                        <w:sz w:val="18"/>
                        <w:szCs w:val="18"/>
                        <w:shd w:val="clear" w:color="auto" w:fill="FFFFFF"/>
                        <w:lang w:eastAsia="zh-CN"/>
                      </w:rPr>
                      <m:t>2</m:t>
                    </m:r>
                    <m:ctrlPr>
                      <w:rPr>
                        <w:rFonts w:ascii="Cambria Math" w:hAnsi="Cambria Math" w:eastAsia="宋体" w:cstheme="minorBidi"/>
                        <w:b/>
                        <w:bCs/>
                        <w:i/>
                        <w:kern w:val="2"/>
                        <w:sz w:val="18"/>
                        <w:szCs w:val="18"/>
                        <w:shd w:val="clear" w:color="auto" w:fill="FFFFFF"/>
                        <w:lang w:eastAsia="zh-CN"/>
                      </w:rPr>
                    </m:ctrlPr>
                  </m:sub>
                </m:sSub>
                <m:r>
                  <m:rPr>
                    <m:sty m:val="bi"/>
                  </m:rPr>
                  <w:rPr>
                    <w:rFonts w:ascii="Cambria Math" w:hAnsi="Cambria Math" w:eastAsia="宋体" w:cstheme="minorBidi"/>
                    <w:kern w:val="2"/>
                    <w:sz w:val="18"/>
                    <w:szCs w:val="18"/>
                    <w:shd w:val="clear" w:color="auto" w:fill="FFFFFF"/>
                    <w:lang w:eastAsia="zh-CN"/>
                  </w:rPr>
                  <m:t>(ns)</m:t>
                </m:r>
              </m:oMath>
            </m:oMathPara>
          </w:p>
        </w:tc>
        <w:tc>
          <w:tcPr>
            <w:tcW w:w="1305" w:type="dxa"/>
            <w:tcBorders>
              <w:top w:val="single" w:color="auto" w:sz="12" w:space="0"/>
              <w:left w:val="dotted" w:color="auto" w:sz="4" w:space="0"/>
              <w:bottom w:val="single" w:color="auto" w:sz="12" w:space="0"/>
              <w:right w:val="dotted" w:color="auto" w:sz="4" w:space="0"/>
            </w:tcBorders>
            <w:shd w:val="clear" w:color="auto" w:fill="DCD8C2" w:themeFill="background2" w:themeFillShade="E5"/>
            <w:vAlign w:val="center"/>
          </w:tcPr>
          <w:p>
            <w:pPr>
              <w:jc w:val="center"/>
              <w:rPr>
                <w:rFonts w:ascii="等线" w:hAnsi="等线" w:eastAsia="宋体" w:cstheme="minorBidi"/>
                <w:kern w:val="2"/>
                <w:sz w:val="18"/>
                <w:szCs w:val="18"/>
                <w:shd w:val="clear" w:color="auto" w:fill="FFFFFF"/>
                <w:lang w:eastAsia="zh-CN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eastAsia="宋体" w:cstheme="minorBidi"/>
                        <w:b/>
                        <w:bCs/>
                        <w:i/>
                        <w:kern w:val="2"/>
                        <w:sz w:val="18"/>
                        <w:szCs w:val="18"/>
                        <w:shd w:val="clear" w:color="auto" w:fill="FFFFFF"/>
                        <w:lang w:eastAsia="zh-CN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eastAsia="宋体" w:cstheme="minorBidi"/>
                        <w:kern w:val="2"/>
                        <w:sz w:val="18"/>
                        <w:szCs w:val="18"/>
                        <w:shd w:val="clear" w:color="auto" w:fill="FFFFFF"/>
                        <w:lang w:eastAsia="zh-CN"/>
                      </w:rPr>
                      <m:t>B</m:t>
                    </m:r>
                    <m:ctrlPr>
                      <w:rPr>
                        <w:rFonts w:ascii="Cambria Math" w:hAnsi="Cambria Math" w:eastAsia="宋体" w:cstheme="minorBidi"/>
                        <w:b/>
                        <w:bCs/>
                        <w:i/>
                        <w:kern w:val="2"/>
                        <w:sz w:val="18"/>
                        <w:szCs w:val="18"/>
                        <w:shd w:val="clear" w:color="auto" w:fill="FFFFFF"/>
                        <w:lang w:eastAsia="zh-CN"/>
                      </w:rPr>
                    </m:ctrlP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eastAsia="宋体" w:cstheme="minorBidi"/>
                        <w:kern w:val="2"/>
                        <w:sz w:val="18"/>
                        <w:szCs w:val="18"/>
                        <w:shd w:val="clear" w:color="auto" w:fill="FFFFFF"/>
                        <w:lang w:eastAsia="zh-CN"/>
                      </w:rPr>
                      <m:t>1</m:t>
                    </m:r>
                    <m:ctrlPr>
                      <w:rPr>
                        <w:rFonts w:ascii="Cambria Math" w:hAnsi="Cambria Math" w:eastAsia="宋体" w:cstheme="minorBidi"/>
                        <w:b/>
                        <w:bCs/>
                        <w:i/>
                        <w:kern w:val="2"/>
                        <w:sz w:val="18"/>
                        <w:szCs w:val="18"/>
                        <w:shd w:val="clear" w:color="auto" w:fill="FFFFFF"/>
                        <w:lang w:eastAsia="zh-CN"/>
                      </w:rPr>
                    </m:ctrlPr>
                  </m:sub>
                </m:sSub>
              </m:oMath>
            </m:oMathPara>
          </w:p>
        </w:tc>
        <w:tc>
          <w:tcPr>
            <w:tcW w:w="1724" w:type="dxa"/>
            <w:tcBorders>
              <w:top w:val="single" w:color="auto" w:sz="12" w:space="0"/>
              <w:left w:val="dotted" w:color="auto" w:sz="4" w:space="0"/>
              <w:bottom w:val="single" w:color="auto" w:sz="12" w:space="0"/>
            </w:tcBorders>
            <w:shd w:val="clear" w:color="auto" w:fill="DCD8C2" w:themeFill="background2" w:themeFillShade="E5"/>
            <w:vAlign w:val="center"/>
          </w:tcPr>
          <w:p>
            <w:pPr>
              <w:jc w:val="center"/>
              <w:rPr>
                <w:rFonts w:ascii="等线" w:hAnsi="等线" w:eastAsia="宋体" w:cstheme="minorBidi"/>
                <w:kern w:val="2"/>
                <w:sz w:val="18"/>
                <w:szCs w:val="18"/>
                <w:shd w:val="clear" w:color="auto" w:fill="FFFFFF"/>
                <w:lang w:eastAsia="zh-CN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eastAsia="宋体" w:cstheme="minorBidi"/>
                        <w:b/>
                        <w:bCs/>
                        <w:i/>
                        <w:kern w:val="2"/>
                        <w:sz w:val="18"/>
                        <w:szCs w:val="18"/>
                        <w:shd w:val="clear" w:color="auto" w:fill="FFFFFF"/>
                        <w:lang w:eastAsia="zh-CN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eastAsia="宋体" w:cstheme="minorBidi"/>
                        <w:kern w:val="2"/>
                        <w:sz w:val="18"/>
                        <w:szCs w:val="18"/>
                        <w:shd w:val="clear" w:color="auto" w:fill="FFFFFF"/>
                        <w:lang w:eastAsia="zh-CN"/>
                      </w:rPr>
                      <m:t>B</m:t>
                    </m:r>
                    <m:ctrlPr>
                      <w:rPr>
                        <w:rFonts w:ascii="Cambria Math" w:hAnsi="Cambria Math" w:eastAsia="宋体" w:cstheme="minorBidi"/>
                        <w:b/>
                        <w:bCs/>
                        <w:i/>
                        <w:kern w:val="2"/>
                        <w:sz w:val="18"/>
                        <w:szCs w:val="18"/>
                        <w:shd w:val="clear" w:color="auto" w:fill="FFFFFF"/>
                        <w:lang w:eastAsia="zh-CN"/>
                      </w:rPr>
                    </m:ctrlP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eastAsia="宋体" w:cstheme="minorBidi"/>
                        <w:kern w:val="2"/>
                        <w:sz w:val="18"/>
                        <w:szCs w:val="18"/>
                        <w:shd w:val="clear" w:color="auto" w:fill="FFFFFF"/>
                        <w:lang w:eastAsia="zh-CN"/>
                      </w:rPr>
                      <m:t>2</m:t>
                    </m:r>
                    <m:ctrlPr>
                      <w:rPr>
                        <w:rFonts w:ascii="Cambria Math" w:hAnsi="Cambria Math" w:eastAsia="宋体" w:cstheme="minorBidi"/>
                        <w:b/>
                        <w:bCs/>
                        <w:i/>
                        <w:kern w:val="2"/>
                        <w:sz w:val="18"/>
                        <w:szCs w:val="18"/>
                        <w:shd w:val="clear" w:color="auto" w:fill="FFFFFF"/>
                        <w:lang w:eastAsia="zh-CN"/>
                      </w:rPr>
                    </m:ctrlPr>
                  </m:sub>
                </m:sSub>
              </m:oMath>
            </m:oMathPara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313" w:type="dxa"/>
            <w:tcBorders>
              <w:top w:val="single" w:color="auto" w:sz="12" w:space="0"/>
              <w:bottom w:val="nil"/>
            </w:tcBorders>
            <w:shd w:val="clear" w:color="auto" w:fill="EBF1DE" w:themeFill="accent3" w:themeFillTint="32"/>
            <w:vAlign w:val="center"/>
          </w:tcPr>
          <w:p>
            <w:pPr>
              <w:jc w:val="center"/>
              <w:rPr>
                <w:rFonts w:ascii="等线" w:hAnsi="等线" w:eastAsia="宋体" w:cstheme="minorBidi"/>
                <w:kern w:val="2"/>
                <w:sz w:val="18"/>
                <w:szCs w:val="18"/>
                <w:shd w:val="clear" w:color="auto" w:fill="FFFFFF"/>
                <w:lang w:eastAsia="zh-CN"/>
              </w:rPr>
            </w:pPr>
            <w:r>
              <w:rPr>
                <w:rFonts w:ascii="等线" w:hAnsi="等线" w:eastAsia="宋体" w:cstheme="minorBidi"/>
                <w:kern w:val="2"/>
                <w:sz w:val="18"/>
                <w:szCs w:val="18"/>
                <w:shd w:val="clear" w:color="auto" w:fill="FFFFFF"/>
                <w:lang w:eastAsia="zh-CN"/>
              </w:rPr>
              <w:t>PbI</w:t>
            </w:r>
            <w:r>
              <w:rPr>
                <w:rFonts w:ascii="等线" w:hAnsi="等线" w:eastAsia="宋体" w:cstheme="minorBidi"/>
                <w:kern w:val="2"/>
                <w:sz w:val="18"/>
                <w:szCs w:val="18"/>
                <w:shd w:val="clear" w:color="auto" w:fill="FFFFFF"/>
                <w:vertAlign w:val="subscript"/>
                <w:lang w:eastAsia="zh-CN"/>
              </w:rPr>
              <w:t>2</w:t>
            </w:r>
            <w:r>
              <w:rPr>
                <w:rFonts w:ascii="等线" w:hAnsi="等线" w:eastAsia="宋体" w:cstheme="minorBidi"/>
                <w:kern w:val="2"/>
                <w:sz w:val="18"/>
                <w:szCs w:val="18"/>
                <w:shd w:val="clear" w:color="auto" w:fill="FFFFFF"/>
                <w:lang w:eastAsia="zh-CN"/>
              </w:rPr>
              <w:t xml:space="preserve"> Control</w:t>
            </w:r>
          </w:p>
        </w:tc>
        <w:tc>
          <w:tcPr>
            <w:tcW w:w="1659" w:type="dxa"/>
            <w:tcBorders>
              <w:top w:val="single" w:color="auto" w:sz="12" w:space="0"/>
              <w:bottom w:val="nil"/>
            </w:tcBorders>
            <w:shd w:val="clear" w:color="auto" w:fill="EBF1DE" w:themeFill="accent3" w:themeFillTint="32"/>
            <w:vAlign w:val="center"/>
          </w:tcPr>
          <w:p>
            <w:pPr>
              <w:jc w:val="center"/>
              <w:rPr>
                <w:rFonts w:ascii="等线" w:hAnsi="等线" w:eastAsia="宋体" w:cstheme="minorBidi"/>
                <w:kern w:val="2"/>
                <w:sz w:val="18"/>
                <w:szCs w:val="18"/>
                <w:shd w:val="clear" w:color="auto" w:fill="FFFFFF"/>
                <w:lang w:eastAsia="zh-CN"/>
              </w:rPr>
            </w:pPr>
            <w:r>
              <w:rPr>
                <w:rFonts w:ascii="等线" w:hAnsi="等线" w:eastAsia="宋体" w:cstheme="minorBidi"/>
                <w:kern w:val="2"/>
                <w:sz w:val="18"/>
                <w:szCs w:val="18"/>
                <w:shd w:val="clear" w:color="auto" w:fill="FFFFFF"/>
                <w:lang w:eastAsia="zh-CN"/>
              </w:rPr>
              <w:t>175</w:t>
            </w:r>
          </w:p>
        </w:tc>
        <w:tc>
          <w:tcPr>
            <w:tcW w:w="1305" w:type="dxa"/>
            <w:tcBorders>
              <w:top w:val="single" w:color="auto" w:sz="12" w:space="0"/>
              <w:bottom w:val="nil"/>
            </w:tcBorders>
            <w:shd w:val="clear" w:color="auto" w:fill="EBF1DE" w:themeFill="accent3" w:themeFillTint="32"/>
            <w:vAlign w:val="center"/>
          </w:tcPr>
          <w:p>
            <w:pPr>
              <w:jc w:val="center"/>
              <w:rPr>
                <w:rFonts w:ascii="等线" w:hAnsi="等线" w:eastAsia="宋体" w:cstheme="minorBidi"/>
                <w:kern w:val="2"/>
                <w:sz w:val="18"/>
                <w:szCs w:val="18"/>
                <w:shd w:val="clear" w:color="auto" w:fill="FFFFFF"/>
                <w:lang w:eastAsia="zh-CN"/>
              </w:rPr>
            </w:pPr>
            <w:r>
              <w:rPr>
                <w:rFonts w:ascii="等线" w:hAnsi="等线" w:eastAsia="宋体" w:cstheme="minorBidi"/>
                <w:kern w:val="2"/>
                <w:sz w:val="18"/>
                <w:szCs w:val="18"/>
                <w:shd w:val="clear" w:color="auto" w:fill="FFFFFF"/>
                <w:lang w:eastAsia="zh-CN"/>
              </w:rPr>
              <w:t>530</w:t>
            </w:r>
          </w:p>
        </w:tc>
        <w:tc>
          <w:tcPr>
            <w:tcW w:w="1305" w:type="dxa"/>
            <w:tcBorders>
              <w:top w:val="single" w:color="auto" w:sz="12" w:space="0"/>
              <w:bottom w:val="nil"/>
            </w:tcBorders>
            <w:shd w:val="clear" w:color="auto" w:fill="EBF1DE" w:themeFill="accent3" w:themeFillTint="32"/>
            <w:vAlign w:val="center"/>
          </w:tcPr>
          <w:p>
            <w:pPr>
              <w:jc w:val="center"/>
              <w:rPr>
                <w:rFonts w:ascii="等线" w:hAnsi="等线" w:eastAsia="宋体" w:cstheme="minorBidi"/>
                <w:kern w:val="2"/>
                <w:sz w:val="18"/>
                <w:szCs w:val="18"/>
                <w:shd w:val="clear" w:color="auto" w:fill="FFFFFF"/>
                <w:lang w:eastAsia="zh-CN"/>
              </w:rPr>
            </w:pPr>
            <w:r>
              <w:rPr>
                <w:rFonts w:ascii="等线" w:hAnsi="等线" w:eastAsia="宋体" w:cstheme="minorBidi"/>
                <w:kern w:val="2"/>
                <w:sz w:val="18"/>
                <w:szCs w:val="18"/>
                <w:shd w:val="clear" w:color="auto" w:fill="FFFFFF"/>
                <w:lang w:eastAsia="zh-CN"/>
              </w:rPr>
              <w:t>724</w:t>
            </w:r>
          </w:p>
        </w:tc>
        <w:tc>
          <w:tcPr>
            <w:tcW w:w="1724" w:type="dxa"/>
            <w:tcBorders>
              <w:top w:val="single" w:color="auto" w:sz="12" w:space="0"/>
              <w:bottom w:val="nil"/>
            </w:tcBorders>
            <w:shd w:val="clear" w:color="auto" w:fill="EBF1DE" w:themeFill="accent3" w:themeFillTint="32"/>
            <w:vAlign w:val="center"/>
          </w:tcPr>
          <w:p>
            <w:pPr>
              <w:jc w:val="center"/>
              <w:rPr>
                <w:rFonts w:ascii="等线" w:hAnsi="等线" w:eastAsia="宋体" w:cstheme="minorBidi"/>
                <w:kern w:val="2"/>
                <w:sz w:val="18"/>
                <w:szCs w:val="18"/>
                <w:shd w:val="clear" w:color="auto" w:fill="FFFFFF"/>
                <w:lang w:eastAsia="zh-CN"/>
              </w:rPr>
            </w:pPr>
            <w:r>
              <w:rPr>
                <w:rFonts w:ascii="等线" w:hAnsi="等线" w:eastAsia="宋体" w:cstheme="minorBidi"/>
                <w:kern w:val="2"/>
                <w:sz w:val="18"/>
                <w:szCs w:val="18"/>
                <w:shd w:val="clear" w:color="auto" w:fill="FFFFFF"/>
                <w:lang w:eastAsia="zh-CN"/>
              </w:rPr>
              <w:t>805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313" w:type="dxa"/>
            <w:tcBorders>
              <w:top w:val="nil"/>
              <w:bottom w:val="single" w:color="auto" w:sz="12" w:space="0"/>
            </w:tcBorders>
            <w:shd w:val="clear" w:color="auto" w:fill="EBF1DE" w:themeFill="accent3" w:themeFillTint="32"/>
            <w:vAlign w:val="center"/>
          </w:tcPr>
          <w:p>
            <w:pPr>
              <w:jc w:val="center"/>
              <w:rPr>
                <w:rFonts w:ascii="等线" w:hAnsi="等线" w:eastAsia="宋体" w:cstheme="minorBidi"/>
                <w:kern w:val="2"/>
                <w:sz w:val="18"/>
                <w:szCs w:val="18"/>
                <w:shd w:val="clear" w:color="auto" w:fill="FFFFFF"/>
                <w:lang w:eastAsia="zh-CN"/>
              </w:rPr>
            </w:pPr>
            <w:r>
              <w:rPr>
                <w:rFonts w:ascii="等线" w:hAnsi="等线" w:eastAsia="宋体" w:cstheme="minorBidi"/>
                <w:kern w:val="2"/>
                <w:sz w:val="18"/>
                <w:szCs w:val="18"/>
                <w:shd w:val="clear" w:color="auto" w:fill="FFFFFF"/>
                <w:lang w:eastAsia="zh-CN"/>
              </w:rPr>
              <w:t>CdAc</w:t>
            </w:r>
            <w:r>
              <w:rPr>
                <w:rFonts w:hint="eastAsia" w:ascii="等线" w:hAnsi="等线" w:eastAsia="宋体" w:cstheme="minorBidi"/>
                <w:kern w:val="2"/>
                <w:sz w:val="18"/>
                <w:szCs w:val="18"/>
                <w:shd w:val="clear" w:color="auto" w:fill="FFFFFF"/>
                <w:vertAlign w:val="subscript"/>
                <w:lang w:eastAsia="zh-CN"/>
              </w:rPr>
              <w:t>2</w:t>
            </w:r>
            <w:r>
              <w:rPr>
                <w:rFonts w:ascii="等线" w:hAnsi="等线" w:eastAsia="宋体" w:cstheme="minorBidi"/>
                <w:kern w:val="2"/>
                <w:sz w:val="18"/>
                <w:szCs w:val="18"/>
                <w:shd w:val="clear" w:color="auto" w:fill="FFFFFF"/>
                <w:lang w:eastAsia="zh-CN"/>
              </w:rPr>
              <w:t xml:space="preserve"> Control</w:t>
            </w:r>
          </w:p>
        </w:tc>
        <w:tc>
          <w:tcPr>
            <w:tcW w:w="1659" w:type="dxa"/>
            <w:tcBorders>
              <w:top w:val="nil"/>
              <w:bottom w:val="single" w:color="auto" w:sz="12" w:space="0"/>
            </w:tcBorders>
            <w:shd w:val="clear" w:color="auto" w:fill="EBF1DE" w:themeFill="accent3" w:themeFillTint="32"/>
            <w:vAlign w:val="center"/>
          </w:tcPr>
          <w:p>
            <w:pPr>
              <w:jc w:val="center"/>
              <w:rPr>
                <w:rFonts w:ascii="等线" w:hAnsi="等线" w:eastAsia="宋体" w:cstheme="minorBidi"/>
                <w:kern w:val="2"/>
                <w:sz w:val="18"/>
                <w:szCs w:val="18"/>
                <w:shd w:val="clear" w:color="auto" w:fill="FFFFFF"/>
                <w:lang w:eastAsia="zh-CN"/>
              </w:rPr>
            </w:pPr>
            <w:r>
              <w:rPr>
                <w:rFonts w:ascii="等线" w:hAnsi="等线" w:eastAsia="宋体" w:cstheme="minorBidi"/>
                <w:kern w:val="2"/>
                <w:sz w:val="18"/>
                <w:szCs w:val="18"/>
                <w:shd w:val="clear" w:color="auto" w:fill="FFFFFF"/>
                <w:lang w:eastAsia="zh-CN"/>
              </w:rPr>
              <w:t>2304</w:t>
            </w:r>
          </w:p>
        </w:tc>
        <w:tc>
          <w:tcPr>
            <w:tcW w:w="1305" w:type="dxa"/>
            <w:tcBorders>
              <w:top w:val="nil"/>
              <w:bottom w:val="single" w:color="auto" w:sz="12" w:space="0"/>
            </w:tcBorders>
            <w:shd w:val="clear" w:color="auto" w:fill="EBF1DE" w:themeFill="accent3" w:themeFillTint="32"/>
            <w:vAlign w:val="center"/>
          </w:tcPr>
          <w:p>
            <w:pPr>
              <w:jc w:val="center"/>
              <w:rPr>
                <w:rFonts w:ascii="等线" w:hAnsi="等线" w:eastAsia="宋体" w:cstheme="minorBidi"/>
                <w:kern w:val="2"/>
                <w:sz w:val="18"/>
                <w:szCs w:val="18"/>
                <w:shd w:val="clear" w:color="auto" w:fill="FFFFFF"/>
                <w:lang w:eastAsia="zh-CN"/>
              </w:rPr>
            </w:pPr>
            <w:r>
              <w:rPr>
                <w:rFonts w:ascii="等线" w:hAnsi="等线" w:eastAsia="宋体" w:cstheme="minorBidi"/>
                <w:kern w:val="2"/>
                <w:sz w:val="18"/>
                <w:szCs w:val="18"/>
                <w:shd w:val="clear" w:color="auto" w:fill="FFFFFF"/>
                <w:lang w:eastAsia="zh-CN"/>
              </w:rPr>
              <w:t>6514</w:t>
            </w:r>
          </w:p>
        </w:tc>
        <w:tc>
          <w:tcPr>
            <w:tcW w:w="1305" w:type="dxa"/>
            <w:tcBorders>
              <w:top w:val="nil"/>
              <w:bottom w:val="single" w:color="auto" w:sz="12" w:space="0"/>
            </w:tcBorders>
            <w:shd w:val="clear" w:color="auto" w:fill="EBF1DE" w:themeFill="accent3" w:themeFillTint="32"/>
            <w:vAlign w:val="center"/>
          </w:tcPr>
          <w:p>
            <w:pPr>
              <w:jc w:val="center"/>
              <w:rPr>
                <w:rFonts w:ascii="等线" w:hAnsi="等线" w:eastAsia="宋体" w:cstheme="minorBidi"/>
                <w:kern w:val="2"/>
                <w:sz w:val="18"/>
                <w:szCs w:val="18"/>
                <w:shd w:val="clear" w:color="auto" w:fill="FFFFFF"/>
                <w:lang w:eastAsia="zh-CN"/>
              </w:rPr>
            </w:pPr>
            <w:r>
              <w:rPr>
                <w:rFonts w:ascii="等线" w:hAnsi="等线" w:eastAsia="宋体" w:cstheme="minorBidi"/>
                <w:kern w:val="2"/>
                <w:sz w:val="18"/>
                <w:szCs w:val="18"/>
                <w:shd w:val="clear" w:color="auto" w:fill="FFFFFF"/>
                <w:lang w:eastAsia="zh-CN"/>
              </w:rPr>
              <w:t>362</w:t>
            </w:r>
          </w:p>
        </w:tc>
        <w:tc>
          <w:tcPr>
            <w:tcW w:w="1724" w:type="dxa"/>
            <w:tcBorders>
              <w:top w:val="nil"/>
              <w:bottom w:val="single" w:color="auto" w:sz="12" w:space="0"/>
            </w:tcBorders>
            <w:shd w:val="clear" w:color="auto" w:fill="EBF1DE" w:themeFill="accent3" w:themeFillTint="32"/>
            <w:vAlign w:val="center"/>
          </w:tcPr>
          <w:p>
            <w:pPr>
              <w:jc w:val="center"/>
              <w:rPr>
                <w:rFonts w:ascii="等线" w:hAnsi="等线" w:eastAsia="宋体" w:cstheme="minorBidi"/>
                <w:kern w:val="2"/>
                <w:sz w:val="18"/>
                <w:szCs w:val="18"/>
                <w:shd w:val="clear" w:color="auto" w:fill="FFFFFF"/>
                <w:lang w:eastAsia="zh-CN"/>
              </w:rPr>
            </w:pPr>
            <w:r>
              <w:rPr>
                <w:rFonts w:ascii="等线" w:hAnsi="等线" w:eastAsia="宋体" w:cstheme="minorBidi"/>
                <w:kern w:val="2"/>
                <w:sz w:val="18"/>
                <w:szCs w:val="18"/>
                <w:shd w:val="clear" w:color="auto" w:fill="FFFFFF"/>
                <w:lang w:eastAsia="zh-CN"/>
              </w:rPr>
              <w:t>732</w:t>
            </w:r>
          </w:p>
        </w:tc>
      </w:tr>
    </w:tbl>
    <w:p>
      <w:pPr>
        <w:rPr>
          <w:rFonts w:eastAsia="宋体"/>
          <w:b/>
          <w:bCs/>
          <w:szCs w:val="18"/>
          <w:shd w:val="clear" w:color="auto" w:fill="FFFFFF"/>
        </w:rPr>
      </w:pPr>
      <w:r>
        <w:rPr>
          <w:rFonts w:eastAsia="宋体"/>
          <w:b/>
          <w:bCs/>
          <w:szCs w:val="18"/>
          <w:shd w:val="clear" w:color="auto" w:fill="FFFFFF"/>
        </w:rPr>
        <w:br w:type="page"/>
      </w:r>
    </w:p>
    <w:p>
      <w:pPr>
        <w:spacing w:line="240" w:lineRule="auto"/>
      </w:pPr>
      <w:r>
        <w:rPr>
          <w:rFonts w:hint="eastAsia"/>
          <w:b/>
          <w:bCs/>
          <w:color w:val="000000" w:themeColor="text1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Supplementary </w:t>
      </w:r>
      <w:r>
        <w:rPr>
          <w:rFonts w:eastAsia="等线"/>
          <w:b/>
          <w:bCs/>
          <w:color w:val="000000" w:themeColor="text1"/>
          <w14:textFill>
            <w14:solidFill>
              <w14:schemeClr w14:val="tx1"/>
            </w14:solidFill>
          </w14:textFill>
        </w:rPr>
        <w:t xml:space="preserve">Table </w:t>
      </w:r>
      <w:r>
        <w:rPr>
          <w:rFonts w:eastAsia="等线"/>
          <w:b/>
          <w:bCs/>
        </w:rPr>
        <w:t>2.</w:t>
      </w:r>
      <w:r>
        <w:rPr>
          <w:rFonts w:eastAsia="等线"/>
        </w:rPr>
        <w:t xml:space="preserve"> Comparison of flexible devices performance of this work with previously published results.</w:t>
      </w:r>
    </w:p>
    <w:tbl>
      <w:tblPr>
        <w:tblStyle w:val="107"/>
        <w:tblW w:w="9356" w:type="dxa"/>
        <w:jc w:val="center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61"/>
        <w:gridCol w:w="992"/>
        <w:gridCol w:w="709"/>
        <w:gridCol w:w="1134"/>
        <w:gridCol w:w="709"/>
        <w:gridCol w:w="708"/>
        <w:gridCol w:w="709"/>
        <w:gridCol w:w="1134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3261" w:type="dxa"/>
            <w:tcBorders>
              <w:top w:val="thickThinSmallGap" w:color="auto" w:sz="18" w:space="0"/>
              <w:bottom w:val="single" w:color="auto" w:sz="12" w:space="0"/>
              <w:right w:val="dotted" w:color="auto" w:sz="4" w:space="0"/>
            </w:tcBorders>
            <w:shd w:val="clear" w:color="auto" w:fill="DCD8C2" w:themeFill="background2" w:themeFillShade="E5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ind w:firstLine="900" w:firstLineChars="500"/>
              <w:jc w:val="both"/>
              <w:rPr>
                <w:rFonts w:eastAsia="AdvGulliv-R"/>
                <w:b/>
                <w:bCs/>
                <w:sz w:val="18"/>
                <w:szCs w:val="18"/>
                <w:lang w:val="en-CA" w:eastAsia="en-CA"/>
              </w:rPr>
            </w:pPr>
            <w:r>
              <w:rPr>
                <w:rFonts w:eastAsia="AdvGulliv-R"/>
                <w:b/>
                <w:bCs/>
                <w:sz w:val="18"/>
                <w:szCs w:val="18"/>
                <w:lang w:val="en-CA" w:eastAsia="en-CA"/>
              </w:rPr>
              <w:t>Device Structure</w:t>
            </w:r>
          </w:p>
        </w:tc>
        <w:tc>
          <w:tcPr>
            <w:tcW w:w="992" w:type="dxa"/>
            <w:tcBorders>
              <w:top w:val="thickThinSmallGap" w:color="auto" w:sz="18" w:space="0"/>
              <w:left w:val="dotted" w:color="auto" w:sz="4" w:space="0"/>
              <w:bottom w:val="single" w:color="auto" w:sz="12" w:space="0"/>
              <w:right w:val="dotted" w:color="auto" w:sz="4" w:space="0"/>
            </w:tcBorders>
            <w:shd w:val="clear" w:color="auto" w:fill="DCD8C2" w:themeFill="background2" w:themeFillShade="E5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ind w:firstLine="180" w:firstLineChars="100"/>
              <w:jc w:val="both"/>
              <w:rPr>
                <w:rFonts w:eastAsia="AdvGulliv-R"/>
                <w:b/>
                <w:bCs/>
                <w:sz w:val="18"/>
                <w:szCs w:val="18"/>
                <w:lang w:val="en-CA" w:eastAsia="en-CA"/>
              </w:rPr>
            </w:pPr>
            <w:r>
              <w:rPr>
                <w:rFonts w:eastAsia="AdvGulliv-R"/>
                <w:b/>
                <w:bCs/>
                <w:sz w:val="18"/>
                <w:szCs w:val="18"/>
                <w:lang w:val="en-CA" w:eastAsia="en-CA"/>
              </w:rPr>
              <w:t>Type</w:t>
            </w:r>
          </w:p>
        </w:tc>
        <w:tc>
          <w:tcPr>
            <w:tcW w:w="709" w:type="dxa"/>
            <w:tcBorders>
              <w:top w:val="thickThinSmallGap" w:color="auto" w:sz="18" w:space="0"/>
              <w:left w:val="dotted" w:color="auto" w:sz="4" w:space="0"/>
              <w:bottom w:val="single" w:color="auto" w:sz="12" w:space="0"/>
              <w:right w:val="dotted" w:color="auto" w:sz="4" w:space="0"/>
            </w:tcBorders>
            <w:shd w:val="clear" w:color="auto" w:fill="DCD8C2" w:themeFill="background2" w:themeFillShade="E5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both"/>
              <w:rPr>
                <w:rFonts w:eastAsia="AdvGulliv-R"/>
                <w:b/>
                <w:bCs/>
                <w:sz w:val="18"/>
                <w:szCs w:val="18"/>
                <w:lang w:val="en-CA" w:eastAsia="en-CA"/>
              </w:rPr>
            </w:pPr>
            <w:r>
              <w:rPr>
                <w:rFonts w:eastAsia="AdvGulliv-R"/>
                <w:b/>
                <w:bCs/>
                <w:i/>
                <w:iCs/>
                <w:sz w:val="18"/>
                <w:szCs w:val="18"/>
                <w:lang w:val="en-CA" w:eastAsia="en-CA"/>
              </w:rPr>
              <w:t>V</w:t>
            </w:r>
            <w:r>
              <w:rPr>
                <w:rFonts w:eastAsia="AdvGulliv-R"/>
                <w:b/>
                <w:bCs/>
                <w:i/>
                <w:iCs/>
                <w:sz w:val="18"/>
                <w:szCs w:val="18"/>
                <w:vertAlign w:val="subscript"/>
                <w:lang w:val="en-CA" w:eastAsia="en-CA"/>
              </w:rPr>
              <w:t>OC</w:t>
            </w:r>
            <w:r>
              <w:rPr>
                <w:rFonts w:eastAsia="AdvGulliv-R"/>
                <w:b/>
                <w:bCs/>
                <w:sz w:val="18"/>
                <w:szCs w:val="18"/>
                <w:lang w:val="en-CA" w:eastAsia="en-CA"/>
              </w:rPr>
              <w:t xml:space="preserve">    (V)</w:t>
            </w:r>
          </w:p>
        </w:tc>
        <w:tc>
          <w:tcPr>
            <w:tcW w:w="1134" w:type="dxa"/>
            <w:tcBorders>
              <w:top w:val="thickThinSmallGap" w:color="auto" w:sz="18" w:space="0"/>
              <w:left w:val="dotted" w:color="auto" w:sz="4" w:space="0"/>
              <w:bottom w:val="single" w:color="auto" w:sz="12" w:space="0"/>
              <w:right w:val="dotted" w:color="auto" w:sz="4" w:space="0"/>
            </w:tcBorders>
            <w:shd w:val="clear" w:color="auto" w:fill="DCD8C2" w:themeFill="background2" w:themeFillShade="E5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AdvGulliv-R"/>
                <w:b/>
                <w:bCs/>
                <w:sz w:val="18"/>
                <w:szCs w:val="18"/>
                <w:lang w:val="en-CA" w:eastAsia="en-CA"/>
              </w:rPr>
            </w:pPr>
            <w:r>
              <w:rPr>
                <w:rFonts w:eastAsia="AdvGulliv-R"/>
                <w:b/>
                <w:bCs/>
                <w:i/>
                <w:iCs/>
                <w:sz w:val="18"/>
                <w:szCs w:val="18"/>
                <w:lang w:val="en-CA" w:eastAsia="en-CA"/>
              </w:rPr>
              <w:t>J</w:t>
            </w:r>
            <w:r>
              <w:rPr>
                <w:rFonts w:eastAsia="AdvGulliv-R"/>
                <w:b/>
                <w:bCs/>
                <w:i/>
                <w:iCs/>
                <w:sz w:val="18"/>
                <w:szCs w:val="18"/>
                <w:vertAlign w:val="subscript"/>
                <w:lang w:val="en-CA" w:eastAsia="en-CA"/>
              </w:rPr>
              <w:t>SC</w:t>
            </w:r>
            <w:r>
              <w:rPr>
                <w:rFonts w:eastAsia="AdvGulliv-R"/>
                <w:b/>
                <w:bCs/>
                <w:sz w:val="18"/>
                <w:szCs w:val="18"/>
                <w:vertAlign w:val="subscript"/>
                <w:lang w:val="en-CA" w:eastAsia="en-CA"/>
              </w:rPr>
              <w:t xml:space="preserve"> </w:t>
            </w:r>
            <w:r>
              <w:rPr>
                <w:rFonts w:eastAsia="AdvGulliv-R"/>
                <w:b/>
                <w:bCs/>
                <w:sz w:val="18"/>
                <w:szCs w:val="18"/>
                <w:lang w:val="en-CA" w:eastAsia="en-CA"/>
              </w:rPr>
              <w:t>(mA/cm</w:t>
            </w:r>
            <w:r>
              <w:rPr>
                <w:rFonts w:eastAsia="AdvGulliv-R"/>
                <w:b/>
                <w:bCs/>
                <w:sz w:val="18"/>
                <w:szCs w:val="18"/>
                <w:vertAlign w:val="superscript"/>
                <w:lang w:val="en-CA" w:eastAsia="en-CA"/>
              </w:rPr>
              <w:t>2</w:t>
            </w:r>
            <w:r>
              <w:rPr>
                <w:rFonts w:eastAsia="AdvGulliv-R"/>
                <w:b/>
                <w:bCs/>
                <w:sz w:val="18"/>
                <w:szCs w:val="18"/>
                <w:lang w:val="en-CA" w:eastAsia="en-CA"/>
              </w:rPr>
              <w:t>)</w:t>
            </w:r>
          </w:p>
        </w:tc>
        <w:tc>
          <w:tcPr>
            <w:tcW w:w="709" w:type="dxa"/>
            <w:tcBorders>
              <w:top w:val="thickThinSmallGap" w:color="auto" w:sz="18" w:space="0"/>
              <w:left w:val="dotted" w:color="auto" w:sz="4" w:space="0"/>
              <w:bottom w:val="single" w:color="auto" w:sz="12" w:space="0"/>
              <w:right w:val="dotted" w:color="auto" w:sz="4" w:space="0"/>
            </w:tcBorders>
            <w:shd w:val="clear" w:color="auto" w:fill="DCD8C2" w:themeFill="background2" w:themeFillShade="E5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AdvGulliv-R"/>
                <w:b/>
                <w:bCs/>
                <w:sz w:val="18"/>
                <w:szCs w:val="18"/>
                <w:lang w:val="en-CA" w:eastAsia="en-CA"/>
              </w:rPr>
            </w:pPr>
            <w:r>
              <w:rPr>
                <w:rFonts w:eastAsia="AdvGulliv-R"/>
                <w:b/>
                <w:bCs/>
                <w:i/>
                <w:iCs/>
                <w:sz w:val="18"/>
                <w:szCs w:val="18"/>
                <w:lang w:val="en-CA" w:eastAsia="en-CA"/>
              </w:rPr>
              <w:t>FF</w:t>
            </w:r>
            <w:r>
              <w:rPr>
                <w:rFonts w:eastAsia="AdvGulliv-R"/>
                <w:b/>
                <w:bCs/>
                <w:sz w:val="18"/>
                <w:szCs w:val="18"/>
                <w:lang w:val="en-CA" w:eastAsia="en-CA"/>
              </w:rPr>
              <w:t xml:space="preserve"> (%)</w:t>
            </w:r>
          </w:p>
        </w:tc>
        <w:tc>
          <w:tcPr>
            <w:tcW w:w="708" w:type="dxa"/>
            <w:tcBorders>
              <w:top w:val="thickThinSmallGap" w:color="auto" w:sz="18" w:space="0"/>
              <w:left w:val="dotted" w:color="auto" w:sz="4" w:space="0"/>
              <w:bottom w:val="single" w:color="auto" w:sz="12" w:space="0"/>
              <w:right w:val="dotted" w:color="auto" w:sz="4" w:space="0"/>
            </w:tcBorders>
            <w:shd w:val="clear" w:color="auto" w:fill="DCD8C2" w:themeFill="background2" w:themeFillShade="E5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AdvGulliv-R"/>
                <w:b/>
                <w:bCs/>
                <w:sz w:val="18"/>
                <w:szCs w:val="18"/>
                <w:lang w:val="en-CA" w:eastAsia="en-CA"/>
              </w:rPr>
            </w:pPr>
            <w:r>
              <w:rPr>
                <w:rFonts w:eastAsia="AdvGulliv-R"/>
                <w:b/>
                <w:bCs/>
                <w:sz w:val="18"/>
                <w:szCs w:val="18"/>
                <w:lang w:val="en-CA" w:eastAsia="en-CA"/>
              </w:rPr>
              <w:t>PCE (%)</w:t>
            </w:r>
          </w:p>
        </w:tc>
        <w:tc>
          <w:tcPr>
            <w:tcW w:w="709" w:type="dxa"/>
            <w:tcBorders>
              <w:top w:val="thickThinSmallGap" w:color="auto" w:sz="18" w:space="0"/>
              <w:left w:val="dotted" w:color="auto" w:sz="4" w:space="0"/>
              <w:bottom w:val="single" w:color="auto" w:sz="12" w:space="0"/>
              <w:right w:val="dotted" w:color="auto" w:sz="4" w:space="0"/>
            </w:tcBorders>
            <w:shd w:val="clear" w:color="auto" w:fill="DCD8C2" w:themeFill="background2" w:themeFillShade="E5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AdvGulliv-R"/>
                <w:b/>
                <w:bCs/>
                <w:sz w:val="18"/>
                <w:szCs w:val="18"/>
                <w:lang w:val="en-CA" w:eastAsia="en-CA"/>
              </w:rPr>
            </w:pPr>
            <w:r>
              <w:rPr>
                <w:rFonts w:eastAsia="AdvGulliv-R"/>
                <w:b/>
                <w:bCs/>
                <w:sz w:val="18"/>
                <w:szCs w:val="18"/>
                <w:lang w:val="en-CA" w:eastAsia="en-CA"/>
              </w:rPr>
              <w:t>Years</w:t>
            </w:r>
          </w:p>
        </w:tc>
        <w:tc>
          <w:tcPr>
            <w:tcW w:w="1134" w:type="dxa"/>
            <w:tcBorders>
              <w:top w:val="thickThinSmallGap" w:color="auto" w:sz="18" w:space="0"/>
              <w:left w:val="dotted" w:color="auto" w:sz="4" w:space="0"/>
              <w:bottom w:val="single" w:color="auto" w:sz="12" w:space="0"/>
            </w:tcBorders>
            <w:shd w:val="clear" w:color="auto" w:fill="DCD8C2" w:themeFill="background2" w:themeFillShade="E5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AdvGulliv-R"/>
                <w:b/>
                <w:bCs/>
                <w:sz w:val="18"/>
                <w:szCs w:val="18"/>
                <w:lang w:val="en-CA" w:eastAsia="en-CA"/>
              </w:rPr>
            </w:pPr>
            <w:r>
              <w:rPr>
                <w:rFonts w:eastAsia="AdvGulliv-R"/>
                <w:b/>
                <w:bCs/>
                <w:sz w:val="18"/>
                <w:szCs w:val="18"/>
                <w:lang w:val="en-CA" w:eastAsia="en-CA"/>
              </w:rPr>
              <w:t>References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261" w:type="dxa"/>
            <w:tcBorders>
              <w:top w:val="single" w:color="auto" w:sz="12" w:space="0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AdvGulliv-R"/>
                <w:sz w:val="18"/>
                <w:szCs w:val="18"/>
                <w:lang w:val="en-CA" w:eastAsia="en-CA"/>
              </w:rPr>
            </w:pPr>
            <w:r>
              <w:rPr>
                <w:rFonts w:eastAsia="AdvGulliv-R"/>
                <w:sz w:val="18"/>
                <w:szCs w:val="18"/>
                <w:lang w:val="en-CA" w:eastAsia="en-CA"/>
              </w:rPr>
              <w:t>PET/ITO/ZnO/Perovskite/Spiro-OMeTAD/Au</w:t>
            </w:r>
          </w:p>
        </w:tc>
        <w:tc>
          <w:tcPr>
            <w:tcW w:w="992" w:type="dxa"/>
            <w:tcBorders>
              <w:top w:val="single" w:color="auto" w:sz="12" w:space="0"/>
              <w:left w:val="dotted" w:color="auto" w:sz="4" w:space="0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AdvGulliv-R"/>
                <w:sz w:val="18"/>
                <w:szCs w:val="18"/>
                <w:lang w:val="en-CA" w:eastAsia="en-CA"/>
              </w:rPr>
            </w:pPr>
            <w:r>
              <w:rPr>
                <w:rFonts w:eastAsia="AdvGulliv-R"/>
                <w:sz w:val="18"/>
                <w:szCs w:val="18"/>
                <w:lang w:val="en-CA" w:eastAsia="en-CA"/>
              </w:rPr>
              <w:t>N-I-P</w:t>
            </w:r>
          </w:p>
        </w:tc>
        <w:tc>
          <w:tcPr>
            <w:tcW w:w="709" w:type="dxa"/>
            <w:tcBorders>
              <w:top w:val="single" w:color="auto" w:sz="12" w:space="0"/>
              <w:left w:val="dotted" w:color="auto" w:sz="4" w:space="0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AdvGulliv-R"/>
                <w:sz w:val="18"/>
                <w:szCs w:val="18"/>
                <w:lang w:val="en-CA" w:eastAsia="en-CA"/>
              </w:rPr>
            </w:pPr>
            <w:r>
              <w:rPr>
                <w:rFonts w:eastAsia="AdvGulliv-R"/>
                <w:sz w:val="18"/>
                <w:szCs w:val="18"/>
                <w:lang w:val="en-CA" w:eastAsia="en-CA"/>
              </w:rPr>
              <w:t>0.80</w:t>
            </w:r>
          </w:p>
        </w:tc>
        <w:tc>
          <w:tcPr>
            <w:tcW w:w="1134" w:type="dxa"/>
            <w:tcBorders>
              <w:top w:val="single" w:color="auto" w:sz="12" w:space="0"/>
              <w:left w:val="dotted" w:color="auto" w:sz="4" w:space="0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AdvGulliv-R"/>
                <w:sz w:val="18"/>
                <w:szCs w:val="18"/>
                <w:lang w:val="en-CA" w:eastAsia="en-CA"/>
              </w:rPr>
            </w:pPr>
            <w:r>
              <w:rPr>
                <w:rFonts w:eastAsia="AdvGulliv-R"/>
                <w:sz w:val="18"/>
                <w:szCs w:val="18"/>
                <w:lang w:val="en-CA" w:eastAsia="en-CA"/>
              </w:rPr>
              <w:t>8.6</w:t>
            </w:r>
          </w:p>
        </w:tc>
        <w:tc>
          <w:tcPr>
            <w:tcW w:w="709" w:type="dxa"/>
            <w:tcBorders>
              <w:top w:val="single" w:color="auto" w:sz="12" w:space="0"/>
              <w:left w:val="dotted" w:color="auto" w:sz="4" w:space="0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AdvGulliv-R"/>
                <w:sz w:val="18"/>
                <w:szCs w:val="18"/>
                <w:lang w:val="en-CA" w:eastAsia="en-CA"/>
              </w:rPr>
            </w:pPr>
            <w:r>
              <w:rPr>
                <w:rFonts w:eastAsia="AdvGulliv-R"/>
                <w:sz w:val="18"/>
                <w:szCs w:val="18"/>
                <w:lang w:val="en-CA" w:eastAsia="en-CA"/>
              </w:rPr>
              <w:t>43.14</w:t>
            </w:r>
          </w:p>
        </w:tc>
        <w:tc>
          <w:tcPr>
            <w:tcW w:w="708" w:type="dxa"/>
            <w:tcBorders>
              <w:top w:val="single" w:color="auto" w:sz="12" w:space="0"/>
              <w:left w:val="dotted" w:color="auto" w:sz="4" w:space="0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AdvGulliv-R"/>
                <w:sz w:val="18"/>
                <w:szCs w:val="18"/>
                <w:lang w:val="en-CA" w:eastAsia="en-CA"/>
              </w:rPr>
            </w:pPr>
            <w:r>
              <w:rPr>
                <w:rFonts w:eastAsia="AdvGulliv-R"/>
                <w:sz w:val="18"/>
                <w:szCs w:val="18"/>
                <w:lang w:val="en-CA" w:eastAsia="en-CA"/>
              </w:rPr>
              <w:t>2.62</w:t>
            </w:r>
          </w:p>
        </w:tc>
        <w:tc>
          <w:tcPr>
            <w:tcW w:w="709" w:type="dxa"/>
            <w:tcBorders>
              <w:top w:val="single" w:color="auto" w:sz="12" w:space="0"/>
              <w:left w:val="dotted" w:color="auto" w:sz="4" w:space="0"/>
              <w:bottom w:val="nil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AdvGulliv-R"/>
                <w:sz w:val="18"/>
                <w:szCs w:val="18"/>
                <w:lang w:val="en-CA" w:eastAsia="en-CA"/>
              </w:rPr>
            </w:pPr>
            <w:r>
              <w:rPr>
                <w:rFonts w:eastAsia="AdvGulliv-R"/>
                <w:sz w:val="18"/>
                <w:szCs w:val="18"/>
                <w:lang w:val="en-CA" w:eastAsia="en-CA"/>
              </w:rPr>
              <w:t>2013</w:t>
            </w:r>
          </w:p>
        </w:tc>
        <w:tc>
          <w:tcPr>
            <w:tcW w:w="1134" w:type="dxa"/>
            <w:tcBorders>
              <w:top w:val="single" w:color="auto" w:sz="12" w:space="0"/>
              <w:left w:val="dotted" w:color="auto" w:sz="4" w:space="0"/>
              <w:bottom w:val="nil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AdvGulliv-R"/>
                <w:color w:val="0070C0"/>
                <w:sz w:val="18"/>
                <w:szCs w:val="18"/>
                <w:lang w:val="en-CA" w:eastAsia="en-CA"/>
              </w:rPr>
            </w:pPr>
            <w:r>
              <w:rPr>
                <w:rFonts w:eastAsia="AdvGulliv-R"/>
                <w:color w:val="0070C0"/>
                <w:sz w:val="18"/>
                <w:szCs w:val="18"/>
                <w:lang w:val="en-CA" w:eastAsia="en-CA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261" w:type="dxa"/>
            <w:tcBorders>
              <w:top w:val="nil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AdvGulliv-R"/>
                <w:sz w:val="18"/>
                <w:szCs w:val="18"/>
                <w:lang w:val="en-CA" w:eastAsia="en-CA"/>
              </w:rPr>
            </w:pPr>
            <w:r>
              <w:rPr>
                <w:rFonts w:eastAsia="AdvGulliv-R"/>
                <w:sz w:val="18"/>
                <w:szCs w:val="18"/>
                <w:lang w:val="en-CA" w:eastAsia="en-CA"/>
              </w:rPr>
              <w:t>PET/ITO/ZnO/Perovskite /spiro-OMeTAD/Ag</w:t>
            </w:r>
          </w:p>
        </w:tc>
        <w:tc>
          <w:tcPr>
            <w:tcW w:w="992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AdvGulliv-R"/>
                <w:sz w:val="18"/>
                <w:szCs w:val="18"/>
                <w:lang w:val="en-CA" w:eastAsia="en-CA"/>
              </w:rPr>
            </w:pPr>
            <w:r>
              <w:rPr>
                <w:rFonts w:eastAsia="AdvGulliv-R"/>
                <w:sz w:val="18"/>
                <w:szCs w:val="18"/>
                <w:lang w:val="en-CA" w:eastAsia="en-CA"/>
              </w:rPr>
              <w:t>N-I-P</w:t>
            </w:r>
          </w:p>
        </w:tc>
        <w:tc>
          <w:tcPr>
            <w:tcW w:w="709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AdvGulliv-R"/>
                <w:sz w:val="18"/>
                <w:szCs w:val="18"/>
                <w:lang w:val="en-CA" w:eastAsia="en-CA"/>
              </w:rPr>
            </w:pPr>
            <w:r>
              <w:rPr>
                <w:rFonts w:eastAsia="AdvGulliv-R"/>
                <w:sz w:val="18"/>
                <w:szCs w:val="18"/>
                <w:lang w:val="en-CA" w:eastAsia="en-CA"/>
              </w:rPr>
              <w:t>1.03</w:t>
            </w:r>
          </w:p>
        </w:tc>
        <w:tc>
          <w:tcPr>
            <w:tcW w:w="1134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AdvGulliv-R"/>
                <w:sz w:val="18"/>
                <w:szCs w:val="18"/>
                <w:lang w:val="en-CA" w:eastAsia="en-CA"/>
              </w:rPr>
            </w:pPr>
            <w:r>
              <w:rPr>
                <w:rFonts w:eastAsia="AdvGulliv-R"/>
                <w:sz w:val="18"/>
                <w:szCs w:val="18"/>
                <w:lang w:val="en-CA" w:eastAsia="en-CA"/>
              </w:rPr>
              <w:t>13.4</w:t>
            </w:r>
          </w:p>
        </w:tc>
        <w:tc>
          <w:tcPr>
            <w:tcW w:w="709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AdvGulliv-R"/>
                <w:sz w:val="18"/>
                <w:szCs w:val="18"/>
                <w:lang w:val="en-CA" w:eastAsia="en-CA"/>
              </w:rPr>
            </w:pPr>
            <w:r>
              <w:rPr>
                <w:rFonts w:eastAsia="AdvGulliv-R"/>
                <w:sz w:val="18"/>
                <w:szCs w:val="18"/>
                <w:lang w:val="en-CA" w:eastAsia="en-CA"/>
              </w:rPr>
              <w:t>73.9</w:t>
            </w:r>
          </w:p>
        </w:tc>
        <w:tc>
          <w:tcPr>
            <w:tcW w:w="708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AdvGulliv-R"/>
                <w:sz w:val="18"/>
                <w:szCs w:val="18"/>
                <w:lang w:val="en-CA" w:eastAsia="en-CA"/>
              </w:rPr>
            </w:pPr>
            <w:r>
              <w:rPr>
                <w:rFonts w:eastAsia="AdvGulliv-R"/>
                <w:sz w:val="18"/>
                <w:szCs w:val="18"/>
                <w:lang w:val="en-CA" w:eastAsia="en-CA"/>
              </w:rPr>
              <w:t>10.2</w:t>
            </w:r>
          </w:p>
        </w:tc>
        <w:tc>
          <w:tcPr>
            <w:tcW w:w="709" w:type="dxa"/>
            <w:tcBorders>
              <w:top w:val="nil"/>
              <w:left w:val="dotted" w:color="auto" w:sz="4" w:space="0"/>
              <w:bottom w:val="nil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AdvGulliv-R"/>
                <w:sz w:val="18"/>
                <w:szCs w:val="18"/>
                <w:lang w:val="en-CA" w:eastAsia="en-CA"/>
              </w:rPr>
            </w:pPr>
            <w:r>
              <w:rPr>
                <w:rFonts w:eastAsia="AdvGulliv-R"/>
                <w:sz w:val="18"/>
                <w:szCs w:val="18"/>
                <w:lang w:val="en-CA" w:eastAsia="en-CA"/>
              </w:rPr>
              <w:t>2013</w:t>
            </w:r>
          </w:p>
        </w:tc>
        <w:tc>
          <w:tcPr>
            <w:tcW w:w="1134" w:type="dxa"/>
            <w:tcBorders>
              <w:top w:val="nil"/>
              <w:left w:val="dotted" w:color="auto" w:sz="4" w:space="0"/>
              <w:bottom w:val="nil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AdvGulliv-R"/>
                <w:color w:val="0070C0"/>
                <w:sz w:val="18"/>
                <w:szCs w:val="18"/>
                <w:lang w:val="en-CA" w:eastAsia="en-CA"/>
              </w:rPr>
            </w:pPr>
            <w:r>
              <w:rPr>
                <w:rFonts w:eastAsia="AdvGulliv-R"/>
                <w:color w:val="0070C0"/>
                <w:sz w:val="18"/>
                <w:szCs w:val="18"/>
                <w:lang w:val="en-CA" w:eastAsia="en-CA"/>
              </w:rPr>
              <w:t>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261" w:type="dxa"/>
            <w:tcBorders>
              <w:top w:val="nil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AdvGulliv-R"/>
                <w:sz w:val="18"/>
                <w:szCs w:val="18"/>
                <w:lang w:val="en-CA" w:eastAsia="en-CA"/>
              </w:rPr>
            </w:pPr>
            <w:r>
              <w:rPr>
                <w:rFonts w:eastAsia="AdvGulliv-R"/>
                <w:sz w:val="18"/>
                <w:szCs w:val="18"/>
                <w:lang w:val="en-CA" w:eastAsia="en-CA"/>
              </w:rPr>
              <w:t>PET/ITO/PEDOT:PSS/ Perovskite /PCBM/TiOx/Al</w:t>
            </w:r>
          </w:p>
        </w:tc>
        <w:tc>
          <w:tcPr>
            <w:tcW w:w="992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AdvGulliv-R"/>
                <w:sz w:val="18"/>
                <w:szCs w:val="18"/>
                <w:lang w:val="en-CA" w:eastAsia="en-CA"/>
              </w:rPr>
            </w:pPr>
            <w:r>
              <w:rPr>
                <w:rFonts w:eastAsia="AdvGulliv-R"/>
                <w:sz w:val="18"/>
                <w:szCs w:val="18"/>
                <w:lang w:val="en-CA" w:eastAsia="en-CA"/>
              </w:rPr>
              <w:t>P-I-N</w:t>
            </w:r>
          </w:p>
        </w:tc>
        <w:tc>
          <w:tcPr>
            <w:tcW w:w="709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AdvGulliv-R"/>
                <w:sz w:val="18"/>
                <w:szCs w:val="18"/>
                <w:lang w:val="en-CA" w:eastAsia="en-CA"/>
              </w:rPr>
            </w:pPr>
            <w:r>
              <w:rPr>
                <w:rFonts w:eastAsia="AdvGulliv-R"/>
                <w:sz w:val="18"/>
                <w:szCs w:val="18"/>
                <w:lang w:val="en-CA" w:eastAsia="en-CA"/>
              </w:rPr>
              <w:t>0.88</w:t>
            </w:r>
          </w:p>
        </w:tc>
        <w:tc>
          <w:tcPr>
            <w:tcW w:w="1134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AdvGulliv-R"/>
                <w:sz w:val="18"/>
                <w:szCs w:val="18"/>
                <w:lang w:val="en-CA" w:eastAsia="en-CA"/>
              </w:rPr>
            </w:pPr>
            <w:r>
              <w:rPr>
                <w:rFonts w:eastAsia="AdvGulliv-R"/>
                <w:sz w:val="18"/>
                <w:szCs w:val="18"/>
                <w:lang w:val="en-CA" w:eastAsia="en-CA"/>
              </w:rPr>
              <w:t xml:space="preserve">14.4 </w:t>
            </w:r>
          </w:p>
        </w:tc>
        <w:tc>
          <w:tcPr>
            <w:tcW w:w="709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AdvGulliv-R"/>
                <w:sz w:val="18"/>
                <w:szCs w:val="18"/>
                <w:lang w:val="en-CA" w:eastAsia="en-CA"/>
              </w:rPr>
            </w:pPr>
            <w:r>
              <w:rPr>
                <w:rFonts w:eastAsia="AdvGulliv-R"/>
                <w:sz w:val="18"/>
                <w:szCs w:val="18"/>
                <w:lang w:val="en-CA" w:eastAsia="en-CA"/>
              </w:rPr>
              <w:t>51</w:t>
            </w:r>
          </w:p>
        </w:tc>
        <w:tc>
          <w:tcPr>
            <w:tcW w:w="708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AdvGulliv-R"/>
                <w:sz w:val="18"/>
                <w:szCs w:val="18"/>
                <w:lang w:val="en-CA" w:eastAsia="en-CA"/>
              </w:rPr>
            </w:pPr>
            <w:r>
              <w:rPr>
                <w:rFonts w:eastAsia="AdvGulliv-R"/>
                <w:sz w:val="18"/>
                <w:szCs w:val="18"/>
                <w:lang w:val="en-CA" w:eastAsia="en-CA"/>
              </w:rPr>
              <w:t>6.4</w:t>
            </w:r>
          </w:p>
        </w:tc>
        <w:tc>
          <w:tcPr>
            <w:tcW w:w="709" w:type="dxa"/>
            <w:tcBorders>
              <w:top w:val="nil"/>
              <w:left w:val="dotted" w:color="auto" w:sz="4" w:space="0"/>
              <w:bottom w:val="nil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AdvGulliv-R"/>
                <w:sz w:val="18"/>
                <w:szCs w:val="18"/>
                <w:lang w:val="en-CA" w:eastAsia="en-CA"/>
              </w:rPr>
            </w:pPr>
            <w:r>
              <w:rPr>
                <w:rFonts w:eastAsia="AdvGulliv-R"/>
                <w:sz w:val="18"/>
                <w:szCs w:val="18"/>
                <w:lang w:val="en-CA" w:eastAsia="en-CA"/>
              </w:rPr>
              <w:t>2013</w:t>
            </w:r>
          </w:p>
        </w:tc>
        <w:tc>
          <w:tcPr>
            <w:tcW w:w="1134" w:type="dxa"/>
            <w:tcBorders>
              <w:top w:val="nil"/>
              <w:left w:val="dotted" w:color="auto" w:sz="4" w:space="0"/>
              <w:bottom w:val="nil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AdvGulliv-R"/>
                <w:color w:val="0070C0"/>
                <w:sz w:val="18"/>
                <w:szCs w:val="18"/>
                <w:lang w:val="en-CA" w:eastAsia="en-CA"/>
              </w:rPr>
            </w:pPr>
            <w:r>
              <w:rPr>
                <w:rFonts w:eastAsia="AdvGulliv-R"/>
                <w:color w:val="0070C0"/>
                <w:sz w:val="18"/>
                <w:szCs w:val="18"/>
                <w:lang w:val="en-CA" w:eastAsia="en-CA"/>
              </w:rPr>
              <w:t>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261" w:type="dxa"/>
            <w:tcBorders>
              <w:top w:val="nil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AdvGulliv-R"/>
                <w:sz w:val="18"/>
                <w:szCs w:val="18"/>
                <w:lang w:val="en-CA" w:eastAsia="en-CA"/>
              </w:rPr>
            </w:pPr>
            <w:r>
              <w:rPr>
                <w:rFonts w:eastAsia="AdvGulliv-R"/>
                <w:sz w:val="18"/>
                <w:szCs w:val="18"/>
                <w:lang w:val="en-CA" w:eastAsia="en-CA"/>
              </w:rPr>
              <w:t>PET/ITO/PEDOT:PSS/ Perovskite /PCBM/C60/Ag</w:t>
            </w:r>
          </w:p>
        </w:tc>
        <w:tc>
          <w:tcPr>
            <w:tcW w:w="992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AdvGulliv-R"/>
                <w:sz w:val="18"/>
                <w:szCs w:val="18"/>
                <w:lang w:val="en-CA" w:eastAsia="en-CA"/>
              </w:rPr>
            </w:pPr>
            <w:r>
              <w:rPr>
                <w:rFonts w:eastAsia="AdvGulliv-R"/>
                <w:sz w:val="18"/>
                <w:szCs w:val="18"/>
                <w:lang w:val="en-CA" w:eastAsia="en-CA"/>
              </w:rPr>
              <w:t>N-I-P</w:t>
            </w:r>
          </w:p>
        </w:tc>
        <w:tc>
          <w:tcPr>
            <w:tcW w:w="709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AdvGulliv-R"/>
                <w:sz w:val="18"/>
                <w:szCs w:val="18"/>
                <w:lang w:val="en-CA" w:eastAsia="en-CA"/>
              </w:rPr>
            </w:pPr>
            <w:r>
              <w:rPr>
                <w:rFonts w:eastAsia="AdvGulliv-R"/>
                <w:sz w:val="18"/>
                <w:szCs w:val="18"/>
                <w:lang w:val="en-CA" w:eastAsia="en-CA"/>
              </w:rPr>
              <w:t>0.86</w:t>
            </w:r>
          </w:p>
        </w:tc>
        <w:tc>
          <w:tcPr>
            <w:tcW w:w="1134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AdvGulliv-R"/>
                <w:sz w:val="18"/>
                <w:szCs w:val="18"/>
                <w:lang w:val="en-CA" w:eastAsia="en-CA"/>
              </w:rPr>
            </w:pPr>
            <w:r>
              <w:rPr>
                <w:rFonts w:eastAsia="AdvGulliv-R"/>
                <w:sz w:val="18"/>
                <w:szCs w:val="18"/>
                <w:lang w:val="en-CA" w:eastAsia="en-CA"/>
              </w:rPr>
              <w:t>14.62</w:t>
            </w:r>
          </w:p>
        </w:tc>
        <w:tc>
          <w:tcPr>
            <w:tcW w:w="709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AdvGulliv-R"/>
                <w:sz w:val="18"/>
                <w:szCs w:val="18"/>
                <w:lang w:val="en-CA" w:eastAsia="en-CA"/>
              </w:rPr>
            </w:pPr>
            <w:r>
              <w:rPr>
                <w:rFonts w:eastAsia="AdvGulliv-R"/>
                <w:sz w:val="18"/>
                <w:szCs w:val="18"/>
                <w:lang w:val="en-CA" w:eastAsia="en-CA"/>
              </w:rPr>
              <w:t>75</w:t>
            </w:r>
          </w:p>
        </w:tc>
        <w:tc>
          <w:tcPr>
            <w:tcW w:w="708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AdvGulliv-R"/>
                <w:sz w:val="18"/>
                <w:szCs w:val="18"/>
                <w:lang w:val="en-CA" w:eastAsia="en-CA"/>
              </w:rPr>
            </w:pPr>
            <w:r>
              <w:rPr>
                <w:rFonts w:eastAsia="AdvGulliv-R"/>
                <w:sz w:val="18"/>
                <w:szCs w:val="18"/>
                <w:lang w:val="en-CA" w:eastAsia="en-CA"/>
              </w:rPr>
              <w:t>9.43</w:t>
            </w:r>
          </w:p>
        </w:tc>
        <w:tc>
          <w:tcPr>
            <w:tcW w:w="709" w:type="dxa"/>
            <w:tcBorders>
              <w:top w:val="nil"/>
              <w:left w:val="dotted" w:color="auto" w:sz="4" w:space="0"/>
              <w:bottom w:val="nil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AdvGulliv-R"/>
                <w:sz w:val="18"/>
                <w:szCs w:val="18"/>
                <w:lang w:val="en-CA" w:eastAsia="en-CA"/>
              </w:rPr>
            </w:pPr>
            <w:r>
              <w:rPr>
                <w:rFonts w:eastAsia="AdvGulliv-R"/>
                <w:sz w:val="18"/>
                <w:szCs w:val="18"/>
                <w:lang w:val="en-CA" w:eastAsia="en-CA"/>
              </w:rPr>
              <w:t>2014</w:t>
            </w:r>
          </w:p>
        </w:tc>
        <w:tc>
          <w:tcPr>
            <w:tcW w:w="1134" w:type="dxa"/>
            <w:tcBorders>
              <w:top w:val="nil"/>
              <w:left w:val="dotted" w:color="auto" w:sz="4" w:space="0"/>
              <w:bottom w:val="nil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AdvGulliv-R"/>
                <w:color w:val="0070C0"/>
                <w:sz w:val="18"/>
                <w:szCs w:val="18"/>
                <w:lang w:val="en-CA" w:eastAsia="en-CA"/>
              </w:rPr>
            </w:pPr>
            <w:r>
              <w:rPr>
                <w:rFonts w:eastAsia="AdvGulliv-R"/>
                <w:color w:val="0070C0"/>
                <w:sz w:val="18"/>
                <w:szCs w:val="18"/>
                <w:lang w:val="en-CA" w:eastAsia="en-CA"/>
              </w:rPr>
              <w:t>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261" w:type="dxa"/>
            <w:tcBorders>
              <w:top w:val="nil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AdvGulliv-R"/>
                <w:sz w:val="18"/>
                <w:szCs w:val="18"/>
                <w:lang w:val="en-CA" w:eastAsia="en-CA"/>
              </w:rPr>
            </w:pPr>
            <w:r>
              <w:rPr>
                <w:rFonts w:eastAsia="AdvGulliv-R"/>
                <w:sz w:val="18"/>
                <w:szCs w:val="18"/>
                <w:lang w:val="en-CA" w:eastAsia="en-CA"/>
              </w:rPr>
              <w:t>PET/ITO/am-TiO</w:t>
            </w:r>
            <w:r>
              <w:rPr>
                <w:rFonts w:eastAsia="AdvGulliv-R"/>
                <w:sz w:val="18"/>
                <w:szCs w:val="18"/>
                <w:vertAlign w:val="subscript"/>
                <w:lang w:val="en-CA" w:eastAsia="en-CA"/>
              </w:rPr>
              <w:t>2</w:t>
            </w:r>
            <w:r>
              <w:rPr>
                <w:rFonts w:eastAsia="AdvGulliv-R"/>
                <w:sz w:val="18"/>
                <w:szCs w:val="18"/>
                <w:lang w:val="en-CA" w:eastAsia="en-CA"/>
              </w:rPr>
              <w:t xml:space="preserve"> /Perovskite/Spiro-OMeTAD/Au</w:t>
            </w:r>
          </w:p>
        </w:tc>
        <w:tc>
          <w:tcPr>
            <w:tcW w:w="992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AdvGulliv-R"/>
                <w:sz w:val="18"/>
                <w:szCs w:val="18"/>
                <w:lang w:val="en-CA" w:eastAsia="en-CA"/>
              </w:rPr>
            </w:pPr>
            <w:r>
              <w:rPr>
                <w:rFonts w:eastAsia="AdvGulliv-R"/>
                <w:sz w:val="18"/>
                <w:szCs w:val="18"/>
                <w:lang w:val="en-CA" w:eastAsia="en-CA"/>
              </w:rPr>
              <w:t>N-I-P</w:t>
            </w:r>
          </w:p>
        </w:tc>
        <w:tc>
          <w:tcPr>
            <w:tcW w:w="709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AdvGulliv-R"/>
                <w:sz w:val="18"/>
                <w:szCs w:val="18"/>
                <w:lang w:val="en-CA" w:eastAsia="en-CA"/>
              </w:rPr>
            </w:pPr>
            <w:r>
              <w:rPr>
                <w:rFonts w:eastAsia="AdvGulliv-R"/>
                <w:sz w:val="18"/>
                <w:szCs w:val="18"/>
                <w:lang w:val="en-CA" w:eastAsia="en-CA"/>
              </w:rPr>
              <w:t>1.03</w:t>
            </w:r>
          </w:p>
        </w:tc>
        <w:tc>
          <w:tcPr>
            <w:tcW w:w="1134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AdvGulliv-R"/>
                <w:sz w:val="18"/>
                <w:szCs w:val="18"/>
                <w:lang w:val="en-CA" w:eastAsia="en-CA"/>
              </w:rPr>
            </w:pPr>
            <w:r>
              <w:rPr>
                <w:rFonts w:eastAsia="AdvGulliv-R"/>
                <w:sz w:val="18"/>
                <w:szCs w:val="18"/>
                <w:lang w:val="en-CA" w:eastAsia="en-CA"/>
              </w:rPr>
              <w:t>20.9</w:t>
            </w:r>
          </w:p>
        </w:tc>
        <w:tc>
          <w:tcPr>
            <w:tcW w:w="709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AdvGulliv-R"/>
                <w:sz w:val="18"/>
                <w:szCs w:val="18"/>
                <w:lang w:val="en-CA" w:eastAsia="en-CA"/>
              </w:rPr>
            </w:pPr>
            <w:r>
              <w:rPr>
                <w:rFonts w:eastAsia="AdvGulliv-R"/>
                <w:sz w:val="18"/>
                <w:szCs w:val="18"/>
                <w:lang w:val="en-CA" w:eastAsia="en-CA"/>
              </w:rPr>
              <w:t>70</w:t>
            </w:r>
          </w:p>
        </w:tc>
        <w:tc>
          <w:tcPr>
            <w:tcW w:w="708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AdvGulliv-R"/>
                <w:sz w:val="18"/>
                <w:szCs w:val="18"/>
                <w:lang w:val="en-CA" w:eastAsia="en-CA"/>
              </w:rPr>
            </w:pPr>
            <w:r>
              <w:rPr>
                <w:rFonts w:eastAsia="AdvGulliv-R"/>
                <w:sz w:val="18"/>
                <w:szCs w:val="18"/>
                <w:lang w:val="en-CA" w:eastAsia="en-CA"/>
              </w:rPr>
              <w:t>15.07</w:t>
            </w:r>
          </w:p>
        </w:tc>
        <w:tc>
          <w:tcPr>
            <w:tcW w:w="709" w:type="dxa"/>
            <w:tcBorders>
              <w:top w:val="nil"/>
              <w:left w:val="dotted" w:color="auto" w:sz="4" w:space="0"/>
              <w:bottom w:val="nil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AdvGulliv-R"/>
                <w:sz w:val="18"/>
                <w:szCs w:val="18"/>
                <w:lang w:val="en-CA" w:eastAsia="en-CA"/>
              </w:rPr>
            </w:pPr>
            <w:r>
              <w:rPr>
                <w:rFonts w:eastAsia="AdvGulliv-R"/>
                <w:sz w:val="18"/>
                <w:szCs w:val="18"/>
                <w:lang w:val="en-CA" w:eastAsia="en-CA"/>
              </w:rPr>
              <w:t>2015</w:t>
            </w:r>
          </w:p>
        </w:tc>
        <w:tc>
          <w:tcPr>
            <w:tcW w:w="1134" w:type="dxa"/>
            <w:tcBorders>
              <w:top w:val="nil"/>
              <w:left w:val="dotted" w:color="auto" w:sz="4" w:space="0"/>
              <w:bottom w:val="nil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AdvGulliv-R"/>
                <w:color w:val="0070C0"/>
                <w:sz w:val="18"/>
                <w:szCs w:val="18"/>
                <w:lang w:val="en-CA" w:eastAsia="en-CA"/>
              </w:rPr>
            </w:pPr>
            <w:r>
              <w:rPr>
                <w:rFonts w:eastAsia="AdvGulliv-R"/>
                <w:color w:val="0070C0"/>
                <w:sz w:val="18"/>
                <w:szCs w:val="18"/>
                <w:lang w:val="en-CA" w:eastAsia="en-CA"/>
              </w:rPr>
              <w:t>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261" w:type="dxa"/>
            <w:tcBorders>
              <w:top w:val="nil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AdvGulliv-R"/>
                <w:sz w:val="18"/>
                <w:szCs w:val="18"/>
                <w:lang w:val="en-CA" w:eastAsia="en-CA"/>
              </w:rPr>
            </w:pPr>
            <w:r>
              <w:rPr>
                <w:rFonts w:eastAsia="AdvGulliv-R"/>
                <w:sz w:val="18"/>
                <w:szCs w:val="18"/>
                <w:lang w:val="en-CA" w:eastAsia="en-CA"/>
              </w:rPr>
              <w:t>Willow glass/ITO/ZnO/Perov-</w:t>
            </w:r>
          </w:p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AdvGulliv-R"/>
                <w:sz w:val="18"/>
                <w:szCs w:val="18"/>
                <w:lang w:val="en-CA" w:eastAsia="en-CA"/>
              </w:rPr>
            </w:pPr>
            <w:r>
              <w:rPr>
                <w:rFonts w:eastAsia="AdvGulliv-R"/>
                <w:sz w:val="18"/>
                <w:szCs w:val="18"/>
                <w:lang w:val="en-CA" w:eastAsia="en-CA"/>
              </w:rPr>
              <w:t>skite/Spiro-OMeTAD/Au</w:t>
            </w:r>
          </w:p>
        </w:tc>
        <w:tc>
          <w:tcPr>
            <w:tcW w:w="992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AdvGulliv-R"/>
                <w:sz w:val="18"/>
                <w:szCs w:val="18"/>
                <w:lang w:val="en-CA" w:eastAsia="en-CA"/>
              </w:rPr>
            </w:pPr>
            <w:r>
              <w:rPr>
                <w:rFonts w:eastAsia="AdvGulliv-R"/>
                <w:sz w:val="18"/>
                <w:szCs w:val="18"/>
                <w:lang w:val="en-CA" w:eastAsia="en-CA"/>
              </w:rPr>
              <w:t>N-I-P</w:t>
            </w:r>
          </w:p>
        </w:tc>
        <w:tc>
          <w:tcPr>
            <w:tcW w:w="709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AdvGulliv-R"/>
                <w:sz w:val="18"/>
                <w:szCs w:val="18"/>
                <w:lang w:val="en-CA" w:eastAsia="en-CA"/>
              </w:rPr>
            </w:pPr>
            <w:r>
              <w:rPr>
                <w:rFonts w:eastAsia="AdvGulliv-R"/>
                <w:sz w:val="18"/>
                <w:szCs w:val="18"/>
                <w:lang w:val="en-CA" w:eastAsia="en-CA"/>
              </w:rPr>
              <w:t>0.98</w:t>
            </w:r>
          </w:p>
        </w:tc>
        <w:tc>
          <w:tcPr>
            <w:tcW w:w="1134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AdvGulliv-R"/>
                <w:sz w:val="18"/>
                <w:szCs w:val="18"/>
                <w:lang w:val="en-CA" w:eastAsia="en-CA"/>
              </w:rPr>
            </w:pPr>
            <w:r>
              <w:rPr>
                <w:rFonts w:eastAsia="AdvGulliv-R"/>
                <w:sz w:val="18"/>
                <w:szCs w:val="18"/>
                <w:lang w:val="en-CA" w:eastAsia="en-CA"/>
              </w:rPr>
              <w:t>19.3</w:t>
            </w:r>
          </w:p>
        </w:tc>
        <w:tc>
          <w:tcPr>
            <w:tcW w:w="709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AdvGulliv-R"/>
                <w:sz w:val="18"/>
                <w:szCs w:val="18"/>
                <w:lang w:val="en-CA" w:eastAsia="en-CA"/>
              </w:rPr>
            </w:pPr>
            <w:r>
              <w:rPr>
                <w:rFonts w:eastAsia="AdvGulliv-R"/>
                <w:sz w:val="18"/>
                <w:szCs w:val="18"/>
                <w:lang w:val="en-CA" w:eastAsia="en-CA"/>
              </w:rPr>
              <w:t>69</w:t>
            </w:r>
          </w:p>
        </w:tc>
        <w:tc>
          <w:tcPr>
            <w:tcW w:w="708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AdvGulliv-R"/>
                <w:sz w:val="18"/>
                <w:szCs w:val="18"/>
                <w:lang w:val="en-CA" w:eastAsia="en-CA"/>
              </w:rPr>
            </w:pPr>
            <w:r>
              <w:rPr>
                <w:rFonts w:eastAsia="AdvGulliv-R"/>
                <w:sz w:val="18"/>
                <w:szCs w:val="18"/>
                <w:lang w:val="en-CA" w:eastAsia="en-CA"/>
              </w:rPr>
              <w:t>13.14</w:t>
            </w:r>
          </w:p>
        </w:tc>
        <w:tc>
          <w:tcPr>
            <w:tcW w:w="709" w:type="dxa"/>
            <w:tcBorders>
              <w:top w:val="nil"/>
              <w:left w:val="dotted" w:color="auto" w:sz="4" w:space="0"/>
              <w:bottom w:val="nil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AdvGulliv-R"/>
                <w:sz w:val="18"/>
                <w:szCs w:val="18"/>
                <w:lang w:val="en-CA" w:eastAsia="en-CA"/>
              </w:rPr>
            </w:pPr>
            <w:r>
              <w:rPr>
                <w:rFonts w:eastAsia="AdvGulliv-R"/>
                <w:sz w:val="18"/>
                <w:szCs w:val="18"/>
                <w:lang w:val="en-CA" w:eastAsia="en-CA"/>
              </w:rPr>
              <w:t>2015</w:t>
            </w:r>
          </w:p>
        </w:tc>
        <w:tc>
          <w:tcPr>
            <w:tcW w:w="1134" w:type="dxa"/>
            <w:tcBorders>
              <w:top w:val="nil"/>
              <w:left w:val="dotted" w:color="auto" w:sz="4" w:space="0"/>
              <w:bottom w:val="nil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AdvGulliv-R"/>
                <w:color w:val="0070C0"/>
                <w:sz w:val="18"/>
                <w:szCs w:val="18"/>
                <w:lang w:val="en-CA" w:eastAsia="en-CA"/>
              </w:rPr>
            </w:pPr>
            <w:r>
              <w:rPr>
                <w:rFonts w:eastAsia="AdvGulliv-R"/>
                <w:color w:val="0070C0"/>
                <w:sz w:val="18"/>
                <w:szCs w:val="18"/>
                <w:lang w:val="en-CA" w:eastAsia="en-CA"/>
              </w:rPr>
              <w:t>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261" w:type="dxa"/>
            <w:tcBorders>
              <w:top w:val="nil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AdvGulliv-R"/>
                <w:sz w:val="18"/>
                <w:szCs w:val="18"/>
                <w:lang w:val="en-CA" w:eastAsia="en-CA"/>
              </w:rPr>
            </w:pPr>
            <w:r>
              <w:rPr>
                <w:rFonts w:eastAsia="AdvGulliv-R"/>
                <w:sz w:val="18"/>
                <w:szCs w:val="18"/>
                <w:lang w:val="en-CA" w:eastAsia="en-CA"/>
              </w:rPr>
              <w:t>PET/ITO/TiO</w:t>
            </w:r>
            <w:r>
              <w:rPr>
                <w:rFonts w:eastAsia="AdvGulliv-R"/>
                <w:sz w:val="18"/>
                <w:szCs w:val="18"/>
                <w:vertAlign w:val="subscript"/>
                <w:lang w:val="en-CA" w:eastAsia="en-CA"/>
              </w:rPr>
              <w:t>2</w:t>
            </w:r>
            <w:r>
              <w:rPr>
                <w:rFonts w:eastAsia="AdvGulliv-R"/>
                <w:sz w:val="18"/>
                <w:szCs w:val="18"/>
                <w:lang w:val="en-CA" w:eastAsia="en-CA"/>
              </w:rPr>
              <w:t>/Nb</w:t>
            </w:r>
            <w:r>
              <w:rPr>
                <w:rFonts w:eastAsia="宋体"/>
                <w:sz w:val="18"/>
                <w:szCs w:val="18"/>
                <w:lang w:val="en-CA" w:eastAsia="en-CA"/>
              </w:rPr>
              <w:t>:</w:t>
            </w:r>
            <w:r>
              <w:rPr>
                <w:rFonts w:eastAsia="AdvGulliv-R"/>
                <w:sz w:val="18"/>
                <w:szCs w:val="18"/>
                <w:lang w:val="en-CA" w:eastAsia="en-CA"/>
              </w:rPr>
              <w:t>TiO</w:t>
            </w:r>
            <w:r>
              <w:rPr>
                <w:rFonts w:eastAsia="AdvGulliv-R"/>
                <w:sz w:val="18"/>
                <w:szCs w:val="18"/>
                <w:vertAlign w:val="subscript"/>
                <w:lang w:val="en-CA" w:eastAsia="en-CA"/>
              </w:rPr>
              <w:t>2</w:t>
            </w:r>
            <w:r>
              <w:rPr>
                <w:rFonts w:eastAsia="AdvGulliv-R"/>
                <w:sz w:val="18"/>
                <w:szCs w:val="18"/>
                <w:lang w:val="en-CA" w:eastAsia="en-CA"/>
              </w:rPr>
              <w:t>/Perovs-</w:t>
            </w:r>
          </w:p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AdvGulliv-R"/>
                <w:sz w:val="18"/>
                <w:szCs w:val="18"/>
                <w:lang w:val="en-CA" w:eastAsia="en-CA"/>
              </w:rPr>
            </w:pPr>
            <w:r>
              <w:rPr>
                <w:rFonts w:eastAsia="AdvGulliv-R"/>
                <w:sz w:val="18"/>
                <w:szCs w:val="18"/>
                <w:lang w:val="en-CA" w:eastAsia="en-CA"/>
              </w:rPr>
              <w:t>kite/Spiro-OMeTAD/Au</w:t>
            </w:r>
          </w:p>
        </w:tc>
        <w:tc>
          <w:tcPr>
            <w:tcW w:w="992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AdvGulliv-R"/>
                <w:sz w:val="18"/>
                <w:szCs w:val="18"/>
                <w:lang w:val="en-CA" w:eastAsia="en-CA"/>
              </w:rPr>
            </w:pPr>
            <w:r>
              <w:rPr>
                <w:rFonts w:eastAsia="AdvGulliv-R"/>
                <w:sz w:val="18"/>
                <w:szCs w:val="18"/>
                <w:lang w:val="en-CA" w:eastAsia="en-CA"/>
              </w:rPr>
              <w:t>N-I-P</w:t>
            </w:r>
          </w:p>
        </w:tc>
        <w:tc>
          <w:tcPr>
            <w:tcW w:w="709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en-CA"/>
              </w:rPr>
            </w:pPr>
            <w:r>
              <w:rPr>
                <w:rFonts w:eastAsia="宋体"/>
                <w:sz w:val="18"/>
                <w:szCs w:val="18"/>
                <w:lang w:val="en-CA" w:eastAsia="en-CA"/>
              </w:rPr>
              <w:t>1.04</w:t>
            </w:r>
          </w:p>
        </w:tc>
        <w:tc>
          <w:tcPr>
            <w:tcW w:w="1134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en-CA"/>
              </w:rPr>
            </w:pPr>
            <w:r>
              <w:rPr>
                <w:rFonts w:eastAsia="宋体"/>
                <w:sz w:val="18"/>
                <w:szCs w:val="18"/>
                <w:lang w:val="en-CA" w:eastAsia="en-CA"/>
              </w:rPr>
              <w:t>20.20</w:t>
            </w:r>
          </w:p>
        </w:tc>
        <w:tc>
          <w:tcPr>
            <w:tcW w:w="709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en-CA"/>
              </w:rPr>
            </w:pPr>
            <w:r>
              <w:rPr>
                <w:rFonts w:eastAsia="宋体"/>
                <w:sz w:val="18"/>
                <w:szCs w:val="18"/>
                <w:lang w:val="en-CA" w:eastAsia="en-CA"/>
              </w:rPr>
              <w:t>766</w:t>
            </w:r>
          </w:p>
        </w:tc>
        <w:tc>
          <w:tcPr>
            <w:tcW w:w="708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en-CA"/>
              </w:rPr>
            </w:pPr>
            <w:r>
              <w:rPr>
                <w:rFonts w:eastAsia="宋体"/>
                <w:sz w:val="18"/>
                <w:szCs w:val="18"/>
                <w:lang w:val="en-CA" w:eastAsia="en-CA"/>
              </w:rPr>
              <w:t>16.01</w:t>
            </w:r>
          </w:p>
        </w:tc>
        <w:tc>
          <w:tcPr>
            <w:tcW w:w="709" w:type="dxa"/>
            <w:tcBorders>
              <w:top w:val="nil"/>
              <w:left w:val="dotted" w:color="auto" w:sz="4" w:space="0"/>
              <w:bottom w:val="nil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en-CA"/>
              </w:rPr>
            </w:pPr>
            <w:r>
              <w:rPr>
                <w:rFonts w:eastAsia="宋体"/>
                <w:sz w:val="18"/>
                <w:szCs w:val="18"/>
                <w:lang w:val="en-CA" w:eastAsia="en-CA"/>
              </w:rPr>
              <w:t>2016</w:t>
            </w:r>
          </w:p>
        </w:tc>
        <w:tc>
          <w:tcPr>
            <w:tcW w:w="1134" w:type="dxa"/>
            <w:tcBorders>
              <w:top w:val="nil"/>
              <w:left w:val="dotted" w:color="auto" w:sz="4" w:space="0"/>
              <w:bottom w:val="nil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color w:val="0070C0"/>
                <w:sz w:val="18"/>
                <w:szCs w:val="18"/>
                <w:lang w:val="en-CA" w:eastAsia="en-CA"/>
              </w:rPr>
            </w:pPr>
            <w:r>
              <w:rPr>
                <w:rFonts w:eastAsia="宋体"/>
                <w:color w:val="0070C0"/>
                <w:sz w:val="18"/>
                <w:szCs w:val="18"/>
                <w:lang w:val="en-CA" w:eastAsia="en-CA"/>
              </w:rPr>
              <w:t>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261" w:type="dxa"/>
            <w:tcBorders>
              <w:top w:val="nil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AdvGulliv-R"/>
                <w:sz w:val="18"/>
                <w:szCs w:val="18"/>
                <w:lang w:val="en-CA" w:eastAsia="en-CA"/>
              </w:rPr>
            </w:pPr>
            <w:r>
              <w:rPr>
                <w:rFonts w:eastAsia="AdvGulliv-R"/>
                <w:sz w:val="18"/>
                <w:szCs w:val="18"/>
                <w:lang w:val="en-CA" w:eastAsia="en-CA"/>
              </w:rPr>
              <w:t>PET/ITO/SnO</w:t>
            </w:r>
            <w:r>
              <w:rPr>
                <w:rFonts w:eastAsia="AdvGulliv-R"/>
                <w:sz w:val="18"/>
                <w:szCs w:val="18"/>
                <w:vertAlign w:val="subscript"/>
                <w:lang w:val="en-CA" w:eastAsia="en-CA"/>
              </w:rPr>
              <w:t>2</w:t>
            </w:r>
            <w:r>
              <w:rPr>
                <w:rFonts w:eastAsia="AdvGulliv-R"/>
                <w:sz w:val="18"/>
                <w:szCs w:val="18"/>
                <w:lang w:val="en-CA" w:eastAsia="en-CA"/>
              </w:rPr>
              <w:t>/C60-SAM</w:t>
            </w:r>
          </w:p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AdvGulliv-R"/>
                <w:sz w:val="18"/>
                <w:szCs w:val="18"/>
                <w:lang w:val="en-CA" w:eastAsia="en-CA"/>
              </w:rPr>
            </w:pPr>
            <w:r>
              <w:rPr>
                <w:rFonts w:eastAsia="AdvGulliv-R"/>
                <w:sz w:val="18"/>
                <w:szCs w:val="18"/>
                <w:lang w:val="en-CA" w:eastAsia="en-CA"/>
              </w:rPr>
              <w:t>/perovskite/spiro-OMeTAD/Au,</w:t>
            </w:r>
          </w:p>
        </w:tc>
        <w:tc>
          <w:tcPr>
            <w:tcW w:w="992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AdvGulliv-R"/>
                <w:sz w:val="18"/>
                <w:szCs w:val="18"/>
                <w:lang w:val="en-CA" w:eastAsia="en-CA"/>
              </w:rPr>
            </w:pPr>
            <w:r>
              <w:rPr>
                <w:rFonts w:eastAsia="AdvGulliv-R"/>
                <w:sz w:val="18"/>
                <w:szCs w:val="18"/>
                <w:lang w:val="en-CA" w:eastAsia="en-CA"/>
              </w:rPr>
              <w:t>N-I-P</w:t>
            </w:r>
          </w:p>
        </w:tc>
        <w:tc>
          <w:tcPr>
            <w:tcW w:w="709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AdvGulliv-R"/>
                <w:sz w:val="18"/>
                <w:szCs w:val="18"/>
                <w:lang w:val="en-CA" w:eastAsia="en-CA"/>
              </w:rPr>
            </w:pPr>
            <w:r>
              <w:rPr>
                <w:rFonts w:eastAsia="AdvGulliv-R"/>
                <w:sz w:val="18"/>
                <w:szCs w:val="18"/>
                <w:lang w:val="en-CA" w:eastAsia="en-CA"/>
              </w:rPr>
              <w:t>1.101</w:t>
            </w:r>
          </w:p>
        </w:tc>
        <w:tc>
          <w:tcPr>
            <w:tcW w:w="1134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AdvGulliv-R"/>
                <w:sz w:val="18"/>
                <w:szCs w:val="18"/>
                <w:lang w:val="en-CA" w:eastAsia="en-CA"/>
              </w:rPr>
            </w:pPr>
            <w:r>
              <w:rPr>
                <w:rFonts w:eastAsia="AdvGulliv-R"/>
                <w:sz w:val="18"/>
                <w:szCs w:val="18"/>
                <w:lang w:val="en-CA" w:eastAsia="en-CA"/>
              </w:rPr>
              <w:t>22.11</w:t>
            </w:r>
          </w:p>
        </w:tc>
        <w:tc>
          <w:tcPr>
            <w:tcW w:w="709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AdvGulliv-R"/>
                <w:sz w:val="18"/>
                <w:szCs w:val="18"/>
                <w:lang w:val="en-CA" w:eastAsia="en-CA"/>
              </w:rPr>
            </w:pPr>
            <w:r>
              <w:rPr>
                <w:rFonts w:eastAsia="AdvGulliv-R"/>
                <w:sz w:val="18"/>
                <w:szCs w:val="18"/>
                <w:lang w:val="en-CA" w:eastAsia="en-CA"/>
              </w:rPr>
              <w:t>75.42</w:t>
            </w:r>
          </w:p>
        </w:tc>
        <w:tc>
          <w:tcPr>
            <w:tcW w:w="708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AdvGulliv-R"/>
                <w:sz w:val="18"/>
                <w:szCs w:val="18"/>
                <w:lang w:val="en-CA" w:eastAsia="en-CA"/>
              </w:rPr>
            </w:pPr>
            <w:r>
              <w:rPr>
                <w:rFonts w:eastAsia="AdvGulliv-R"/>
                <w:sz w:val="18"/>
                <w:szCs w:val="18"/>
                <w:lang w:val="en-CA" w:eastAsia="en-CA"/>
              </w:rPr>
              <w:t>18.36</w:t>
            </w:r>
          </w:p>
        </w:tc>
        <w:tc>
          <w:tcPr>
            <w:tcW w:w="709" w:type="dxa"/>
            <w:tcBorders>
              <w:top w:val="nil"/>
              <w:left w:val="dotted" w:color="auto" w:sz="4" w:space="0"/>
              <w:bottom w:val="nil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AdvGulliv-R"/>
                <w:sz w:val="18"/>
                <w:szCs w:val="18"/>
                <w:lang w:val="en-CA" w:eastAsia="en-CA"/>
              </w:rPr>
            </w:pPr>
            <w:r>
              <w:rPr>
                <w:rFonts w:eastAsia="AdvGulliv-R"/>
                <w:sz w:val="18"/>
                <w:szCs w:val="18"/>
                <w:lang w:val="en-CA" w:eastAsia="en-CA"/>
              </w:rPr>
              <w:t>2017</w:t>
            </w:r>
          </w:p>
        </w:tc>
        <w:tc>
          <w:tcPr>
            <w:tcW w:w="1134" w:type="dxa"/>
            <w:tcBorders>
              <w:top w:val="nil"/>
              <w:left w:val="dotted" w:color="auto" w:sz="4" w:space="0"/>
              <w:bottom w:val="nil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AdvGulliv-R"/>
                <w:color w:val="0070C0"/>
                <w:sz w:val="18"/>
                <w:szCs w:val="18"/>
                <w:lang w:val="en-CA" w:eastAsia="en-CA"/>
              </w:rPr>
            </w:pPr>
            <w:r>
              <w:rPr>
                <w:rFonts w:eastAsia="AdvGulliv-R"/>
                <w:color w:val="0070C0"/>
                <w:sz w:val="18"/>
                <w:szCs w:val="18"/>
                <w:lang w:val="en-CA" w:eastAsia="en-CA"/>
              </w:rPr>
              <w:t>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261" w:type="dxa"/>
            <w:tcBorders>
              <w:top w:val="nil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AdvGulliv-R"/>
                <w:sz w:val="18"/>
                <w:szCs w:val="18"/>
                <w:lang w:val="en-CA" w:eastAsia="en-CA"/>
              </w:rPr>
            </w:pPr>
            <w:r>
              <w:rPr>
                <w:rFonts w:eastAsia="AdvGulliv-R"/>
                <w:sz w:val="18"/>
                <w:szCs w:val="18"/>
                <w:lang w:val="en-CA" w:eastAsia="en-CA"/>
              </w:rPr>
              <w:t>PET/ITO/PTAA/Perovskite/Fullerene/BCP/Cu</w:t>
            </w:r>
          </w:p>
        </w:tc>
        <w:tc>
          <w:tcPr>
            <w:tcW w:w="992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AdvGulliv-R"/>
                <w:sz w:val="18"/>
                <w:szCs w:val="18"/>
                <w:lang w:val="en-CA" w:eastAsia="en-CA"/>
              </w:rPr>
            </w:pPr>
            <w:r>
              <w:rPr>
                <w:rFonts w:eastAsia="AdvGulliv-R"/>
                <w:sz w:val="18"/>
                <w:szCs w:val="18"/>
                <w:lang w:val="en-CA" w:eastAsia="en-CA"/>
              </w:rPr>
              <w:t>P-I-N</w:t>
            </w:r>
          </w:p>
        </w:tc>
        <w:tc>
          <w:tcPr>
            <w:tcW w:w="709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AdvGulliv-R"/>
                <w:sz w:val="18"/>
                <w:szCs w:val="18"/>
                <w:lang w:val="en-CA" w:eastAsia="en-CA"/>
              </w:rPr>
            </w:pPr>
            <w:r>
              <w:rPr>
                <w:rFonts w:eastAsia="AdvGulliv-R"/>
                <w:sz w:val="18"/>
                <w:szCs w:val="18"/>
                <w:lang w:val="en-CA" w:eastAsia="en-CA"/>
              </w:rPr>
              <w:t>1.06</w:t>
            </w:r>
          </w:p>
        </w:tc>
        <w:tc>
          <w:tcPr>
            <w:tcW w:w="1134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AdvGulliv-R"/>
                <w:sz w:val="18"/>
                <w:szCs w:val="18"/>
                <w:lang w:val="en-CA" w:eastAsia="en-CA"/>
              </w:rPr>
            </w:pPr>
            <w:r>
              <w:rPr>
                <w:rFonts w:eastAsia="AdvGulliv-R"/>
                <w:sz w:val="18"/>
                <w:szCs w:val="18"/>
                <w:lang w:val="en-CA" w:eastAsia="en-CA"/>
              </w:rPr>
              <w:t>22.8</w:t>
            </w:r>
          </w:p>
        </w:tc>
        <w:tc>
          <w:tcPr>
            <w:tcW w:w="709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AdvGulliv-R"/>
                <w:sz w:val="18"/>
                <w:szCs w:val="18"/>
                <w:lang w:val="en-CA" w:eastAsia="en-CA"/>
              </w:rPr>
            </w:pPr>
            <w:r>
              <w:rPr>
                <w:rFonts w:eastAsia="AdvGulliv-R"/>
                <w:sz w:val="18"/>
                <w:szCs w:val="18"/>
                <w:lang w:val="en-CA" w:eastAsia="en-CA"/>
              </w:rPr>
              <w:t>74.6</w:t>
            </w:r>
          </w:p>
        </w:tc>
        <w:tc>
          <w:tcPr>
            <w:tcW w:w="708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AdvGulliv-R"/>
                <w:sz w:val="18"/>
                <w:szCs w:val="18"/>
                <w:lang w:val="en-CA" w:eastAsia="en-CA"/>
              </w:rPr>
            </w:pPr>
            <w:r>
              <w:rPr>
                <w:rFonts w:eastAsia="AdvGulliv-R"/>
                <w:sz w:val="18"/>
                <w:szCs w:val="18"/>
                <w:lang w:val="en-CA" w:eastAsia="en-CA"/>
              </w:rPr>
              <w:t>18.1</w:t>
            </w:r>
          </w:p>
        </w:tc>
        <w:tc>
          <w:tcPr>
            <w:tcW w:w="709" w:type="dxa"/>
            <w:tcBorders>
              <w:top w:val="nil"/>
              <w:left w:val="dotted" w:color="auto" w:sz="4" w:space="0"/>
              <w:bottom w:val="nil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AdvGulliv-R"/>
                <w:sz w:val="18"/>
                <w:szCs w:val="18"/>
                <w:lang w:val="en-CA" w:eastAsia="en-CA"/>
              </w:rPr>
            </w:pPr>
            <w:r>
              <w:rPr>
                <w:rFonts w:eastAsia="AdvGulliv-R"/>
                <w:sz w:val="18"/>
                <w:szCs w:val="18"/>
                <w:lang w:val="en-CA" w:eastAsia="en-CA"/>
              </w:rPr>
              <w:t>2017</w:t>
            </w:r>
          </w:p>
        </w:tc>
        <w:tc>
          <w:tcPr>
            <w:tcW w:w="1134" w:type="dxa"/>
            <w:tcBorders>
              <w:top w:val="nil"/>
              <w:left w:val="dotted" w:color="auto" w:sz="4" w:space="0"/>
              <w:bottom w:val="nil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AdvGulliv-R"/>
                <w:color w:val="0070C0"/>
                <w:sz w:val="18"/>
                <w:szCs w:val="18"/>
                <w:lang w:val="en-CA" w:eastAsia="en-CA"/>
              </w:rPr>
            </w:pPr>
            <w:r>
              <w:rPr>
                <w:rFonts w:eastAsia="AdvGulliv-R"/>
                <w:color w:val="0070C0"/>
                <w:sz w:val="18"/>
                <w:szCs w:val="18"/>
                <w:lang w:val="en-CA" w:eastAsia="en-CA"/>
              </w:rPr>
              <w:t>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261" w:type="dxa"/>
            <w:tcBorders>
              <w:top w:val="nil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AdvGulliv-R"/>
                <w:sz w:val="18"/>
                <w:szCs w:val="18"/>
                <w:lang w:val="en-CA" w:eastAsia="en-CA"/>
              </w:rPr>
            </w:pPr>
            <w:r>
              <w:rPr>
                <w:rFonts w:eastAsia="AdvGulliv-R"/>
                <w:sz w:val="18"/>
                <w:szCs w:val="18"/>
                <w:lang w:val="en-CA" w:eastAsia="en-CA"/>
              </w:rPr>
              <w:t>PEN/ITO/m-TiO</w:t>
            </w:r>
            <w:r>
              <w:rPr>
                <w:rFonts w:eastAsia="AdvGulliv-R"/>
                <w:sz w:val="18"/>
                <w:szCs w:val="18"/>
                <w:vertAlign w:val="subscript"/>
                <w:lang w:val="en-CA" w:eastAsia="en-CA"/>
              </w:rPr>
              <w:t>2</w:t>
            </w:r>
            <w:r>
              <w:rPr>
                <w:rFonts w:eastAsia="AdvGulliv-R"/>
                <w:sz w:val="18"/>
                <w:szCs w:val="18"/>
                <w:lang w:val="en-CA" w:eastAsia="en-CA"/>
              </w:rPr>
              <w:t>/Perovskite</w:t>
            </w:r>
          </w:p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AdvGulliv-R"/>
                <w:sz w:val="18"/>
                <w:szCs w:val="18"/>
                <w:lang w:val="en-CA" w:eastAsia="en-CA"/>
              </w:rPr>
            </w:pPr>
            <w:r>
              <w:rPr>
                <w:rFonts w:eastAsia="AdvGulliv-R"/>
                <w:sz w:val="18"/>
                <w:szCs w:val="18"/>
                <w:lang w:val="en-CA" w:eastAsia="en-CA"/>
              </w:rPr>
              <w:t>/Spiro-OMeTAD/Au</w:t>
            </w:r>
          </w:p>
        </w:tc>
        <w:tc>
          <w:tcPr>
            <w:tcW w:w="992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AdvGulliv-R"/>
                <w:sz w:val="18"/>
                <w:szCs w:val="18"/>
                <w:lang w:val="en-CA" w:eastAsia="en-CA"/>
              </w:rPr>
            </w:pPr>
            <w:r>
              <w:rPr>
                <w:rFonts w:eastAsia="AdvGulliv-R"/>
                <w:sz w:val="18"/>
                <w:szCs w:val="18"/>
                <w:lang w:val="en-CA" w:eastAsia="en-CA"/>
              </w:rPr>
              <w:t>N-I-P</w:t>
            </w:r>
          </w:p>
        </w:tc>
        <w:tc>
          <w:tcPr>
            <w:tcW w:w="709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AdvGulliv-R"/>
                <w:sz w:val="18"/>
                <w:szCs w:val="18"/>
                <w:lang w:val="en-CA" w:eastAsia="en-CA"/>
              </w:rPr>
            </w:pPr>
            <w:r>
              <w:rPr>
                <w:rFonts w:eastAsia="AdvGulliv-R"/>
                <w:sz w:val="18"/>
                <w:szCs w:val="18"/>
                <w:lang w:val="en-CA" w:eastAsia="en-CA"/>
              </w:rPr>
              <w:t>1.12</w:t>
            </w:r>
          </w:p>
        </w:tc>
        <w:tc>
          <w:tcPr>
            <w:tcW w:w="1134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AdvGulliv-R"/>
                <w:sz w:val="18"/>
                <w:szCs w:val="18"/>
                <w:lang w:val="en-CA" w:eastAsia="en-CA"/>
              </w:rPr>
            </w:pPr>
            <w:r>
              <w:rPr>
                <w:rFonts w:eastAsia="AdvGulliv-R"/>
                <w:sz w:val="18"/>
                <w:szCs w:val="18"/>
                <w:lang w:val="en-CA" w:eastAsia="en-CA"/>
              </w:rPr>
              <w:t>22.45</w:t>
            </w:r>
          </w:p>
        </w:tc>
        <w:tc>
          <w:tcPr>
            <w:tcW w:w="709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AdvGulliv-R"/>
                <w:sz w:val="18"/>
                <w:szCs w:val="18"/>
                <w:lang w:val="en-CA" w:eastAsia="en-CA"/>
              </w:rPr>
            </w:pPr>
            <w:r>
              <w:rPr>
                <w:rFonts w:eastAsia="AdvGulliv-R"/>
                <w:sz w:val="18"/>
                <w:szCs w:val="18"/>
                <w:lang w:val="en-CA" w:eastAsia="en-CA"/>
              </w:rPr>
              <w:t>70.6</w:t>
            </w:r>
          </w:p>
        </w:tc>
        <w:tc>
          <w:tcPr>
            <w:tcW w:w="708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AdvGulliv-R"/>
                <w:sz w:val="18"/>
                <w:szCs w:val="18"/>
                <w:lang w:val="en-CA" w:eastAsia="en-CA"/>
              </w:rPr>
            </w:pPr>
            <w:r>
              <w:rPr>
                <w:rFonts w:eastAsia="AdvGulliv-R"/>
                <w:sz w:val="18"/>
                <w:szCs w:val="18"/>
                <w:lang w:val="en-CA" w:eastAsia="en-CA"/>
              </w:rPr>
              <w:t>17.69</w:t>
            </w:r>
          </w:p>
        </w:tc>
        <w:tc>
          <w:tcPr>
            <w:tcW w:w="709" w:type="dxa"/>
            <w:tcBorders>
              <w:top w:val="nil"/>
              <w:left w:val="dotted" w:color="auto" w:sz="4" w:space="0"/>
              <w:bottom w:val="nil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AdvGulliv-R"/>
                <w:sz w:val="18"/>
                <w:szCs w:val="18"/>
                <w:lang w:val="en-CA" w:eastAsia="en-CA"/>
              </w:rPr>
            </w:pPr>
            <w:r>
              <w:rPr>
                <w:rFonts w:eastAsia="AdvGulliv-R"/>
                <w:sz w:val="18"/>
                <w:szCs w:val="18"/>
                <w:lang w:val="en-CA" w:eastAsia="en-CA"/>
              </w:rPr>
              <w:t>2018</w:t>
            </w:r>
          </w:p>
        </w:tc>
        <w:tc>
          <w:tcPr>
            <w:tcW w:w="1134" w:type="dxa"/>
            <w:tcBorders>
              <w:top w:val="nil"/>
              <w:left w:val="dotted" w:color="auto" w:sz="4" w:space="0"/>
              <w:bottom w:val="nil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AdvGulliv-R"/>
                <w:color w:val="0070C0"/>
                <w:sz w:val="18"/>
                <w:szCs w:val="18"/>
                <w:lang w:val="en-CA" w:eastAsia="en-CA"/>
              </w:rPr>
            </w:pPr>
            <w:r>
              <w:rPr>
                <w:rFonts w:hint="eastAsia" w:eastAsia="宋体"/>
                <w:color w:val="0070C0"/>
                <w:sz w:val="18"/>
                <w:szCs w:val="18"/>
                <w:lang w:val="en-US" w:eastAsia="zh-CN"/>
              </w:rPr>
              <w:t>1</w:t>
            </w:r>
            <w:r>
              <w:rPr>
                <w:rFonts w:eastAsia="AdvGulliv-R"/>
                <w:color w:val="0070C0"/>
                <w:sz w:val="18"/>
                <w:szCs w:val="18"/>
                <w:lang w:val="en-CA" w:eastAsia="en-CA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261" w:type="dxa"/>
            <w:tcBorders>
              <w:top w:val="nil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AdvGulliv-R"/>
                <w:sz w:val="18"/>
                <w:szCs w:val="18"/>
                <w:lang w:val="en-CA" w:eastAsia="en-CA"/>
              </w:rPr>
            </w:pPr>
            <w:r>
              <w:rPr>
                <w:rFonts w:eastAsia="AdvGulliv-R"/>
                <w:sz w:val="18"/>
                <w:szCs w:val="18"/>
                <w:lang w:val="en-CA" w:eastAsia="en-CA"/>
              </w:rPr>
              <w:t>PDMS/TFSA-doped GR/PEDOT</w:t>
            </w:r>
          </w:p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AdvGulliv-R"/>
                <w:sz w:val="18"/>
                <w:szCs w:val="18"/>
                <w:lang w:val="en-CA" w:eastAsia="en-CA"/>
              </w:rPr>
            </w:pPr>
            <w:r>
              <w:rPr>
                <w:rFonts w:eastAsia="AdvGulliv-R"/>
                <w:sz w:val="18"/>
                <w:szCs w:val="18"/>
                <w:lang w:val="en-CA" w:eastAsia="en-CA"/>
              </w:rPr>
              <w:t>:PSS/Perovskite/PCBM/Al</w:t>
            </w:r>
          </w:p>
        </w:tc>
        <w:tc>
          <w:tcPr>
            <w:tcW w:w="992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AdvGulliv-R"/>
                <w:sz w:val="18"/>
                <w:szCs w:val="18"/>
                <w:lang w:val="en-CA" w:eastAsia="en-CA"/>
              </w:rPr>
            </w:pPr>
            <w:r>
              <w:rPr>
                <w:rFonts w:eastAsia="AdvGulliv-R"/>
                <w:sz w:val="18"/>
                <w:szCs w:val="18"/>
                <w:lang w:val="en-CA" w:eastAsia="en-CA"/>
              </w:rPr>
              <w:t>P-I-N</w:t>
            </w:r>
          </w:p>
        </w:tc>
        <w:tc>
          <w:tcPr>
            <w:tcW w:w="709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AdvGulliv-R"/>
                <w:sz w:val="18"/>
                <w:szCs w:val="18"/>
                <w:lang w:val="en-CA" w:eastAsia="en-CA"/>
              </w:rPr>
            </w:pPr>
            <w:r>
              <w:rPr>
                <w:rFonts w:eastAsia="AdvGulliv-R"/>
                <w:sz w:val="18"/>
                <w:szCs w:val="18"/>
                <w:lang w:val="en-CA" w:eastAsia="en-CA"/>
              </w:rPr>
              <w:t>1.07</w:t>
            </w:r>
          </w:p>
        </w:tc>
        <w:tc>
          <w:tcPr>
            <w:tcW w:w="1134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AdvGulliv-R"/>
                <w:sz w:val="18"/>
                <w:szCs w:val="18"/>
                <w:lang w:val="en-CA" w:eastAsia="en-CA"/>
              </w:rPr>
            </w:pPr>
            <w:r>
              <w:rPr>
                <w:rFonts w:eastAsia="AdvGulliv-R"/>
                <w:sz w:val="18"/>
                <w:szCs w:val="18"/>
                <w:lang w:val="en-CA" w:eastAsia="en-CA"/>
              </w:rPr>
              <w:t>22.1</w:t>
            </w:r>
          </w:p>
        </w:tc>
        <w:tc>
          <w:tcPr>
            <w:tcW w:w="709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AdvGulliv-R"/>
                <w:sz w:val="18"/>
                <w:szCs w:val="18"/>
                <w:lang w:val="en-CA" w:eastAsia="en-CA"/>
              </w:rPr>
            </w:pPr>
            <w:r>
              <w:rPr>
                <w:rFonts w:eastAsia="AdvGulliv-R"/>
                <w:sz w:val="18"/>
                <w:szCs w:val="18"/>
                <w:lang w:val="en-CA" w:eastAsia="en-CA"/>
              </w:rPr>
              <w:t>77</w:t>
            </w:r>
          </w:p>
        </w:tc>
        <w:tc>
          <w:tcPr>
            <w:tcW w:w="708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AdvGulliv-R"/>
                <w:sz w:val="18"/>
                <w:szCs w:val="18"/>
                <w:lang w:val="en-CA" w:eastAsia="en-CA"/>
              </w:rPr>
            </w:pPr>
            <w:r>
              <w:rPr>
                <w:rFonts w:eastAsia="AdvGulliv-R"/>
                <w:sz w:val="18"/>
                <w:szCs w:val="18"/>
                <w:lang w:val="en-CA" w:eastAsia="en-CA"/>
              </w:rPr>
              <w:t>18.3</w:t>
            </w:r>
          </w:p>
        </w:tc>
        <w:tc>
          <w:tcPr>
            <w:tcW w:w="709" w:type="dxa"/>
            <w:tcBorders>
              <w:top w:val="nil"/>
              <w:left w:val="dotted" w:color="auto" w:sz="4" w:space="0"/>
              <w:bottom w:val="nil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AdvGulliv-R"/>
                <w:sz w:val="18"/>
                <w:szCs w:val="18"/>
                <w:lang w:val="en-CA" w:eastAsia="en-CA"/>
              </w:rPr>
            </w:pPr>
            <w:r>
              <w:rPr>
                <w:rFonts w:eastAsia="AdvGulliv-R"/>
                <w:sz w:val="18"/>
                <w:szCs w:val="18"/>
                <w:lang w:val="en-CA" w:eastAsia="en-CA"/>
              </w:rPr>
              <w:t>2018</w:t>
            </w:r>
          </w:p>
        </w:tc>
        <w:tc>
          <w:tcPr>
            <w:tcW w:w="1134" w:type="dxa"/>
            <w:tcBorders>
              <w:top w:val="nil"/>
              <w:left w:val="dotted" w:color="auto" w:sz="4" w:space="0"/>
              <w:bottom w:val="nil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AdvGulliv-R"/>
                <w:color w:val="0070C0"/>
                <w:sz w:val="18"/>
                <w:szCs w:val="18"/>
                <w:lang w:val="en-CA" w:eastAsia="en-CA"/>
              </w:rPr>
            </w:pPr>
            <w:r>
              <w:rPr>
                <w:rFonts w:hint="eastAsia" w:eastAsia="宋体"/>
                <w:color w:val="0070C0"/>
                <w:sz w:val="18"/>
                <w:szCs w:val="18"/>
                <w:lang w:val="en-US" w:eastAsia="zh-CN"/>
              </w:rPr>
              <w:t>1</w:t>
            </w:r>
            <w:r>
              <w:rPr>
                <w:rFonts w:eastAsia="AdvGulliv-R"/>
                <w:color w:val="0070C0"/>
                <w:sz w:val="18"/>
                <w:szCs w:val="18"/>
                <w:lang w:val="en-CA" w:eastAsia="en-CA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261" w:type="dxa"/>
            <w:tcBorders>
              <w:top w:val="nil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AdvGulliv-R"/>
                <w:sz w:val="18"/>
                <w:szCs w:val="18"/>
                <w:lang w:val="en-CA" w:eastAsia="en-CA"/>
              </w:rPr>
            </w:pPr>
            <w:r>
              <w:rPr>
                <w:rFonts w:eastAsia="AdvGulliv-R"/>
                <w:sz w:val="18"/>
                <w:szCs w:val="18"/>
                <w:lang w:val="en-CA" w:eastAsia="en-CA"/>
              </w:rPr>
              <w:t>PET/ITO/TiO</w:t>
            </w:r>
            <w:r>
              <w:rPr>
                <w:rFonts w:eastAsia="AdvGulliv-R"/>
                <w:sz w:val="18"/>
                <w:szCs w:val="18"/>
                <w:vertAlign w:val="subscript"/>
                <w:lang w:val="en-CA" w:eastAsia="en-CA"/>
              </w:rPr>
              <w:t>2</w:t>
            </w:r>
            <w:r>
              <w:rPr>
                <w:rFonts w:eastAsia="AdvGulliv-R"/>
                <w:sz w:val="18"/>
                <w:szCs w:val="18"/>
                <w:lang w:val="en-CA" w:eastAsia="en-CA"/>
              </w:rPr>
              <w:t xml:space="preserve"> /Perovs-</w:t>
            </w:r>
          </w:p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AdvGulliv-R"/>
                <w:sz w:val="18"/>
                <w:szCs w:val="18"/>
                <w:lang w:val="en-CA" w:eastAsia="en-CA"/>
              </w:rPr>
            </w:pPr>
            <w:r>
              <w:rPr>
                <w:rFonts w:eastAsia="AdvGulliv-R"/>
                <w:sz w:val="18"/>
                <w:szCs w:val="18"/>
                <w:lang w:val="en-CA" w:eastAsia="en-CA"/>
              </w:rPr>
              <w:t>kite/Spiro-OMeTAD /MoO</w:t>
            </w:r>
            <w:r>
              <w:rPr>
                <w:rFonts w:eastAsia="AdvGulliv-R"/>
                <w:sz w:val="18"/>
                <w:szCs w:val="18"/>
                <w:vertAlign w:val="subscript"/>
                <w:lang w:val="en-CA" w:eastAsia="en-CA"/>
              </w:rPr>
              <w:t>3</w:t>
            </w:r>
            <w:r>
              <w:rPr>
                <w:rFonts w:eastAsia="AdvGulliv-R"/>
                <w:sz w:val="18"/>
                <w:szCs w:val="18"/>
                <w:lang w:val="en-CA" w:eastAsia="en-CA"/>
              </w:rPr>
              <w:t xml:space="preserve">/Ag </w:t>
            </w:r>
          </w:p>
        </w:tc>
        <w:tc>
          <w:tcPr>
            <w:tcW w:w="992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AdvGulliv-R"/>
                <w:sz w:val="18"/>
                <w:szCs w:val="18"/>
                <w:lang w:val="en-CA" w:eastAsia="en-CA"/>
              </w:rPr>
            </w:pPr>
            <w:r>
              <w:rPr>
                <w:rFonts w:eastAsia="AdvGulliv-R"/>
                <w:sz w:val="18"/>
                <w:szCs w:val="18"/>
                <w:lang w:val="en-CA" w:eastAsia="en-CA"/>
              </w:rPr>
              <w:t>N-I-P</w:t>
            </w:r>
          </w:p>
        </w:tc>
        <w:tc>
          <w:tcPr>
            <w:tcW w:w="709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AdvGulliv-R"/>
                <w:sz w:val="18"/>
                <w:szCs w:val="18"/>
                <w:lang w:val="en-CA" w:eastAsia="en-CA"/>
              </w:rPr>
            </w:pPr>
            <w:r>
              <w:rPr>
                <w:rFonts w:eastAsia="AdvGulliv-R"/>
                <w:sz w:val="18"/>
                <w:szCs w:val="18"/>
                <w:lang w:val="en-CA" w:eastAsia="en-CA"/>
              </w:rPr>
              <w:t>1.10</w:t>
            </w:r>
          </w:p>
        </w:tc>
        <w:tc>
          <w:tcPr>
            <w:tcW w:w="1134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AdvGulliv-R"/>
                <w:sz w:val="18"/>
                <w:szCs w:val="18"/>
                <w:lang w:val="en-CA" w:eastAsia="en-CA"/>
              </w:rPr>
            </w:pPr>
            <w:r>
              <w:rPr>
                <w:rFonts w:eastAsia="AdvGulliv-R"/>
                <w:sz w:val="18"/>
                <w:szCs w:val="18"/>
                <w:lang w:val="en-CA" w:eastAsia="en-CA"/>
              </w:rPr>
              <w:t>21.62</w:t>
            </w:r>
          </w:p>
        </w:tc>
        <w:tc>
          <w:tcPr>
            <w:tcW w:w="709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AdvGulliv-R"/>
                <w:sz w:val="18"/>
                <w:szCs w:val="18"/>
                <w:lang w:val="en-CA" w:eastAsia="en-CA"/>
              </w:rPr>
            </w:pPr>
            <w:r>
              <w:rPr>
                <w:rFonts w:eastAsia="AdvGulliv-R"/>
                <w:sz w:val="18"/>
                <w:szCs w:val="18"/>
                <w:lang w:val="en-CA" w:eastAsia="en-CA"/>
              </w:rPr>
              <w:t>76</w:t>
            </w:r>
          </w:p>
        </w:tc>
        <w:tc>
          <w:tcPr>
            <w:tcW w:w="708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AdvGulliv-R"/>
                <w:sz w:val="18"/>
                <w:szCs w:val="18"/>
                <w:lang w:val="en-CA" w:eastAsia="en-CA"/>
              </w:rPr>
            </w:pPr>
            <w:r>
              <w:rPr>
                <w:rFonts w:eastAsia="AdvGulliv-R"/>
                <w:sz w:val="18"/>
                <w:szCs w:val="18"/>
                <w:lang w:val="en-CA" w:eastAsia="en-CA"/>
              </w:rPr>
              <w:t>18.1</w:t>
            </w:r>
          </w:p>
        </w:tc>
        <w:tc>
          <w:tcPr>
            <w:tcW w:w="709" w:type="dxa"/>
            <w:tcBorders>
              <w:top w:val="nil"/>
              <w:left w:val="dotted" w:color="auto" w:sz="4" w:space="0"/>
              <w:bottom w:val="nil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AdvGulliv-R"/>
                <w:sz w:val="18"/>
                <w:szCs w:val="18"/>
                <w:lang w:val="en-CA" w:eastAsia="en-CA"/>
              </w:rPr>
            </w:pPr>
            <w:r>
              <w:rPr>
                <w:rFonts w:eastAsia="AdvGulliv-R"/>
                <w:sz w:val="18"/>
                <w:szCs w:val="18"/>
                <w:lang w:val="en-CA" w:eastAsia="en-CA"/>
              </w:rPr>
              <w:t>2019</w:t>
            </w:r>
          </w:p>
        </w:tc>
        <w:tc>
          <w:tcPr>
            <w:tcW w:w="1134" w:type="dxa"/>
            <w:tcBorders>
              <w:top w:val="nil"/>
              <w:left w:val="dotted" w:color="auto" w:sz="4" w:space="0"/>
              <w:bottom w:val="nil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AdvGulliv-R"/>
                <w:color w:val="0070C0"/>
                <w:sz w:val="18"/>
                <w:szCs w:val="18"/>
                <w:lang w:val="en-CA" w:eastAsia="en-CA"/>
              </w:rPr>
            </w:pPr>
            <w:r>
              <w:rPr>
                <w:rFonts w:hint="eastAsia" w:eastAsia="宋体"/>
                <w:color w:val="0070C0"/>
                <w:sz w:val="18"/>
                <w:szCs w:val="18"/>
                <w:lang w:val="en-US" w:eastAsia="zh-CN"/>
              </w:rPr>
              <w:t>1</w:t>
            </w:r>
            <w:r>
              <w:rPr>
                <w:rFonts w:eastAsia="AdvGulliv-R"/>
                <w:color w:val="0070C0"/>
                <w:sz w:val="18"/>
                <w:szCs w:val="18"/>
                <w:lang w:val="en-CA" w:eastAsia="en-CA"/>
              </w:rPr>
              <w:t>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261" w:type="dxa"/>
            <w:tcBorders>
              <w:top w:val="nil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AdvGulliv-R"/>
                <w:sz w:val="18"/>
                <w:szCs w:val="18"/>
                <w:lang w:val="en-CA" w:eastAsia="en-CA"/>
              </w:rPr>
            </w:pPr>
            <w:r>
              <w:rPr>
                <w:rFonts w:eastAsia="AdvGulliv-R"/>
                <w:sz w:val="18"/>
                <w:szCs w:val="18"/>
                <w:lang w:val="en-CA" w:eastAsia="en-CA"/>
              </w:rPr>
              <w:t>PEN/ITO/TiO</w:t>
            </w:r>
            <w:r>
              <w:rPr>
                <w:rFonts w:eastAsia="AdvGulliv-R"/>
                <w:sz w:val="18"/>
                <w:szCs w:val="18"/>
                <w:vertAlign w:val="subscript"/>
                <w:lang w:val="en-CA" w:eastAsia="en-CA"/>
              </w:rPr>
              <w:t>2</w:t>
            </w:r>
            <w:r>
              <w:rPr>
                <w:rFonts w:eastAsia="AdvGulliv-R"/>
                <w:sz w:val="18"/>
                <w:szCs w:val="18"/>
                <w:lang w:val="en-CA" w:eastAsia="en-CA"/>
              </w:rPr>
              <w:t xml:space="preserve"> /Perovs-</w:t>
            </w:r>
          </w:p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AdvGulliv-R"/>
                <w:sz w:val="18"/>
                <w:szCs w:val="18"/>
                <w:lang w:val="en-CA" w:eastAsia="en-CA"/>
              </w:rPr>
            </w:pPr>
            <w:r>
              <w:rPr>
                <w:rFonts w:eastAsia="AdvGulliv-R"/>
                <w:sz w:val="18"/>
                <w:szCs w:val="18"/>
                <w:lang w:val="en-CA" w:eastAsia="en-CA"/>
              </w:rPr>
              <w:t>kite/Spiro-OMeTAD /Au</w:t>
            </w:r>
          </w:p>
        </w:tc>
        <w:tc>
          <w:tcPr>
            <w:tcW w:w="992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AdvGulliv-R"/>
                <w:sz w:val="18"/>
                <w:szCs w:val="18"/>
                <w:lang w:val="en-CA" w:eastAsia="en-CA"/>
              </w:rPr>
            </w:pPr>
            <w:r>
              <w:rPr>
                <w:rFonts w:eastAsia="AdvGulliv-R"/>
                <w:sz w:val="18"/>
                <w:szCs w:val="18"/>
                <w:lang w:val="en-CA" w:eastAsia="en-CA"/>
              </w:rPr>
              <w:t>N-I-P</w:t>
            </w:r>
          </w:p>
        </w:tc>
        <w:tc>
          <w:tcPr>
            <w:tcW w:w="709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AdvGulliv-R"/>
                <w:sz w:val="18"/>
                <w:szCs w:val="18"/>
                <w:lang w:val="en-CA" w:eastAsia="en-CA"/>
              </w:rPr>
            </w:pPr>
            <w:r>
              <w:rPr>
                <w:rFonts w:eastAsia="AdvGulliv-R"/>
                <w:sz w:val="18"/>
                <w:szCs w:val="18"/>
                <w:lang w:val="en-CA" w:eastAsia="en-CA"/>
              </w:rPr>
              <w:t>1.11</w:t>
            </w:r>
          </w:p>
        </w:tc>
        <w:tc>
          <w:tcPr>
            <w:tcW w:w="1134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AdvGulliv-R"/>
                <w:sz w:val="18"/>
                <w:szCs w:val="18"/>
                <w:lang w:val="en-CA" w:eastAsia="en-CA"/>
              </w:rPr>
            </w:pPr>
            <w:r>
              <w:rPr>
                <w:rFonts w:eastAsia="AdvGulliv-R"/>
                <w:sz w:val="18"/>
                <w:szCs w:val="18"/>
                <w:lang w:val="en-CA" w:eastAsia="en-CA"/>
              </w:rPr>
              <w:t>23.06</w:t>
            </w:r>
          </w:p>
        </w:tc>
        <w:tc>
          <w:tcPr>
            <w:tcW w:w="709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AdvGulliv-R"/>
                <w:sz w:val="18"/>
                <w:szCs w:val="18"/>
                <w:lang w:val="en-CA" w:eastAsia="en-CA"/>
              </w:rPr>
            </w:pPr>
            <w:r>
              <w:rPr>
                <w:rFonts w:eastAsia="AdvGulliv-R"/>
                <w:sz w:val="18"/>
                <w:szCs w:val="18"/>
                <w:lang w:val="en-CA" w:eastAsia="en-CA"/>
              </w:rPr>
              <w:t>76.02</w:t>
            </w:r>
          </w:p>
        </w:tc>
        <w:tc>
          <w:tcPr>
            <w:tcW w:w="708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AdvGulliv-R"/>
                <w:sz w:val="18"/>
                <w:szCs w:val="18"/>
                <w:lang w:val="en-CA" w:eastAsia="en-CA"/>
              </w:rPr>
            </w:pPr>
            <w:r>
              <w:rPr>
                <w:rFonts w:eastAsia="AdvGulliv-R"/>
                <w:sz w:val="18"/>
                <w:szCs w:val="18"/>
                <w:lang w:val="en-CA" w:eastAsia="en-CA"/>
              </w:rPr>
              <w:t>19.51</w:t>
            </w:r>
          </w:p>
        </w:tc>
        <w:tc>
          <w:tcPr>
            <w:tcW w:w="709" w:type="dxa"/>
            <w:tcBorders>
              <w:top w:val="nil"/>
              <w:left w:val="dotted" w:color="auto" w:sz="4" w:space="0"/>
              <w:bottom w:val="nil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AdvGulliv-R"/>
                <w:sz w:val="18"/>
                <w:szCs w:val="18"/>
                <w:lang w:val="en-CA" w:eastAsia="en-CA"/>
              </w:rPr>
            </w:pPr>
            <w:r>
              <w:rPr>
                <w:rFonts w:eastAsia="AdvGulliv-R"/>
                <w:sz w:val="18"/>
                <w:szCs w:val="18"/>
                <w:lang w:val="en-CA" w:eastAsia="en-CA"/>
              </w:rPr>
              <w:t>2019</w:t>
            </w:r>
          </w:p>
        </w:tc>
        <w:tc>
          <w:tcPr>
            <w:tcW w:w="1134" w:type="dxa"/>
            <w:tcBorders>
              <w:top w:val="nil"/>
              <w:left w:val="dotted" w:color="auto" w:sz="4" w:space="0"/>
              <w:bottom w:val="nil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AdvGulliv-R"/>
                <w:color w:val="0070C0"/>
                <w:sz w:val="18"/>
                <w:szCs w:val="18"/>
                <w:lang w:val="en-CA" w:eastAsia="en-CA"/>
              </w:rPr>
            </w:pPr>
            <w:r>
              <w:rPr>
                <w:rFonts w:hint="eastAsia" w:eastAsia="宋体"/>
                <w:color w:val="0070C0"/>
                <w:sz w:val="18"/>
                <w:szCs w:val="18"/>
                <w:lang w:val="en-US" w:eastAsia="zh-CN"/>
              </w:rPr>
              <w:t>1</w:t>
            </w:r>
            <w:r>
              <w:rPr>
                <w:rFonts w:eastAsia="AdvGulliv-R"/>
                <w:color w:val="0070C0"/>
                <w:sz w:val="18"/>
                <w:szCs w:val="18"/>
                <w:lang w:val="en-CA" w:eastAsia="en-CA"/>
              </w:rPr>
              <w:t>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261" w:type="dxa"/>
            <w:tcBorders>
              <w:top w:val="nil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AdvGulliv-R"/>
                <w:sz w:val="18"/>
                <w:szCs w:val="18"/>
                <w:lang w:val="en-CA" w:eastAsia="en-CA"/>
              </w:rPr>
            </w:pPr>
            <w:r>
              <w:rPr>
                <w:rFonts w:eastAsia="AdvGulliv-R"/>
                <w:sz w:val="18"/>
                <w:szCs w:val="18"/>
                <w:lang w:val="en-CA" w:eastAsia="en-CA"/>
              </w:rPr>
              <w:t>PET/ITO/PEDOT:PSS:EVA/ Perovskite/PCBM/ Ag</w:t>
            </w:r>
          </w:p>
        </w:tc>
        <w:tc>
          <w:tcPr>
            <w:tcW w:w="992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AdvGulliv-R"/>
                <w:sz w:val="18"/>
                <w:szCs w:val="18"/>
                <w:lang w:val="en-CA" w:eastAsia="en-CA"/>
              </w:rPr>
            </w:pPr>
            <w:r>
              <w:rPr>
                <w:rFonts w:eastAsia="AdvGulliv-R"/>
                <w:sz w:val="18"/>
                <w:szCs w:val="18"/>
                <w:lang w:val="en-CA" w:eastAsia="en-CA"/>
              </w:rPr>
              <w:t>P-I-N</w:t>
            </w:r>
          </w:p>
        </w:tc>
        <w:tc>
          <w:tcPr>
            <w:tcW w:w="709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AdvGulliv-R"/>
                <w:sz w:val="18"/>
                <w:szCs w:val="18"/>
                <w:lang w:val="en-CA" w:eastAsia="en-CA"/>
              </w:rPr>
            </w:pPr>
            <w:r>
              <w:rPr>
                <w:rFonts w:eastAsia="AdvGulliv-R"/>
                <w:sz w:val="18"/>
                <w:szCs w:val="18"/>
                <w:lang w:val="en-CA" w:eastAsia="en-CA"/>
              </w:rPr>
              <w:t>1.18</w:t>
            </w:r>
          </w:p>
        </w:tc>
        <w:tc>
          <w:tcPr>
            <w:tcW w:w="1134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AdvGulliv-R"/>
                <w:sz w:val="18"/>
                <w:szCs w:val="18"/>
                <w:lang w:val="en-CA" w:eastAsia="en-CA"/>
              </w:rPr>
            </w:pPr>
            <w:r>
              <w:rPr>
                <w:rFonts w:eastAsia="AdvGulliv-R"/>
                <w:sz w:val="18"/>
                <w:szCs w:val="18"/>
                <w:lang w:val="en-CA" w:eastAsia="en-CA"/>
              </w:rPr>
              <w:t>21.26</w:t>
            </w:r>
          </w:p>
        </w:tc>
        <w:tc>
          <w:tcPr>
            <w:tcW w:w="709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AdvGulliv-R"/>
                <w:sz w:val="18"/>
                <w:szCs w:val="18"/>
                <w:lang w:val="en-CA" w:eastAsia="en-CA"/>
              </w:rPr>
            </w:pPr>
            <w:r>
              <w:rPr>
                <w:rFonts w:eastAsia="AdvGulliv-R"/>
                <w:sz w:val="18"/>
                <w:szCs w:val="18"/>
                <w:lang w:val="en-CA" w:eastAsia="en-CA"/>
              </w:rPr>
              <w:t>79</w:t>
            </w:r>
          </w:p>
        </w:tc>
        <w:tc>
          <w:tcPr>
            <w:tcW w:w="708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AdvGulliv-R"/>
                <w:sz w:val="18"/>
                <w:szCs w:val="18"/>
                <w:lang w:val="en-CA" w:eastAsia="en-CA"/>
              </w:rPr>
            </w:pPr>
            <w:r>
              <w:rPr>
                <w:rFonts w:eastAsia="AdvGulliv-R"/>
                <w:sz w:val="18"/>
                <w:szCs w:val="18"/>
                <w:lang w:val="en-CA" w:eastAsia="en-CA"/>
              </w:rPr>
              <w:t>19.87</w:t>
            </w:r>
          </w:p>
        </w:tc>
        <w:tc>
          <w:tcPr>
            <w:tcW w:w="709" w:type="dxa"/>
            <w:tcBorders>
              <w:top w:val="nil"/>
              <w:left w:val="dotted" w:color="auto" w:sz="4" w:space="0"/>
              <w:bottom w:val="nil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AdvGulliv-R"/>
                <w:sz w:val="18"/>
                <w:szCs w:val="18"/>
                <w:lang w:val="en-CA" w:eastAsia="en-CA"/>
              </w:rPr>
            </w:pPr>
            <w:r>
              <w:rPr>
                <w:rFonts w:eastAsia="AdvGulliv-R"/>
                <w:sz w:val="18"/>
                <w:szCs w:val="18"/>
                <w:lang w:val="en-CA" w:eastAsia="en-CA"/>
              </w:rPr>
              <w:t>2020</w:t>
            </w:r>
          </w:p>
        </w:tc>
        <w:tc>
          <w:tcPr>
            <w:tcW w:w="1134" w:type="dxa"/>
            <w:tcBorders>
              <w:top w:val="nil"/>
              <w:left w:val="dotted" w:color="auto" w:sz="4" w:space="0"/>
              <w:bottom w:val="nil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AdvGulliv-R"/>
                <w:color w:val="0070C0"/>
                <w:sz w:val="18"/>
                <w:szCs w:val="18"/>
                <w:lang w:val="en-CA" w:eastAsia="en-CA"/>
              </w:rPr>
            </w:pPr>
            <w:r>
              <w:rPr>
                <w:rFonts w:hint="eastAsia" w:eastAsia="宋体"/>
                <w:color w:val="0070C0"/>
                <w:sz w:val="18"/>
                <w:szCs w:val="18"/>
                <w:lang w:val="en-US" w:eastAsia="zh-CN"/>
              </w:rPr>
              <w:t>1</w:t>
            </w:r>
            <w:r>
              <w:rPr>
                <w:rFonts w:eastAsia="AdvGulliv-R"/>
                <w:color w:val="0070C0"/>
                <w:sz w:val="18"/>
                <w:szCs w:val="18"/>
                <w:lang w:val="en-CA" w:eastAsia="en-CA"/>
              </w:rPr>
              <w:t>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261" w:type="dxa"/>
            <w:tcBorders>
              <w:top w:val="nil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AdvGulliv-R"/>
                <w:sz w:val="18"/>
                <w:szCs w:val="18"/>
                <w:lang w:val="en-CA" w:eastAsia="en-CA"/>
              </w:rPr>
            </w:pPr>
            <w:r>
              <w:rPr>
                <w:rFonts w:eastAsia="AdvGulliv-R"/>
                <w:sz w:val="18"/>
                <w:szCs w:val="18"/>
                <w:lang w:val="en-CA" w:eastAsia="en-CA"/>
              </w:rPr>
              <w:t>PET/NiOx/PMMA/Perovskite/</w:t>
            </w:r>
          </w:p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AdvGulliv-R"/>
                <w:sz w:val="18"/>
                <w:szCs w:val="18"/>
                <w:lang w:val="en-CA" w:eastAsia="en-CA"/>
              </w:rPr>
            </w:pPr>
            <w:r>
              <w:rPr>
                <w:rFonts w:eastAsia="AdvGulliv-R"/>
                <w:sz w:val="18"/>
                <w:szCs w:val="18"/>
                <w:lang w:val="en-CA" w:eastAsia="en-CA"/>
              </w:rPr>
              <w:t>PCBM/BCP/Ag</w:t>
            </w:r>
          </w:p>
        </w:tc>
        <w:tc>
          <w:tcPr>
            <w:tcW w:w="992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AdvGulliv-R"/>
                <w:sz w:val="18"/>
                <w:szCs w:val="18"/>
                <w:lang w:val="en-CA" w:eastAsia="en-CA"/>
              </w:rPr>
            </w:pPr>
            <w:r>
              <w:rPr>
                <w:rFonts w:eastAsia="AdvGulliv-R"/>
                <w:sz w:val="18"/>
                <w:szCs w:val="18"/>
                <w:lang w:val="en-CA" w:eastAsia="en-CA"/>
              </w:rPr>
              <w:t>P-I-N</w:t>
            </w:r>
          </w:p>
        </w:tc>
        <w:tc>
          <w:tcPr>
            <w:tcW w:w="709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AdvGulliv-R"/>
                <w:sz w:val="18"/>
                <w:szCs w:val="18"/>
                <w:lang w:val="en-CA" w:eastAsia="en-CA"/>
              </w:rPr>
            </w:pPr>
            <w:r>
              <w:rPr>
                <w:rFonts w:eastAsia="AdvGulliv-R"/>
                <w:sz w:val="18"/>
                <w:szCs w:val="18"/>
                <w:lang w:val="en-CA" w:eastAsia="en-CA"/>
              </w:rPr>
              <w:t>1.12</w:t>
            </w:r>
          </w:p>
        </w:tc>
        <w:tc>
          <w:tcPr>
            <w:tcW w:w="1134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AdvGulliv-R"/>
                <w:sz w:val="18"/>
                <w:szCs w:val="18"/>
                <w:lang w:val="en-CA" w:eastAsia="en-CA"/>
              </w:rPr>
            </w:pPr>
            <w:r>
              <w:rPr>
                <w:rFonts w:eastAsia="AdvGulliv-R"/>
                <w:sz w:val="18"/>
                <w:szCs w:val="18"/>
                <w:lang w:val="en-CA" w:eastAsia="en-CA"/>
              </w:rPr>
              <w:t>22.18</w:t>
            </w:r>
          </w:p>
        </w:tc>
        <w:tc>
          <w:tcPr>
            <w:tcW w:w="709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AdvGulliv-R"/>
                <w:sz w:val="18"/>
                <w:szCs w:val="18"/>
                <w:lang w:val="en-CA" w:eastAsia="en-CA"/>
              </w:rPr>
            </w:pPr>
            <w:r>
              <w:rPr>
                <w:rFonts w:eastAsia="AdvGulliv-R"/>
                <w:sz w:val="18"/>
                <w:szCs w:val="18"/>
                <w:lang w:val="en-CA" w:eastAsia="en-CA"/>
              </w:rPr>
              <w:t>80.56</w:t>
            </w:r>
          </w:p>
        </w:tc>
        <w:tc>
          <w:tcPr>
            <w:tcW w:w="708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AdvGulliv-R"/>
                <w:sz w:val="18"/>
                <w:szCs w:val="18"/>
                <w:lang w:val="en-CA" w:eastAsia="en-CA"/>
              </w:rPr>
            </w:pPr>
            <w:r>
              <w:rPr>
                <w:rFonts w:eastAsia="AdvGulliv-R"/>
                <w:sz w:val="18"/>
                <w:szCs w:val="18"/>
                <w:lang w:val="en-CA" w:eastAsia="en-CA"/>
              </w:rPr>
              <w:t>20.01</w:t>
            </w:r>
          </w:p>
        </w:tc>
        <w:tc>
          <w:tcPr>
            <w:tcW w:w="709" w:type="dxa"/>
            <w:tcBorders>
              <w:top w:val="nil"/>
              <w:left w:val="dotted" w:color="auto" w:sz="4" w:space="0"/>
              <w:bottom w:val="nil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AdvGulliv-R"/>
                <w:sz w:val="18"/>
                <w:szCs w:val="18"/>
                <w:lang w:val="en-CA" w:eastAsia="en-CA"/>
              </w:rPr>
            </w:pPr>
            <w:r>
              <w:rPr>
                <w:rFonts w:eastAsia="AdvGulliv-R"/>
                <w:sz w:val="18"/>
                <w:szCs w:val="18"/>
                <w:lang w:val="en-CA" w:eastAsia="en-CA"/>
              </w:rPr>
              <w:t>2020</w:t>
            </w:r>
          </w:p>
        </w:tc>
        <w:tc>
          <w:tcPr>
            <w:tcW w:w="1134" w:type="dxa"/>
            <w:tcBorders>
              <w:top w:val="nil"/>
              <w:left w:val="dotted" w:color="auto" w:sz="4" w:space="0"/>
              <w:bottom w:val="nil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AdvGulliv-R"/>
                <w:color w:val="0070C0"/>
                <w:sz w:val="18"/>
                <w:szCs w:val="18"/>
                <w:lang w:val="en-CA" w:eastAsia="en-CA"/>
              </w:rPr>
            </w:pPr>
            <w:r>
              <w:rPr>
                <w:rFonts w:hint="eastAsia" w:eastAsia="宋体"/>
                <w:color w:val="0070C0"/>
                <w:sz w:val="18"/>
                <w:szCs w:val="18"/>
                <w:lang w:val="en-US" w:eastAsia="zh-CN"/>
              </w:rPr>
              <w:t>1</w:t>
            </w:r>
            <w:r>
              <w:rPr>
                <w:rFonts w:eastAsia="AdvGulliv-R"/>
                <w:color w:val="0070C0"/>
                <w:sz w:val="18"/>
                <w:szCs w:val="18"/>
                <w:lang w:val="en-CA" w:eastAsia="en-CA"/>
              </w:rPr>
              <w:t>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261" w:type="dxa"/>
            <w:tcBorders>
              <w:top w:val="nil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AdvGulliv-R"/>
                <w:sz w:val="18"/>
                <w:szCs w:val="18"/>
                <w:lang w:val="en-CA" w:eastAsia="en-CA"/>
              </w:rPr>
            </w:pPr>
            <w:r>
              <w:rPr>
                <w:rFonts w:eastAsia="AdvGulliv-R"/>
                <w:sz w:val="18"/>
                <w:szCs w:val="18"/>
                <w:lang w:val="en-CA" w:eastAsia="en-CA"/>
              </w:rPr>
              <w:t>PET/ITO/Zn</w:t>
            </w:r>
            <w:r>
              <w:rPr>
                <w:rFonts w:eastAsia="AdvGulliv-R"/>
                <w:sz w:val="18"/>
                <w:szCs w:val="18"/>
                <w:vertAlign w:val="subscript"/>
                <w:lang w:val="en-CA" w:eastAsia="en-CA"/>
              </w:rPr>
              <w:t>2</w:t>
            </w:r>
            <w:r>
              <w:rPr>
                <w:rFonts w:eastAsia="AdvGulliv-R"/>
                <w:sz w:val="18"/>
                <w:szCs w:val="18"/>
                <w:lang w:val="en-CA" w:eastAsia="en-CA"/>
              </w:rPr>
              <w:t>SnO</w:t>
            </w:r>
            <w:r>
              <w:rPr>
                <w:rFonts w:eastAsia="AdvGulliv-R"/>
                <w:sz w:val="18"/>
                <w:szCs w:val="18"/>
                <w:vertAlign w:val="subscript"/>
                <w:lang w:val="en-CA" w:eastAsia="en-CA"/>
              </w:rPr>
              <w:t>4</w:t>
            </w:r>
            <w:r>
              <w:rPr>
                <w:rFonts w:eastAsia="AdvGulliv-R"/>
                <w:sz w:val="18"/>
                <w:szCs w:val="18"/>
                <w:lang w:val="en-CA" w:eastAsia="en-CA"/>
              </w:rPr>
              <w:t>/SnO</w:t>
            </w:r>
            <w:r>
              <w:rPr>
                <w:rFonts w:eastAsia="AdvGulliv-R"/>
                <w:sz w:val="18"/>
                <w:szCs w:val="18"/>
                <w:vertAlign w:val="subscript"/>
                <w:lang w:val="en-CA" w:eastAsia="en-CA"/>
              </w:rPr>
              <w:t>2</w:t>
            </w:r>
            <w:r>
              <w:rPr>
                <w:rFonts w:eastAsia="AdvGulliv-R"/>
                <w:sz w:val="18"/>
                <w:szCs w:val="18"/>
                <w:lang w:val="en-CA" w:eastAsia="en-CA"/>
              </w:rPr>
              <w:t>/Perovs-</w:t>
            </w:r>
          </w:p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AdvGulliv-R"/>
                <w:sz w:val="18"/>
                <w:szCs w:val="18"/>
                <w:lang w:val="en-CA" w:eastAsia="en-CA"/>
              </w:rPr>
            </w:pPr>
            <w:r>
              <w:rPr>
                <w:rFonts w:eastAsia="AdvGulliv-R"/>
                <w:sz w:val="18"/>
                <w:szCs w:val="18"/>
                <w:lang w:val="en-CA" w:eastAsia="en-CA"/>
              </w:rPr>
              <w:t>kite/Spiro-OMeTAD/Au</w:t>
            </w:r>
          </w:p>
        </w:tc>
        <w:tc>
          <w:tcPr>
            <w:tcW w:w="992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AdvGulliv-R"/>
                <w:sz w:val="18"/>
                <w:szCs w:val="18"/>
                <w:lang w:val="en-CA" w:eastAsia="en-CA"/>
              </w:rPr>
            </w:pPr>
            <w:r>
              <w:rPr>
                <w:rFonts w:eastAsia="AdvGulliv-R"/>
                <w:sz w:val="18"/>
                <w:szCs w:val="18"/>
                <w:lang w:val="en-CA" w:eastAsia="en-CA"/>
              </w:rPr>
              <w:t>N-I-P</w:t>
            </w:r>
          </w:p>
        </w:tc>
        <w:tc>
          <w:tcPr>
            <w:tcW w:w="709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AdvGulliv-R"/>
                <w:sz w:val="18"/>
                <w:szCs w:val="18"/>
                <w:lang w:val="en-CA" w:eastAsia="en-CA"/>
              </w:rPr>
            </w:pPr>
            <w:r>
              <w:rPr>
                <w:rFonts w:eastAsia="AdvGulliv-R"/>
                <w:sz w:val="18"/>
                <w:szCs w:val="18"/>
                <w:lang w:val="en-CA" w:eastAsia="en-CA"/>
              </w:rPr>
              <w:t>1.19</w:t>
            </w:r>
          </w:p>
        </w:tc>
        <w:tc>
          <w:tcPr>
            <w:tcW w:w="1134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AdvGulliv-R"/>
                <w:sz w:val="18"/>
                <w:szCs w:val="18"/>
                <w:lang w:val="en-CA" w:eastAsia="en-CA"/>
              </w:rPr>
            </w:pPr>
            <w:r>
              <w:rPr>
                <w:rFonts w:eastAsia="AdvGulliv-R"/>
                <w:sz w:val="18"/>
                <w:szCs w:val="18"/>
                <w:lang w:val="en-CA" w:eastAsia="en-CA"/>
              </w:rPr>
              <w:t>21.9</w:t>
            </w:r>
          </w:p>
        </w:tc>
        <w:tc>
          <w:tcPr>
            <w:tcW w:w="709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AdvGulliv-R"/>
                <w:sz w:val="18"/>
                <w:szCs w:val="18"/>
                <w:lang w:val="en-CA" w:eastAsia="en-CA"/>
              </w:rPr>
            </w:pPr>
            <w:r>
              <w:rPr>
                <w:rFonts w:eastAsia="AdvGulliv-R"/>
                <w:sz w:val="18"/>
                <w:szCs w:val="18"/>
                <w:lang w:val="en-CA" w:eastAsia="en-CA"/>
              </w:rPr>
              <w:t>79.5</w:t>
            </w:r>
          </w:p>
        </w:tc>
        <w:tc>
          <w:tcPr>
            <w:tcW w:w="708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AdvGulliv-R"/>
                <w:sz w:val="18"/>
                <w:szCs w:val="18"/>
                <w:lang w:val="en-CA" w:eastAsia="en-CA"/>
              </w:rPr>
            </w:pPr>
            <w:r>
              <w:rPr>
                <w:rFonts w:eastAsia="AdvGulliv-R"/>
                <w:sz w:val="18"/>
                <w:szCs w:val="18"/>
                <w:lang w:val="en-CA" w:eastAsia="en-CA"/>
              </w:rPr>
              <w:t>20.75</w:t>
            </w:r>
          </w:p>
        </w:tc>
        <w:tc>
          <w:tcPr>
            <w:tcW w:w="709" w:type="dxa"/>
            <w:tcBorders>
              <w:top w:val="nil"/>
              <w:left w:val="dotted" w:color="auto" w:sz="4" w:space="0"/>
              <w:bottom w:val="nil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AdvGulliv-R"/>
                <w:sz w:val="18"/>
                <w:szCs w:val="18"/>
                <w:lang w:val="en-CA" w:eastAsia="en-CA"/>
              </w:rPr>
            </w:pPr>
            <w:r>
              <w:rPr>
                <w:rFonts w:eastAsia="AdvGulliv-R"/>
                <w:sz w:val="18"/>
                <w:szCs w:val="18"/>
                <w:lang w:val="en-CA" w:eastAsia="en-CA"/>
              </w:rPr>
              <w:t>2020</w:t>
            </w:r>
          </w:p>
        </w:tc>
        <w:tc>
          <w:tcPr>
            <w:tcW w:w="1134" w:type="dxa"/>
            <w:tcBorders>
              <w:top w:val="nil"/>
              <w:left w:val="dotted" w:color="auto" w:sz="4" w:space="0"/>
              <w:bottom w:val="nil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AdvGulliv-R"/>
                <w:color w:val="0070C0"/>
                <w:sz w:val="18"/>
                <w:szCs w:val="18"/>
                <w:lang w:val="en-CA" w:eastAsia="en-CA"/>
              </w:rPr>
            </w:pPr>
            <w:r>
              <w:rPr>
                <w:rFonts w:hint="eastAsia" w:eastAsia="宋体"/>
                <w:color w:val="0070C0"/>
                <w:sz w:val="18"/>
                <w:szCs w:val="18"/>
                <w:lang w:val="en-US" w:eastAsia="zh-CN"/>
              </w:rPr>
              <w:t>1</w:t>
            </w:r>
            <w:r>
              <w:rPr>
                <w:rFonts w:eastAsia="AdvGulliv-R"/>
                <w:color w:val="0070C0"/>
                <w:sz w:val="18"/>
                <w:szCs w:val="18"/>
                <w:lang w:val="en-CA" w:eastAsia="en-CA"/>
              </w:rPr>
              <w:t>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261" w:type="dxa"/>
            <w:tcBorders>
              <w:top w:val="nil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AdvGulliv-R"/>
                <w:sz w:val="18"/>
                <w:szCs w:val="18"/>
                <w:lang w:val="en-CA" w:eastAsia="en-CA"/>
              </w:rPr>
            </w:pPr>
            <w:r>
              <w:rPr>
                <w:rFonts w:eastAsia="AdvGulliv-R"/>
                <w:sz w:val="18"/>
                <w:szCs w:val="18"/>
                <w:lang w:val="en-CA" w:eastAsia="en-CA"/>
              </w:rPr>
              <w:t>PET/ITO/SnO</w:t>
            </w:r>
            <w:r>
              <w:rPr>
                <w:rFonts w:eastAsia="AdvGulliv-R"/>
                <w:sz w:val="18"/>
                <w:szCs w:val="18"/>
                <w:vertAlign w:val="subscript"/>
                <w:lang w:val="en-CA" w:eastAsia="en-CA"/>
              </w:rPr>
              <w:t>2</w:t>
            </w:r>
            <w:r>
              <w:rPr>
                <w:rFonts w:eastAsia="AdvGulliv-R"/>
                <w:sz w:val="18"/>
                <w:szCs w:val="18"/>
                <w:lang w:val="en-CA" w:eastAsia="en-CA"/>
              </w:rPr>
              <w:t>/Perovskite</w:t>
            </w:r>
          </w:p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AdvGulliv-R"/>
                <w:sz w:val="18"/>
                <w:szCs w:val="18"/>
                <w:lang w:val="en-CA" w:eastAsia="en-CA"/>
              </w:rPr>
            </w:pPr>
            <w:r>
              <w:rPr>
                <w:rFonts w:eastAsia="AdvGulliv-R"/>
                <w:sz w:val="18"/>
                <w:szCs w:val="18"/>
                <w:lang w:val="en-CA" w:eastAsia="en-CA"/>
              </w:rPr>
              <w:t>/Spiro-OMeTAD/Au</w:t>
            </w:r>
          </w:p>
        </w:tc>
        <w:tc>
          <w:tcPr>
            <w:tcW w:w="992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AdvGulliv-R"/>
                <w:sz w:val="18"/>
                <w:szCs w:val="18"/>
                <w:lang w:val="en-CA" w:eastAsia="en-CA"/>
              </w:rPr>
            </w:pPr>
            <w:r>
              <w:rPr>
                <w:rFonts w:eastAsia="AdvGulliv-R"/>
                <w:sz w:val="18"/>
                <w:szCs w:val="18"/>
                <w:lang w:val="en-CA" w:eastAsia="en-CA"/>
              </w:rPr>
              <w:t>N-I-P</w:t>
            </w:r>
          </w:p>
        </w:tc>
        <w:tc>
          <w:tcPr>
            <w:tcW w:w="709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AdvGulliv-R"/>
                <w:sz w:val="18"/>
                <w:szCs w:val="18"/>
                <w:lang w:val="en-CA" w:eastAsia="en-CA"/>
              </w:rPr>
            </w:pPr>
            <w:r>
              <w:rPr>
                <w:rFonts w:eastAsia="AdvGulliv-R"/>
                <w:sz w:val="18"/>
                <w:szCs w:val="18"/>
                <w:lang w:val="en-CA" w:eastAsia="en-CA"/>
              </w:rPr>
              <w:t>1.15</w:t>
            </w:r>
          </w:p>
        </w:tc>
        <w:tc>
          <w:tcPr>
            <w:tcW w:w="1134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AdvGulliv-R"/>
                <w:sz w:val="18"/>
                <w:szCs w:val="18"/>
                <w:lang w:val="en-CA" w:eastAsia="en-CA"/>
              </w:rPr>
            </w:pPr>
            <w:r>
              <w:rPr>
                <w:rFonts w:eastAsia="AdvGulliv-R"/>
                <w:sz w:val="18"/>
                <w:szCs w:val="18"/>
                <w:lang w:val="en-CA" w:eastAsia="en-CA"/>
              </w:rPr>
              <w:t>22.4</w:t>
            </w:r>
          </w:p>
        </w:tc>
        <w:tc>
          <w:tcPr>
            <w:tcW w:w="709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AdvGulliv-R"/>
                <w:sz w:val="18"/>
                <w:szCs w:val="18"/>
                <w:lang w:val="en-CA" w:eastAsia="en-CA"/>
              </w:rPr>
            </w:pPr>
            <w:r>
              <w:rPr>
                <w:rFonts w:eastAsia="AdvGulliv-R"/>
                <w:sz w:val="18"/>
                <w:szCs w:val="18"/>
                <w:lang w:val="en-CA" w:eastAsia="en-CA"/>
              </w:rPr>
              <w:t>78.2</w:t>
            </w:r>
          </w:p>
        </w:tc>
        <w:tc>
          <w:tcPr>
            <w:tcW w:w="708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AdvGulliv-R"/>
                <w:sz w:val="18"/>
                <w:szCs w:val="18"/>
                <w:lang w:val="en-CA" w:eastAsia="en-CA"/>
              </w:rPr>
            </w:pPr>
            <w:r>
              <w:rPr>
                <w:rFonts w:eastAsia="AdvGulliv-R"/>
                <w:sz w:val="18"/>
                <w:szCs w:val="18"/>
                <w:lang w:val="en-CA" w:eastAsia="en-CA"/>
              </w:rPr>
              <w:t>20.1</w:t>
            </w:r>
          </w:p>
        </w:tc>
        <w:tc>
          <w:tcPr>
            <w:tcW w:w="709" w:type="dxa"/>
            <w:tcBorders>
              <w:top w:val="nil"/>
              <w:left w:val="dotted" w:color="auto" w:sz="4" w:space="0"/>
              <w:bottom w:val="nil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AdvGulliv-R"/>
                <w:sz w:val="18"/>
                <w:szCs w:val="18"/>
                <w:lang w:val="en-CA" w:eastAsia="en-CA"/>
              </w:rPr>
            </w:pPr>
            <w:r>
              <w:rPr>
                <w:rFonts w:eastAsia="AdvGulliv-R"/>
                <w:sz w:val="18"/>
                <w:szCs w:val="18"/>
                <w:lang w:val="en-CA" w:eastAsia="en-CA"/>
              </w:rPr>
              <w:t>2021</w:t>
            </w:r>
          </w:p>
        </w:tc>
        <w:tc>
          <w:tcPr>
            <w:tcW w:w="1134" w:type="dxa"/>
            <w:tcBorders>
              <w:top w:val="nil"/>
              <w:left w:val="dotted" w:color="auto" w:sz="4" w:space="0"/>
              <w:bottom w:val="nil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AdvGulliv-R"/>
                <w:color w:val="0070C0"/>
                <w:sz w:val="18"/>
                <w:szCs w:val="18"/>
                <w:lang w:val="en-CA" w:eastAsia="en-CA"/>
              </w:rPr>
            </w:pPr>
            <w:r>
              <w:rPr>
                <w:rFonts w:hint="eastAsia" w:eastAsia="宋体"/>
                <w:color w:val="0070C0"/>
                <w:sz w:val="18"/>
                <w:szCs w:val="18"/>
                <w:lang w:val="en-US" w:eastAsia="zh-CN"/>
              </w:rPr>
              <w:t>1</w:t>
            </w:r>
            <w:r>
              <w:rPr>
                <w:rFonts w:eastAsia="AdvGulliv-R"/>
                <w:color w:val="0070C0"/>
                <w:sz w:val="18"/>
                <w:szCs w:val="18"/>
                <w:lang w:val="en-CA" w:eastAsia="en-CA"/>
              </w:rPr>
              <w:t>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261" w:type="dxa"/>
            <w:tcBorders>
              <w:top w:val="nil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AdvGulliv-R"/>
                <w:sz w:val="18"/>
                <w:szCs w:val="18"/>
                <w:lang w:val="en-CA" w:eastAsia="en-CA"/>
              </w:rPr>
            </w:pPr>
            <w:r>
              <w:rPr>
                <w:rFonts w:eastAsia="AdvGulliv-R"/>
                <w:sz w:val="18"/>
                <w:szCs w:val="18"/>
                <w:lang w:val="en-CA" w:eastAsia="en-CA"/>
              </w:rPr>
              <w:t>PEN/ITO/HfO</w:t>
            </w:r>
            <w:r>
              <w:rPr>
                <w:rFonts w:eastAsia="AdvGulliv-R"/>
                <w:sz w:val="18"/>
                <w:szCs w:val="18"/>
                <w:vertAlign w:val="subscript"/>
                <w:lang w:val="en-CA" w:eastAsia="en-CA"/>
              </w:rPr>
              <w:t>2</w:t>
            </w:r>
            <w:r>
              <w:rPr>
                <w:rFonts w:eastAsia="AdvGulliv-R"/>
                <w:sz w:val="18"/>
                <w:szCs w:val="18"/>
                <w:lang w:val="en-CA" w:eastAsia="en-CA"/>
              </w:rPr>
              <w:t>/SnO</w:t>
            </w:r>
            <w:r>
              <w:rPr>
                <w:rFonts w:eastAsia="AdvGulliv-R"/>
                <w:sz w:val="18"/>
                <w:szCs w:val="18"/>
                <w:vertAlign w:val="subscript"/>
                <w:lang w:val="en-CA" w:eastAsia="en-CA"/>
              </w:rPr>
              <w:t>2</w:t>
            </w:r>
            <w:r>
              <w:rPr>
                <w:rFonts w:eastAsia="AdvGulliv-R"/>
                <w:sz w:val="18"/>
                <w:szCs w:val="18"/>
                <w:lang w:val="en-CA" w:eastAsia="en-CA"/>
              </w:rPr>
              <w:t>/Perovs-</w:t>
            </w:r>
          </w:p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AdvGulliv-R"/>
                <w:sz w:val="18"/>
                <w:szCs w:val="18"/>
                <w:lang w:val="en-CA" w:eastAsia="en-CA"/>
              </w:rPr>
            </w:pPr>
            <w:r>
              <w:rPr>
                <w:rFonts w:eastAsia="AdvGulliv-R"/>
                <w:sz w:val="18"/>
                <w:szCs w:val="18"/>
                <w:lang w:val="en-CA" w:eastAsia="en-CA"/>
              </w:rPr>
              <w:t>kite/Spiro-OMeTAD/Au</w:t>
            </w:r>
          </w:p>
        </w:tc>
        <w:tc>
          <w:tcPr>
            <w:tcW w:w="992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AdvGulliv-R"/>
                <w:sz w:val="18"/>
                <w:szCs w:val="18"/>
                <w:lang w:val="en-CA" w:eastAsia="en-CA"/>
              </w:rPr>
            </w:pPr>
            <w:r>
              <w:rPr>
                <w:rFonts w:eastAsia="AdvGulliv-R"/>
                <w:sz w:val="18"/>
                <w:szCs w:val="18"/>
                <w:lang w:val="en-CA" w:eastAsia="en-CA"/>
              </w:rPr>
              <w:t>N-I-P</w:t>
            </w:r>
          </w:p>
        </w:tc>
        <w:tc>
          <w:tcPr>
            <w:tcW w:w="709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AdvGulliv-R"/>
                <w:sz w:val="18"/>
                <w:szCs w:val="18"/>
                <w:lang w:val="en-CA" w:eastAsia="en-CA"/>
              </w:rPr>
            </w:pPr>
            <w:r>
              <w:rPr>
                <w:rFonts w:eastAsia="AdvGulliv-R"/>
                <w:sz w:val="18"/>
                <w:szCs w:val="18"/>
                <w:lang w:val="en-CA" w:eastAsia="en-CA"/>
              </w:rPr>
              <w:t>1.126</w:t>
            </w:r>
          </w:p>
        </w:tc>
        <w:tc>
          <w:tcPr>
            <w:tcW w:w="1134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AdvGulliv-R"/>
                <w:sz w:val="18"/>
                <w:szCs w:val="18"/>
                <w:lang w:val="en-CA" w:eastAsia="en-CA"/>
              </w:rPr>
            </w:pPr>
            <w:r>
              <w:rPr>
                <w:rFonts w:eastAsia="AdvGulliv-R"/>
                <w:sz w:val="18"/>
                <w:szCs w:val="18"/>
                <w:lang w:val="en-CA" w:eastAsia="en-CA"/>
              </w:rPr>
              <w:t>23.32</w:t>
            </w:r>
          </w:p>
        </w:tc>
        <w:tc>
          <w:tcPr>
            <w:tcW w:w="709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AdvGulliv-R"/>
                <w:sz w:val="18"/>
                <w:szCs w:val="18"/>
                <w:lang w:val="en-CA" w:eastAsia="en-CA"/>
              </w:rPr>
            </w:pPr>
            <w:r>
              <w:rPr>
                <w:rFonts w:eastAsia="AdvGulliv-R"/>
                <w:sz w:val="18"/>
                <w:szCs w:val="18"/>
                <w:lang w:val="en-CA" w:eastAsia="en-CA"/>
              </w:rPr>
              <w:t>80.35</w:t>
            </w:r>
          </w:p>
        </w:tc>
        <w:tc>
          <w:tcPr>
            <w:tcW w:w="708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AdvGulliv-R"/>
                <w:sz w:val="18"/>
                <w:szCs w:val="18"/>
                <w:lang w:val="en-CA" w:eastAsia="en-CA"/>
              </w:rPr>
            </w:pPr>
            <w:r>
              <w:rPr>
                <w:rFonts w:eastAsia="AdvGulliv-R"/>
                <w:sz w:val="18"/>
                <w:szCs w:val="18"/>
                <w:lang w:val="en-CA" w:eastAsia="en-CA"/>
              </w:rPr>
              <w:t>21.10</w:t>
            </w:r>
          </w:p>
        </w:tc>
        <w:tc>
          <w:tcPr>
            <w:tcW w:w="709" w:type="dxa"/>
            <w:tcBorders>
              <w:top w:val="nil"/>
              <w:left w:val="dotted" w:color="auto" w:sz="4" w:space="0"/>
              <w:bottom w:val="nil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AdvGulliv-R"/>
                <w:sz w:val="18"/>
                <w:szCs w:val="18"/>
                <w:lang w:val="en-CA" w:eastAsia="en-CA"/>
              </w:rPr>
            </w:pPr>
            <w:r>
              <w:rPr>
                <w:rFonts w:eastAsia="AdvGulliv-R"/>
                <w:sz w:val="18"/>
                <w:szCs w:val="18"/>
                <w:lang w:val="en-CA" w:eastAsia="en-CA"/>
              </w:rPr>
              <w:t>2021</w:t>
            </w:r>
          </w:p>
        </w:tc>
        <w:tc>
          <w:tcPr>
            <w:tcW w:w="1134" w:type="dxa"/>
            <w:tcBorders>
              <w:top w:val="nil"/>
              <w:left w:val="dotted" w:color="auto" w:sz="4" w:space="0"/>
              <w:bottom w:val="nil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AdvGulliv-R"/>
                <w:color w:val="0070C0"/>
                <w:sz w:val="18"/>
                <w:szCs w:val="18"/>
                <w:lang w:val="en-CA" w:eastAsia="en-CA"/>
              </w:rPr>
            </w:pPr>
            <w:r>
              <w:rPr>
                <w:rFonts w:hint="eastAsia" w:eastAsia="宋体"/>
                <w:color w:val="0070C0"/>
                <w:sz w:val="18"/>
                <w:szCs w:val="18"/>
                <w:lang w:val="en-US" w:eastAsia="zh-CN"/>
              </w:rPr>
              <w:t>1</w:t>
            </w:r>
            <w:r>
              <w:rPr>
                <w:rFonts w:eastAsia="AdvGulliv-R"/>
                <w:color w:val="0070C0"/>
                <w:sz w:val="18"/>
                <w:szCs w:val="18"/>
                <w:lang w:val="en-CA" w:eastAsia="en-CA"/>
              </w:rPr>
              <w:t>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261" w:type="dxa"/>
            <w:tcBorders>
              <w:top w:val="nil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AdvGulliv-R"/>
                <w:sz w:val="18"/>
                <w:szCs w:val="18"/>
                <w:lang w:val="en-CA" w:eastAsia="en-CA"/>
              </w:rPr>
            </w:pPr>
            <w:r>
              <w:rPr>
                <w:rFonts w:eastAsia="AdvGulliv-R"/>
                <w:sz w:val="18"/>
                <w:szCs w:val="18"/>
                <w:lang w:val="en-CA" w:eastAsia="en-CA"/>
              </w:rPr>
              <w:t>PE</w:t>
            </w:r>
            <w:r>
              <w:rPr>
                <w:rFonts w:eastAsia="宋体"/>
                <w:sz w:val="18"/>
                <w:szCs w:val="18"/>
                <w:lang w:val="en-CA" w:eastAsia="en-CA"/>
              </w:rPr>
              <w:t>N</w:t>
            </w:r>
            <w:r>
              <w:rPr>
                <w:rFonts w:eastAsia="AdvGulliv-R"/>
                <w:sz w:val="18"/>
                <w:szCs w:val="18"/>
                <w:lang w:val="en-CA" w:eastAsia="en-CA"/>
              </w:rPr>
              <w:t>/ITO/</w:t>
            </w:r>
            <w:r>
              <w:rPr>
                <w:rFonts w:eastAsia="宋体"/>
                <w:sz w:val="18"/>
                <w:szCs w:val="18"/>
                <w:lang w:val="en-CA" w:eastAsia="en-CA"/>
              </w:rPr>
              <w:t>PTAA</w:t>
            </w:r>
            <w:r>
              <w:rPr>
                <w:rFonts w:eastAsia="AdvGulliv-R"/>
                <w:sz w:val="18"/>
                <w:szCs w:val="18"/>
                <w:lang w:val="en-CA" w:eastAsia="en-CA"/>
              </w:rPr>
              <w:t>/Perovskite</w:t>
            </w:r>
          </w:p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AdvGulliv-R"/>
                <w:sz w:val="18"/>
                <w:szCs w:val="18"/>
                <w:lang w:val="en-CA" w:eastAsia="en-CA"/>
              </w:rPr>
            </w:pPr>
            <w:r>
              <w:rPr>
                <w:rFonts w:eastAsia="AdvGulliv-R"/>
                <w:sz w:val="18"/>
                <w:szCs w:val="18"/>
                <w:lang w:val="en-CA" w:eastAsia="en-CA"/>
              </w:rPr>
              <w:t>/</w:t>
            </w:r>
            <w:r>
              <w:rPr>
                <w:rFonts w:eastAsia="宋体"/>
                <w:sz w:val="18"/>
                <w:szCs w:val="18"/>
                <w:lang w:val="en-CA" w:eastAsia="en-CA"/>
              </w:rPr>
              <w:t>Origanic BHJ/Zr(acac)</w:t>
            </w:r>
            <w:r>
              <w:rPr>
                <w:rFonts w:eastAsia="宋体"/>
                <w:sz w:val="18"/>
                <w:szCs w:val="18"/>
                <w:vertAlign w:val="subscript"/>
                <w:lang w:val="en-CA" w:eastAsia="en-CA"/>
              </w:rPr>
              <w:t>4</w:t>
            </w:r>
            <w:r>
              <w:rPr>
                <w:rFonts w:eastAsia="AdvGulliv-R"/>
                <w:sz w:val="18"/>
                <w:szCs w:val="18"/>
                <w:lang w:val="en-CA" w:eastAsia="en-CA"/>
              </w:rPr>
              <w:t>/Au</w:t>
            </w:r>
          </w:p>
        </w:tc>
        <w:tc>
          <w:tcPr>
            <w:tcW w:w="992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AdvGulliv-R"/>
                <w:sz w:val="18"/>
                <w:szCs w:val="18"/>
                <w:lang w:val="en-CA" w:eastAsia="en-CA"/>
              </w:rPr>
            </w:pPr>
            <w:r>
              <w:rPr>
                <w:rFonts w:eastAsia="AdvGulliv-R"/>
                <w:sz w:val="18"/>
                <w:szCs w:val="18"/>
                <w:lang w:val="en-CA" w:eastAsia="en-CA"/>
              </w:rPr>
              <w:t>P-I-N</w:t>
            </w:r>
          </w:p>
        </w:tc>
        <w:tc>
          <w:tcPr>
            <w:tcW w:w="709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en-CA"/>
              </w:rPr>
            </w:pPr>
            <w:r>
              <w:rPr>
                <w:rFonts w:eastAsia="宋体"/>
                <w:sz w:val="18"/>
                <w:szCs w:val="18"/>
                <w:lang w:val="en-CA" w:eastAsia="en-CA"/>
              </w:rPr>
              <w:t>1.127</w:t>
            </w:r>
          </w:p>
        </w:tc>
        <w:tc>
          <w:tcPr>
            <w:tcW w:w="1134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en-CA"/>
              </w:rPr>
            </w:pPr>
            <w:r>
              <w:rPr>
                <w:rFonts w:eastAsia="宋体"/>
                <w:sz w:val="18"/>
                <w:szCs w:val="18"/>
                <w:lang w:val="en-CA" w:eastAsia="en-CA"/>
              </w:rPr>
              <w:t>24.82</w:t>
            </w:r>
          </w:p>
        </w:tc>
        <w:tc>
          <w:tcPr>
            <w:tcW w:w="709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en-CA"/>
              </w:rPr>
            </w:pPr>
            <w:r>
              <w:rPr>
                <w:rFonts w:eastAsia="宋体"/>
                <w:sz w:val="18"/>
                <w:szCs w:val="18"/>
                <w:lang w:val="en-CA" w:eastAsia="en-CA"/>
              </w:rPr>
              <w:t>77.68</w:t>
            </w:r>
          </w:p>
        </w:tc>
        <w:tc>
          <w:tcPr>
            <w:tcW w:w="708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en-CA"/>
              </w:rPr>
            </w:pPr>
            <w:r>
              <w:rPr>
                <w:rFonts w:eastAsia="宋体"/>
                <w:sz w:val="18"/>
                <w:szCs w:val="18"/>
                <w:lang w:val="en-CA" w:eastAsia="en-CA"/>
              </w:rPr>
              <w:t>21.73</w:t>
            </w:r>
          </w:p>
        </w:tc>
        <w:tc>
          <w:tcPr>
            <w:tcW w:w="709" w:type="dxa"/>
            <w:tcBorders>
              <w:top w:val="nil"/>
              <w:left w:val="dotted" w:color="auto" w:sz="4" w:space="0"/>
              <w:bottom w:val="nil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en-CA"/>
              </w:rPr>
            </w:pPr>
            <w:r>
              <w:rPr>
                <w:rFonts w:eastAsia="宋体"/>
                <w:sz w:val="18"/>
                <w:szCs w:val="18"/>
                <w:lang w:val="en-CA" w:eastAsia="en-CA"/>
              </w:rPr>
              <w:t>2021</w:t>
            </w:r>
          </w:p>
        </w:tc>
        <w:tc>
          <w:tcPr>
            <w:tcW w:w="1134" w:type="dxa"/>
            <w:tcBorders>
              <w:top w:val="nil"/>
              <w:left w:val="dotted" w:color="auto" w:sz="4" w:space="0"/>
              <w:bottom w:val="nil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color w:val="0070C0"/>
                <w:sz w:val="18"/>
                <w:szCs w:val="18"/>
                <w:lang w:val="en-CA" w:eastAsia="en-CA"/>
              </w:rPr>
            </w:pPr>
            <w:r>
              <w:rPr>
                <w:rFonts w:hint="eastAsia" w:eastAsia="宋体"/>
                <w:color w:val="0070C0"/>
                <w:sz w:val="18"/>
                <w:szCs w:val="18"/>
                <w:lang w:val="en-US" w:eastAsia="zh-CN"/>
              </w:rPr>
              <w:t>1</w:t>
            </w:r>
            <w:r>
              <w:rPr>
                <w:rFonts w:eastAsia="宋体"/>
                <w:color w:val="0070C0"/>
                <w:sz w:val="18"/>
                <w:szCs w:val="18"/>
                <w:lang w:val="en-CA" w:eastAsia="en-CA"/>
              </w:rPr>
              <w:t>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261" w:type="dxa"/>
            <w:tcBorders>
              <w:top w:val="nil"/>
              <w:bottom w:val="thinThickSmallGap" w:color="auto" w:sz="18" w:space="0"/>
              <w:right w:val="dotted" w:color="auto" w:sz="4" w:space="0"/>
            </w:tcBorders>
            <w:shd w:val="clear" w:color="auto" w:fill="E6E0EC" w:themeFill="accent4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AdvGulliv-R"/>
                <w:b/>
                <w:sz w:val="18"/>
                <w:szCs w:val="18"/>
                <w:lang w:val="en-CA" w:eastAsia="en-CA"/>
              </w:rPr>
            </w:pPr>
            <w:r>
              <w:rPr>
                <w:rFonts w:eastAsia="AdvGulliv-R"/>
                <w:b/>
                <w:sz w:val="18"/>
                <w:szCs w:val="18"/>
                <w:lang w:val="en-CA" w:eastAsia="en-CA"/>
              </w:rPr>
              <w:t>PET/ITO /SnO</w:t>
            </w:r>
            <w:r>
              <w:rPr>
                <w:rFonts w:eastAsia="AdvGulliv-R"/>
                <w:b/>
                <w:sz w:val="18"/>
                <w:szCs w:val="18"/>
                <w:vertAlign w:val="subscript"/>
                <w:lang w:val="en-CA" w:eastAsia="en-CA"/>
              </w:rPr>
              <w:t>2</w:t>
            </w:r>
            <w:r>
              <w:rPr>
                <w:rFonts w:eastAsia="AdvGulliv-R"/>
                <w:b/>
                <w:sz w:val="18"/>
                <w:szCs w:val="18"/>
                <w:lang w:val="en-CA" w:eastAsia="en-CA"/>
              </w:rPr>
              <w:t>/Perovs-</w:t>
            </w:r>
          </w:p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AdvGulliv-R"/>
                <w:sz w:val="18"/>
                <w:szCs w:val="18"/>
                <w:lang w:val="en-CA" w:eastAsia="en-CA"/>
              </w:rPr>
            </w:pPr>
            <w:r>
              <w:rPr>
                <w:rFonts w:eastAsia="AdvGulliv-R"/>
                <w:b/>
                <w:sz w:val="18"/>
                <w:szCs w:val="18"/>
                <w:lang w:val="en-CA" w:eastAsia="en-CA"/>
              </w:rPr>
              <w:t>kite/Spiro-OMeTAD/Au</w:t>
            </w:r>
          </w:p>
        </w:tc>
        <w:tc>
          <w:tcPr>
            <w:tcW w:w="992" w:type="dxa"/>
            <w:tcBorders>
              <w:top w:val="nil"/>
              <w:left w:val="dotted" w:color="auto" w:sz="4" w:space="0"/>
              <w:bottom w:val="thinThickSmallGap" w:color="auto" w:sz="18" w:space="0"/>
              <w:right w:val="dotted" w:color="auto" w:sz="4" w:space="0"/>
            </w:tcBorders>
            <w:shd w:val="clear" w:color="auto" w:fill="E6E0EC" w:themeFill="accent4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AdvGulliv-R"/>
                <w:b/>
                <w:sz w:val="18"/>
                <w:szCs w:val="18"/>
                <w:lang w:val="en-CA" w:eastAsia="en-CA"/>
              </w:rPr>
            </w:pPr>
            <w:r>
              <w:rPr>
                <w:rFonts w:eastAsia="AdvGulliv-R"/>
                <w:b/>
                <w:sz w:val="18"/>
                <w:szCs w:val="18"/>
                <w:lang w:val="en-CA" w:eastAsia="en-CA"/>
              </w:rPr>
              <w:t>N-I-P</w:t>
            </w:r>
          </w:p>
        </w:tc>
        <w:tc>
          <w:tcPr>
            <w:tcW w:w="709" w:type="dxa"/>
            <w:tcBorders>
              <w:top w:val="nil"/>
              <w:left w:val="dotted" w:color="auto" w:sz="4" w:space="0"/>
              <w:bottom w:val="thinThickSmallGap" w:color="auto" w:sz="18" w:space="0"/>
              <w:right w:val="dotted" w:color="auto" w:sz="4" w:space="0"/>
            </w:tcBorders>
            <w:shd w:val="clear" w:color="auto" w:fill="E6E0EC" w:themeFill="accent4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AdvGulliv-R"/>
                <w:b/>
                <w:sz w:val="18"/>
                <w:szCs w:val="18"/>
                <w:lang w:val="en-CA" w:eastAsia="en-CA"/>
              </w:rPr>
            </w:pPr>
            <w:r>
              <w:rPr>
                <w:rFonts w:eastAsia="AdvGulliv-R"/>
                <w:b/>
                <w:sz w:val="18"/>
                <w:szCs w:val="18"/>
                <w:lang w:val="en-CA" w:eastAsia="en-CA"/>
              </w:rPr>
              <w:t>1.167</w:t>
            </w:r>
          </w:p>
        </w:tc>
        <w:tc>
          <w:tcPr>
            <w:tcW w:w="1134" w:type="dxa"/>
            <w:tcBorders>
              <w:top w:val="nil"/>
              <w:left w:val="dotted" w:color="auto" w:sz="4" w:space="0"/>
              <w:bottom w:val="thinThickSmallGap" w:color="auto" w:sz="18" w:space="0"/>
              <w:right w:val="dotted" w:color="auto" w:sz="4" w:space="0"/>
            </w:tcBorders>
            <w:shd w:val="clear" w:color="auto" w:fill="E6E0EC" w:themeFill="accent4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AdvGulliv-R"/>
                <w:b/>
                <w:sz w:val="18"/>
                <w:szCs w:val="18"/>
                <w:lang w:val="en-CA" w:eastAsia="en-CA"/>
              </w:rPr>
            </w:pPr>
            <w:r>
              <w:rPr>
                <w:rFonts w:eastAsia="AdvGulliv-R"/>
                <w:b/>
                <w:sz w:val="18"/>
                <w:szCs w:val="18"/>
                <w:lang w:val="en-CA" w:eastAsia="en-CA"/>
              </w:rPr>
              <w:t>24.69</w:t>
            </w:r>
          </w:p>
        </w:tc>
        <w:tc>
          <w:tcPr>
            <w:tcW w:w="709" w:type="dxa"/>
            <w:tcBorders>
              <w:top w:val="nil"/>
              <w:left w:val="dotted" w:color="auto" w:sz="4" w:space="0"/>
              <w:bottom w:val="thinThickSmallGap" w:color="auto" w:sz="18" w:space="0"/>
              <w:right w:val="dotted" w:color="auto" w:sz="4" w:space="0"/>
            </w:tcBorders>
            <w:shd w:val="clear" w:color="auto" w:fill="E6E0EC" w:themeFill="accent4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AdvGulliv-R"/>
                <w:b/>
                <w:sz w:val="18"/>
                <w:szCs w:val="18"/>
                <w:lang w:val="en-CA" w:eastAsia="en-CA"/>
              </w:rPr>
            </w:pPr>
            <w:r>
              <w:rPr>
                <w:rFonts w:eastAsia="AdvGulliv-R"/>
                <w:b/>
                <w:sz w:val="18"/>
                <w:szCs w:val="18"/>
                <w:lang w:val="en-CA" w:eastAsia="en-CA"/>
              </w:rPr>
              <w:t>79.63</w:t>
            </w:r>
          </w:p>
        </w:tc>
        <w:tc>
          <w:tcPr>
            <w:tcW w:w="708" w:type="dxa"/>
            <w:tcBorders>
              <w:top w:val="nil"/>
              <w:left w:val="dotted" w:color="auto" w:sz="4" w:space="0"/>
              <w:bottom w:val="thinThickSmallGap" w:color="auto" w:sz="18" w:space="0"/>
              <w:right w:val="dotted" w:color="auto" w:sz="4" w:space="0"/>
            </w:tcBorders>
            <w:shd w:val="clear" w:color="auto" w:fill="E6E0EC" w:themeFill="accent4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AdvGulliv-R"/>
                <w:sz w:val="18"/>
                <w:szCs w:val="18"/>
                <w:lang w:val="en-CA" w:eastAsia="en-CA"/>
              </w:rPr>
            </w:pPr>
            <w:r>
              <w:rPr>
                <w:rFonts w:eastAsia="AdvGulliv-R"/>
                <w:b/>
                <w:bCs/>
                <w:sz w:val="18"/>
                <w:szCs w:val="18"/>
                <w:lang w:val="en-CA" w:eastAsia="en-CA"/>
              </w:rPr>
              <w:t>22.78</w:t>
            </w:r>
          </w:p>
        </w:tc>
        <w:tc>
          <w:tcPr>
            <w:tcW w:w="1843" w:type="dxa"/>
            <w:gridSpan w:val="2"/>
            <w:tcBorders>
              <w:top w:val="nil"/>
              <w:left w:val="dotted" w:color="auto" w:sz="4" w:space="0"/>
              <w:bottom w:val="thinThickSmallGap" w:color="auto" w:sz="18" w:space="0"/>
            </w:tcBorders>
            <w:shd w:val="clear" w:color="auto" w:fill="E6E0EC" w:themeFill="accent4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AdvGulliv-R"/>
                <w:b/>
                <w:sz w:val="18"/>
                <w:szCs w:val="18"/>
                <w:lang w:val="en-CA" w:eastAsia="en-CA"/>
              </w:rPr>
            </w:pPr>
            <w:r>
              <w:rPr>
                <w:rFonts w:eastAsia="AdvGulliv-R"/>
                <w:b/>
                <w:sz w:val="18"/>
                <w:szCs w:val="18"/>
                <w:lang w:val="en-CA" w:eastAsia="en-CA"/>
              </w:rPr>
              <w:t>This work</w:t>
            </w:r>
          </w:p>
        </w:tc>
      </w:tr>
    </w:tbl>
    <w:p>
      <w:pPr>
        <w:rPr>
          <w:rFonts w:eastAsia="宋体"/>
          <w:b/>
          <w:bCs/>
          <w:szCs w:val="18"/>
          <w:shd w:val="clear" w:color="auto" w:fill="FFFFFF"/>
        </w:rPr>
      </w:pPr>
    </w:p>
    <w:p>
      <w:pPr>
        <w:rPr>
          <w:rFonts w:hint="eastAsia"/>
          <w:b/>
          <w:bCs/>
          <w:color w:val="000000" w:themeColor="text1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bCs/>
          <w:color w:val="000000" w:themeColor="text1"/>
          <w:szCs w:val="24"/>
          <w:lang w:val="en-US" w:eastAsia="zh-CN"/>
          <w14:textFill>
            <w14:solidFill>
              <w14:schemeClr w14:val="tx1"/>
            </w14:solidFill>
          </w14:textFill>
        </w:rPr>
        <w:br w:type="page"/>
      </w:r>
    </w:p>
    <w:p>
      <w:pPr>
        <w:rPr>
          <w:rFonts w:eastAsia="宋体"/>
          <w:b/>
          <w:bCs/>
          <w:szCs w:val="18"/>
          <w:shd w:val="clear" w:color="auto" w:fill="FFFFFF"/>
        </w:rPr>
      </w:pPr>
      <w:r>
        <w:rPr>
          <w:rFonts w:hint="eastAsia"/>
          <w:b/>
          <w:bCs/>
          <w:color w:val="000000" w:themeColor="text1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Supplementary </w:t>
      </w:r>
      <w:r>
        <w:rPr>
          <w:rFonts w:eastAsia="宋体"/>
          <w:b/>
          <w:bCs/>
          <w:szCs w:val="18"/>
          <w:shd w:val="clear" w:color="auto" w:fill="FFFFFF"/>
        </w:rPr>
        <w:t>Table 3.</w:t>
      </w:r>
      <w:r>
        <w:rPr>
          <w:rFonts w:eastAsia="宋体"/>
          <w:szCs w:val="18"/>
          <w:shd w:val="clear" w:color="auto" w:fill="FFFFFF"/>
        </w:rPr>
        <w:t xml:space="preserve"> Summary of progress on perovskite/silicon TSCs with the efficiency over 25%.</w:t>
      </w:r>
    </w:p>
    <w:tbl>
      <w:tblPr>
        <w:tblStyle w:val="107"/>
        <w:tblW w:w="9908" w:type="dxa"/>
        <w:tblInd w:w="15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6"/>
        <w:gridCol w:w="1949"/>
        <w:gridCol w:w="750"/>
        <w:gridCol w:w="990"/>
        <w:gridCol w:w="780"/>
        <w:gridCol w:w="900"/>
        <w:gridCol w:w="930"/>
        <w:gridCol w:w="770"/>
        <w:gridCol w:w="1153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686" w:type="dxa"/>
            <w:tcBorders>
              <w:top w:val="thickThinSmallGap" w:color="auto" w:sz="18" w:space="0"/>
              <w:bottom w:val="single" w:color="auto" w:sz="8" w:space="0"/>
              <w:right w:val="dotted" w:color="auto" w:sz="4" w:space="0"/>
            </w:tcBorders>
            <w:shd w:val="clear" w:color="auto" w:fill="DCD8C2" w:themeFill="background2" w:themeFillShade="E5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b/>
                <w:bCs/>
                <w:sz w:val="18"/>
                <w:szCs w:val="18"/>
                <w:lang w:val="en-CA" w:eastAsia="en-CA"/>
              </w:rPr>
            </w:pPr>
            <w:r>
              <w:rPr>
                <w:rFonts w:eastAsia="宋体"/>
                <w:b/>
                <w:bCs/>
                <w:sz w:val="18"/>
                <w:szCs w:val="18"/>
                <w:lang w:val="en-CA" w:eastAsia="en-CA"/>
              </w:rPr>
              <w:t>The texture of silicon substrates</w:t>
            </w:r>
          </w:p>
        </w:tc>
        <w:tc>
          <w:tcPr>
            <w:tcW w:w="1949" w:type="dxa"/>
            <w:tcBorders>
              <w:top w:val="thickThinSmallGap" w:color="auto" w:sz="18" w:space="0"/>
              <w:left w:val="dotted" w:color="auto" w:sz="4" w:space="0"/>
              <w:bottom w:val="single" w:color="auto" w:sz="8" w:space="0"/>
              <w:right w:val="dotted" w:color="auto" w:sz="4" w:space="0"/>
            </w:tcBorders>
            <w:shd w:val="clear" w:color="auto" w:fill="DCD8C2" w:themeFill="background2" w:themeFillShade="E5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b/>
                <w:bCs/>
                <w:sz w:val="18"/>
                <w:szCs w:val="18"/>
                <w:lang w:val="en-CA" w:eastAsia="en-CA"/>
              </w:rPr>
            </w:pPr>
            <w:r>
              <w:rPr>
                <w:rFonts w:eastAsia="宋体"/>
                <w:b/>
                <w:bCs/>
                <w:sz w:val="18"/>
                <w:szCs w:val="18"/>
                <w:lang w:val="en-CA" w:eastAsia="en-CA"/>
              </w:rPr>
              <w:t>Fabrication methods</w:t>
            </w:r>
          </w:p>
        </w:tc>
        <w:tc>
          <w:tcPr>
            <w:tcW w:w="750" w:type="dxa"/>
            <w:tcBorders>
              <w:top w:val="thickThinSmallGap" w:color="auto" w:sz="18" w:space="0"/>
              <w:left w:val="dotted" w:color="auto" w:sz="4" w:space="0"/>
              <w:bottom w:val="single" w:color="auto" w:sz="8" w:space="0"/>
              <w:right w:val="dotted" w:color="auto" w:sz="4" w:space="0"/>
            </w:tcBorders>
            <w:shd w:val="clear" w:color="auto" w:fill="DCD8C2" w:themeFill="background2" w:themeFillShade="E5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both"/>
              <w:rPr>
                <w:rFonts w:eastAsia="宋体"/>
                <w:b/>
                <w:bCs/>
                <w:sz w:val="18"/>
                <w:szCs w:val="18"/>
                <w:lang w:val="en-CA" w:eastAsia="en-CA"/>
              </w:rPr>
            </w:pPr>
            <w:r>
              <w:rPr>
                <w:rFonts w:eastAsia="AdvGulliv-R"/>
                <w:b/>
                <w:bCs/>
                <w:i/>
                <w:iCs/>
                <w:sz w:val="18"/>
                <w:szCs w:val="18"/>
                <w:lang w:val="en-CA" w:eastAsia="en-CA"/>
              </w:rPr>
              <w:t>V</w:t>
            </w:r>
            <w:r>
              <w:rPr>
                <w:rFonts w:eastAsia="AdvGulliv-R"/>
                <w:b/>
                <w:bCs/>
                <w:i/>
                <w:iCs/>
                <w:sz w:val="18"/>
                <w:szCs w:val="18"/>
                <w:vertAlign w:val="subscript"/>
                <w:lang w:val="en-CA" w:eastAsia="en-CA"/>
              </w:rPr>
              <w:t>OC</w:t>
            </w:r>
            <w:r>
              <w:rPr>
                <w:rFonts w:eastAsia="AdvGulliv-R"/>
                <w:b/>
                <w:bCs/>
                <w:sz w:val="18"/>
                <w:szCs w:val="18"/>
                <w:lang w:val="en-CA" w:eastAsia="en-CA"/>
              </w:rPr>
              <w:t xml:space="preserve"> (V)</w:t>
            </w:r>
          </w:p>
        </w:tc>
        <w:tc>
          <w:tcPr>
            <w:tcW w:w="990" w:type="dxa"/>
            <w:tcBorders>
              <w:top w:val="thickThinSmallGap" w:color="auto" w:sz="18" w:space="0"/>
              <w:left w:val="dotted" w:color="auto" w:sz="4" w:space="0"/>
              <w:bottom w:val="single" w:color="auto" w:sz="8" w:space="0"/>
              <w:right w:val="dotted" w:color="auto" w:sz="4" w:space="0"/>
            </w:tcBorders>
            <w:shd w:val="clear" w:color="auto" w:fill="DCD8C2" w:themeFill="background2" w:themeFillShade="E5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AdvGulliv-R"/>
                <w:b/>
                <w:bCs/>
                <w:sz w:val="18"/>
                <w:szCs w:val="18"/>
                <w:lang w:val="en-CA" w:eastAsia="en-CA"/>
              </w:rPr>
            </w:pPr>
            <w:r>
              <w:rPr>
                <w:rFonts w:eastAsia="AdvGulliv-R"/>
                <w:b/>
                <w:bCs/>
                <w:i/>
                <w:iCs/>
                <w:sz w:val="18"/>
                <w:szCs w:val="18"/>
                <w:lang w:val="en-CA" w:eastAsia="en-CA"/>
              </w:rPr>
              <w:t>J</w:t>
            </w:r>
            <w:r>
              <w:rPr>
                <w:rFonts w:eastAsia="AdvGulliv-R"/>
                <w:b/>
                <w:bCs/>
                <w:i/>
                <w:iCs/>
                <w:sz w:val="18"/>
                <w:szCs w:val="18"/>
                <w:vertAlign w:val="subscript"/>
                <w:lang w:val="en-CA" w:eastAsia="en-CA"/>
              </w:rPr>
              <w:t>SC</w:t>
            </w:r>
            <w:r>
              <w:rPr>
                <w:rFonts w:eastAsia="AdvGulliv-R"/>
                <w:b/>
                <w:bCs/>
                <w:sz w:val="18"/>
                <w:szCs w:val="18"/>
                <w:vertAlign w:val="subscript"/>
                <w:lang w:val="en-CA" w:eastAsia="en-CA"/>
              </w:rPr>
              <w:t xml:space="preserve"> </w:t>
            </w:r>
            <w:r>
              <w:rPr>
                <w:rFonts w:eastAsia="宋体"/>
                <w:b/>
                <w:bCs/>
                <w:sz w:val="18"/>
                <w:szCs w:val="18"/>
                <w:vertAlign w:val="subscript"/>
                <w:lang w:val="en-CA" w:eastAsia="en-CA"/>
              </w:rPr>
              <w:t xml:space="preserve"> </w:t>
            </w:r>
            <w:r>
              <w:rPr>
                <w:rFonts w:eastAsia="AdvGulliv-R"/>
                <w:b/>
                <w:bCs/>
                <w:sz w:val="18"/>
                <w:szCs w:val="18"/>
                <w:lang w:val="en-CA" w:eastAsia="en-CA"/>
              </w:rPr>
              <w:t>(mA/cm</w:t>
            </w:r>
            <w:r>
              <w:rPr>
                <w:rFonts w:eastAsia="AdvGulliv-R"/>
                <w:b/>
                <w:bCs/>
                <w:sz w:val="18"/>
                <w:szCs w:val="18"/>
                <w:vertAlign w:val="superscript"/>
                <w:lang w:val="en-CA" w:eastAsia="en-CA"/>
              </w:rPr>
              <w:t>2</w:t>
            </w:r>
            <w:r>
              <w:rPr>
                <w:rFonts w:eastAsia="AdvGulliv-R"/>
                <w:b/>
                <w:bCs/>
                <w:sz w:val="18"/>
                <w:szCs w:val="18"/>
                <w:lang w:val="en-CA" w:eastAsia="en-CA"/>
              </w:rPr>
              <w:t>)</w:t>
            </w:r>
          </w:p>
        </w:tc>
        <w:tc>
          <w:tcPr>
            <w:tcW w:w="780" w:type="dxa"/>
            <w:tcBorders>
              <w:top w:val="thickThinSmallGap" w:color="auto" w:sz="18" w:space="0"/>
              <w:left w:val="dotted" w:color="auto" w:sz="4" w:space="0"/>
              <w:bottom w:val="single" w:color="auto" w:sz="8" w:space="0"/>
              <w:right w:val="dotted" w:color="auto" w:sz="4" w:space="0"/>
            </w:tcBorders>
            <w:shd w:val="clear" w:color="auto" w:fill="DCD8C2" w:themeFill="background2" w:themeFillShade="E5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AdvGulliv-R"/>
                <w:b/>
                <w:bCs/>
                <w:sz w:val="18"/>
                <w:szCs w:val="18"/>
                <w:lang w:val="en-CA" w:eastAsia="en-CA"/>
              </w:rPr>
            </w:pPr>
            <w:r>
              <w:rPr>
                <w:rFonts w:eastAsia="AdvGulliv-R"/>
                <w:b/>
                <w:bCs/>
                <w:i/>
                <w:iCs/>
                <w:sz w:val="18"/>
                <w:szCs w:val="18"/>
                <w:lang w:val="en-CA" w:eastAsia="en-CA"/>
              </w:rPr>
              <w:t>FF</w:t>
            </w:r>
            <w:r>
              <w:rPr>
                <w:rFonts w:eastAsia="AdvGulliv-R"/>
                <w:b/>
                <w:bCs/>
                <w:sz w:val="18"/>
                <w:szCs w:val="18"/>
                <w:lang w:val="en-CA" w:eastAsia="en-CA"/>
              </w:rPr>
              <w:t xml:space="preserve"> (%)</w:t>
            </w:r>
          </w:p>
        </w:tc>
        <w:tc>
          <w:tcPr>
            <w:tcW w:w="900" w:type="dxa"/>
            <w:tcBorders>
              <w:top w:val="thickThinSmallGap" w:color="auto" w:sz="18" w:space="0"/>
              <w:left w:val="dotted" w:color="auto" w:sz="4" w:space="0"/>
              <w:bottom w:val="single" w:color="auto" w:sz="8" w:space="0"/>
              <w:right w:val="dotted" w:color="auto" w:sz="4" w:space="0"/>
            </w:tcBorders>
            <w:shd w:val="clear" w:color="auto" w:fill="DCD8C2" w:themeFill="background2" w:themeFillShade="E5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AdvGulliv-R"/>
                <w:b/>
                <w:bCs/>
                <w:sz w:val="18"/>
                <w:szCs w:val="18"/>
                <w:lang w:val="en-CA" w:eastAsia="en-CA"/>
              </w:rPr>
            </w:pPr>
            <w:r>
              <w:rPr>
                <w:rFonts w:eastAsia="AdvGulliv-R"/>
                <w:b/>
                <w:bCs/>
                <w:sz w:val="18"/>
                <w:szCs w:val="18"/>
                <w:lang w:val="en-CA" w:eastAsia="en-CA"/>
              </w:rPr>
              <w:t>PCE (%)</w:t>
            </w:r>
          </w:p>
        </w:tc>
        <w:tc>
          <w:tcPr>
            <w:tcW w:w="930" w:type="dxa"/>
            <w:tcBorders>
              <w:top w:val="thickThinSmallGap" w:color="auto" w:sz="18" w:space="0"/>
              <w:left w:val="dotted" w:color="auto" w:sz="4" w:space="0"/>
              <w:bottom w:val="single" w:color="auto" w:sz="8" w:space="0"/>
              <w:right w:val="dotted" w:color="auto" w:sz="4" w:space="0"/>
            </w:tcBorders>
            <w:shd w:val="clear" w:color="auto" w:fill="DCD8C2" w:themeFill="background2" w:themeFillShade="E5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b/>
                <w:bCs/>
                <w:sz w:val="18"/>
                <w:szCs w:val="18"/>
                <w:lang w:val="en-CA" w:eastAsia="en-CA"/>
              </w:rPr>
            </w:pPr>
            <w:r>
              <w:rPr>
                <w:rFonts w:eastAsia="宋体"/>
                <w:b/>
                <w:bCs/>
                <w:sz w:val="18"/>
                <w:szCs w:val="18"/>
                <w:lang w:val="en-CA" w:eastAsia="en-CA"/>
              </w:rPr>
              <w:t>Certification</w:t>
            </w:r>
          </w:p>
        </w:tc>
        <w:tc>
          <w:tcPr>
            <w:tcW w:w="770" w:type="dxa"/>
            <w:tcBorders>
              <w:top w:val="thickThinSmallGap" w:color="auto" w:sz="18" w:space="0"/>
              <w:left w:val="dotted" w:color="auto" w:sz="4" w:space="0"/>
              <w:bottom w:val="single" w:color="auto" w:sz="8" w:space="0"/>
              <w:right w:val="dotted" w:color="auto" w:sz="4" w:space="0"/>
            </w:tcBorders>
            <w:shd w:val="clear" w:color="auto" w:fill="DCD8C2" w:themeFill="background2" w:themeFillShade="E5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AdvGulliv-R"/>
                <w:b/>
                <w:bCs/>
                <w:sz w:val="18"/>
                <w:szCs w:val="18"/>
                <w:lang w:val="en-CA" w:eastAsia="en-CA"/>
              </w:rPr>
            </w:pPr>
            <w:r>
              <w:rPr>
                <w:rFonts w:eastAsia="AdvGulliv-R"/>
                <w:b/>
                <w:bCs/>
                <w:sz w:val="18"/>
                <w:szCs w:val="18"/>
                <w:lang w:val="en-CA" w:eastAsia="en-CA"/>
              </w:rPr>
              <w:t>Years</w:t>
            </w:r>
          </w:p>
        </w:tc>
        <w:tc>
          <w:tcPr>
            <w:tcW w:w="1153" w:type="dxa"/>
            <w:tcBorders>
              <w:top w:val="thickThinSmallGap" w:color="auto" w:sz="18" w:space="0"/>
              <w:left w:val="dotted" w:color="auto" w:sz="4" w:space="0"/>
              <w:bottom w:val="single" w:color="auto" w:sz="8" w:space="0"/>
            </w:tcBorders>
            <w:shd w:val="clear" w:color="auto" w:fill="DCD8C2" w:themeFill="background2" w:themeFillShade="E5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AdvGulliv-R"/>
                <w:b/>
                <w:bCs/>
                <w:sz w:val="18"/>
                <w:szCs w:val="18"/>
                <w:lang w:val="en-CA" w:eastAsia="en-CA"/>
              </w:rPr>
            </w:pPr>
            <w:r>
              <w:rPr>
                <w:rFonts w:eastAsia="AdvGulliv-R"/>
                <w:b/>
                <w:bCs/>
                <w:sz w:val="18"/>
                <w:szCs w:val="18"/>
                <w:lang w:val="en-CA" w:eastAsia="en-CA"/>
              </w:rPr>
              <w:t>References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exact"/>
        </w:trPr>
        <w:tc>
          <w:tcPr>
            <w:tcW w:w="1686" w:type="dxa"/>
            <w:tcBorders>
              <w:top w:val="single" w:color="auto" w:sz="8" w:space="0"/>
              <w:bottom w:val="nil"/>
              <w:right w:val="dotted" w:color="auto" w:sz="4" w:space="0"/>
            </w:tcBorders>
            <w:shd w:val="clear" w:color="auto" w:fill="8DB3E2" w:themeFill="text2" w:themeFillTint="66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en-CA"/>
              </w:rPr>
            </w:pPr>
            <w:r>
              <w:rPr>
                <w:rFonts w:eastAsia="宋体"/>
                <w:sz w:val="18"/>
                <w:szCs w:val="18"/>
                <w:lang w:val="en-CA" w:eastAsia="en-CA"/>
              </w:rPr>
              <w:t>Double-side</w:t>
            </w:r>
          </w:p>
        </w:tc>
        <w:tc>
          <w:tcPr>
            <w:tcW w:w="1949" w:type="dxa"/>
            <w:tcBorders>
              <w:top w:val="single" w:color="auto" w:sz="8" w:space="0"/>
              <w:left w:val="dotted" w:color="auto" w:sz="4" w:space="0"/>
              <w:bottom w:val="nil"/>
              <w:right w:val="dotted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en-CA"/>
              </w:rPr>
            </w:pPr>
            <w:r>
              <w:rPr>
                <w:rFonts w:eastAsia="宋体"/>
                <w:sz w:val="18"/>
                <w:szCs w:val="18"/>
                <w:lang w:val="en-CA" w:eastAsia="en-CA"/>
              </w:rPr>
              <w:t>Evaporation-solution hybrid</w:t>
            </w:r>
          </w:p>
        </w:tc>
        <w:tc>
          <w:tcPr>
            <w:tcW w:w="750" w:type="dxa"/>
            <w:tcBorders>
              <w:top w:val="single" w:color="auto" w:sz="8" w:space="0"/>
              <w:left w:val="dotted" w:color="auto" w:sz="4" w:space="0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en-CA"/>
              </w:rPr>
            </w:pPr>
            <w:r>
              <w:rPr>
                <w:rFonts w:eastAsia="宋体"/>
                <w:sz w:val="18"/>
                <w:szCs w:val="18"/>
                <w:lang w:val="en-CA" w:eastAsia="en-CA"/>
              </w:rPr>
              <w:t>1.79</w:t>
            </w:r>
          </w:p>
        </w:tc>
        <w:tc>
          <w:tcPr>
            <w:tcW w:w="990" w:type="dxa"/>
            <w:tcBorders>
              <w:top w:val="single" w:color="auto" w:sz="8" w:space="0"/>
              <w:left w:val="dotted" w:color="auto" w:sz="4" w:space="0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en-CA"/>
              </w:rPr>
            </w:pPr>
            <w:r>
              <w:rPr>
                <w:rFonts w:eastAsia="宋体"/>
                <w:sz w:val="18"/>
                <w:szCs w:val="18"/>
                <w:lang w:val="en-CA" w:eastAsia="en-CA"/>
              </w:rPr>
              <w:t>19.5</w:t>
            </w:r>
          </w:p>
        </w:tc>
        <w:tc>
          <w:tcPr>
            <w:tcW w:w="780" w:type="dxa"/>
            <w:tcBorders>
              <w:top w:val="single" w:color="auto" w:sz="8" w:space="0"/>
              <w:left w:val="dotted" w:color="auto" w:sz="4" w:space="0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en-CA"/>
              </w:rPr>
            </w:pPr>
            <w:r>
              <w:rPr>
                <w:rFonts w:eastAsia="宋体"/>
                <w:sz w:val="18"/>
                <w:szCs w:val="18"/>
                <w:lang w:val="en-CA" w:eastAsia="en-CA"/>
              </w:rPr>
              <w:t>73.1</w:t>
            </w:r>
          </w:p>
        </w:tc>
        <w:tc>
          <w:tcPr>
            <w:tcW w:w="900" w:type="dxa"/>
            <w:tcBorders>
              <w:top w:val="single" w:color="auto" w:sz="8" w:space="0"/>
              <w:left w:val="dotted" w:color="auto" w:sz="4" w:space="0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en-CA"/>
              </w:rPr>
            </w:pPr>
            <w:r>
              <w:rPr>
                <w:rFonts w:eastAsia="宋体"/>
                <w:sz w:val="18"/>
                <w:szCs w:val="18"/>
                <w:lang w:val="en-CA" w:eastAsia="en-CA"/>
              </w:rPr>
              <w:t>25.52</w:t>
            </w:r>
          </w:p>
        </w:tc>
        <w:tc>
          <w:tcPr>
            <w:tcW w:w="930" w:type="dxa"/>
            <w:tcBorders>
              <w:top w:val="single" w:color="auto" w:sz="8" w:space="0"/>
              <w:left w:val="dotted" w:color="auto" w:sz="4" w:space="0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en-CA"/>
              </w:rPr>
            </w:pPr>
            <w:r>
              <w:rPr>
                <w:rFonts w:hint="eastAsia" w:eastAsia="宋体"/>
                <w:sz w:val="18"/>
                <w:szCs w:val="18"/>
                <w:lang w:val="en-CA" w:eastAsia="zh-CN"/>
              </w:rPr>
              <w:t>Yes</w:t>
            </w:r>
          </w:p>
        </w:tc>
        <w:tc>
          <w:tcPr>
            <w:tcW w:w="770" w:type="dxa"/>
            <w:tcBorders>
              <w:top w:val="single" w:color="auto" w:sz="8" w:space="0"/>
              <w:left w:val="dotted" w:color="auto" w:sz="4" w:space="0"/>
              <w:bottom w:val="nil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en-CA"/>
              </w:rPr>
            </w:pPr>
            <w:r>
              <w:rPr>
                <w:rFonts w:eastAsia="AdvGulliv-R"/>
                <w:sz w:val="18"/>
                <w:szCs w:val="18"/>
                <w:lang w:val="en-CA" w:eastAsia="en-CA"/>
              </w:rPr>
              <w:t>201</w:t>
            </w:r>
            <w:r>
              <w:rPr>
                <w:rFonts w:eastAsia="宋体"/>
                <w:sz w:val="18"/>
                <w:szCs w:val="18"/>
                <w:lang w:val="en-CA" w:eastAsia="en-CA"/>
              </w:rPr>
              <w:t>8</w:t>
            </w:r>
          </w:p>
        </w:tc>
        <w:tc>
          <w:tcPr>
            <w:tcW w:w="1153" w:type="dxa"/>
            <w:tcBorders>
              <w:top w:val="single" w:color="auto" w:sz="8" w:space="0"/>
              <w:left w:val="dotted" w:color="auto" w:sz="4" w:space="0"/>
              <w:bottom w:val="nil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color w:val="0070C0"/>
                <w:sz w:val="18"/>
                <w:szCs w:val="18"/>
                <w:lang w:val="en-CA" w:eastAsia="en-CA"/>
              </w:rPr>
            </w:pPr>
            <w:r>
              <w:rPr>
                <w:rFonts w:hint="eastAsia" w:eastAsia="宋体"/>
                <w:color w:val="0070C0"/>
                <w:sz w:val="18"/>
                <w:szCs w:val="18"/>
                <w:lang w:val="en-US" w:eastAsia="zh-CN"/>
              </w:rPr>
              <w:t>2</w:t>
            </w:r>
            <w:r>
              <w:rPr>
                <w:rFonts w:eastAsia="宋体"/>
                <w:color w:val="0070C0"/>
                <w:sz w:val="18"/>
                <w:szCs w:val="18"/>
                <w:lang w:val="en-CA" w:eastAsia="en-CA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686" w:type="dxa"/>
            <w:tcBorders>
              <w:top w:val="nil"/>
              <w:bottom w:val="nil"/>
              <w:right w:val="dotted" w:color="auto" w:sz="4" w:space="0"/>
            </w:tcBorders>
            <w:shd w:val="clear" w:color="auto" w:fill="FBD4B4" w:themeFill="accent6" w:themeFillTint="66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en-CA"/>
              </w:rPr>
            </w:pPr>
            <w:r>
              <w:rPr>
                <w:rFonts w:eastAsia="宋体"/>
                <w:sz w:val="18"/>
                <w:szCs w:val="18"/>
                <w:lang w:val="en-CA" w:eastAsia="en-CA"/>
              </w:rPr>
              <w:t>Single-side</w:t>
            </w:r>
          </w:p>
        </w:tc>
        <w:tc>
          <w:tcPr>
            <w:tcW w:w="1949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en-CA"/>
              </w:rPr>
            </w:pPr>
            <w:r>
              <w:rPr>
                <w:rFonts w:eastAsia="宋体"/>
                <w:sz w:val="18"/>
                <w:szCs w:val="18"/>
                <w:lang w:val="en-CA" w:eastAsia="en-CA"/>
              </w:rPr>
              <w:t>Spin-coating</w:t>
            </w:r>
          </w:p>
        </w:tc>
        <w:tc>
          <w:tcPr>
            <w:tcW w:w="750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en-CA"/>
              </w:rPr>
            </w:pPr>
            <w:r>
              <w:rPr>
                <w:rFonts w:eastAsia="宋体"/>
                <w:sz w:val="18"/>
                <w:szCs w:val="18"/>
                <w:lang w:val="en-CA" w:eastAsia="en-CA"/>
              </w:rPr>
              <w:t>1.80</w:t>
            </w:r>
          </w:p>
        </w:tc>
        <w:tc>
          <w:tcPr>
            <w:tcW w:w="990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en-CA"/>
              </w:rPr>
            </w:pPr>
            <w:r>
              <w:rPr>
                <w:rFonts w:eastAsia="宋体"/>
                <w:sz w:val="18"/>
                <w:szCs w:val="18"/>
                <w:lang w:val="en-CA" w:eastAsia="en-CA"/>
              </w:rPr>
              <w:t>17.8</w:t>
            </w:r>
          </w:p>
        </w:tc>
        <w:tc>
          <w:tcPr>
            <w:tcW w:w="780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en-CA"/>
              </w:rPr>
            </w:pPr>
            <w:r>
              <w:rPr>
                <w:rFonts w:eastAsia="宋体"/>
                <w:sz w:val="18"/>
                <w:szCs w:val="18"/>
                <w:lang w:val="en-CA" w:eastAsia="en-CA"/>
              </w:rPr>
              <w:t>79.4</w:t>
            </w:r>
          </w:p>
        </w:tc>
        <w:tc>
          <w:tcPr>
            <w:tcW w:w="900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en-CA"/>
              </w:rPr>
            </w:pPr>
            <w:r>
              <w:rPr>
                <w:rFonts w:eastAsia="宋体"/>
                <w:sz w:val="18"/>
                <w:szCs w:val="18"/>
                <w:lang w:val="en-CA" w:eastAsia="en-CA"/>
              </w:rPr>
              <w:t>25.4</w:t>
            </w:r>
          </w:p>
        </w:tc>
        <w:tc>
          <w:tcPr>
            <w:tcW w:w="930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en-CA"/>
              </w:rPr>
            </w:pPr>
            <w:r>
              <w:rPr>
                <w:rFonts w:eastAsia="宋体"/>
                <w:sz w:val="18"/>
                <w:szCs w:val="18"/>
                <w:lang w:val="en-CA" w:eastAsia="en-CA"/>
              </w:rPr>
              <w:t>No</w:t>
            </w:r>
          </w:p>
        </w:tc>
        <w:tc>
          <w:tcPr>
            <w:tcW w:w="770" w:type="dxa"/>
            <w:tcBorders>
              <w:top w:val="nil"/>
              <w:left w:val="dotted" w:color="auto" w:sz="4" w:space="0"/>
              <w:bottom w:val="nil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en-CA"/>
              </w:rPr>
            </w:pPr>
            <w:r>
              <w:rPr>
                <w:rFonts w:eastAsia="宋体"/>
                <w:sz w:val="18"/>
                <w:szCs w:val="18"/>
                <w:lang w:val="en-CA" w:eastAsia="en-CA"/>
              </w:rPr>
              <w:t>2018</w:t>
            </w:r>
          </w:p>
        </w:tc>
        <w:tc>
          <w:tcPr>
            <w:tcW w:w="1153" w:type="dxa"/>
            <w:tcBorders>
              <w:top w:val="nil"/>
              <w:left w:val="dotted" w:color="auto" w:sz="4" w:space="0"/>
              <w:bottom w:val="nil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color w:val="0070C0"/>
                <w:sz w:val="18"/>
                <w:szCs w:val="18"/>
                <w:lang w:val="en-CA" w:eastAsia="en-CA"/>
              </w:rPr>
            </w:pPr>
            <w:r>
              <w:rPr>
                <w:rFonts w:hint="eastAsia" w:eastAsia="宋体"/>
                <w:color w:val="0070C0"/>
                <w:sz w:val="18"/>
                <w:szCs w:val="18"/>
                <w:lang w:val="en-US" w:eastAsia="zh-CN"/>
              </w:rPr>
              <w:t>2</w:t>
            </w:r>
            <w:r>
              <w:rPr>
                <w:rFonts w:eastAsia="宋体"/>
                <w:color w:val="0070C0"/>
                <w:sz w:val="18"/>
                <w:szCs w:val="18"/>
                <w:lang w:val="en-CA" w:eastAsia="en-CA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686" w:type="dxa"/>
            <w:tcBorders>
              <w:top w:val="nil"/>
              <w:bottom w:val="nil"/>
              <w:right w:val="dotted" w:color="auto" w:sz="4" w:space="0"/>
            </w:tcBorders>
            <w:shd w:val="clear" w:color="auto" w:fill="FBD4B4" w:themeFill="accent6" w:themeFillTint="66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AdvGulliv-R"/>
                <w:sz w:val="18"/>
                <w:szCs w:val="18"/>
                <w:lang w:val="en-CA" w:eastAsia="en-CA"/>
              </w:rPr>
            </w:pPr>
            <w:r>
              <w:rPr>
                <w:rFonts w:eastAsia="宋体"/>
                <w:sz w:val="18"/>
                <w:szCs w:val="18"/>
                <w:lang w:val="en-CA" w:eastAsia="en-CA"/>
              </w:rPr>
              <w:t>Single-side</w:t>
            </w:r>
          </w:p>
        </w:tc>
        <w:tc>
          <w:tcPr>
            <w:tcW w:w="1949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en-CA"/>
              </w:rPr>
            </w:pPr>
            <w:r>
              <w:rPr>
                <w:rFonts w:eastAsia="宋体"/>
                <w:sz w:val="18"/>
                <w:szCs w:val="18"/>
                <w:lang w:val="en-CA" w:eastAsia="en-CA"/>
              </w:rPr>
              <w:t>Spin-coating</w:t>
            </w:r>
          </w:p>
        </w:tc>
        <w:tc>
          <w:tcPr>
            <w:tcW w:w="750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en-CA"/>
              </w:rPr>
            </w:pPr>
            <w:r>
              <w:rPr>
                <w:rFonts w:eastAsia="宋体"/>
                <w:sz w:val="18"/>
                <w:szCs w:val="18"/>
                <w:lang w:val="en-CA" w:eastAsia="en-CA"/>
              </w:rPr>
              <w:t>1.76</w:t>
            </w:r>
          </w:p>
        </w:tc>
        <w:tc>
          <w:tcPr>
            <w:tcW w:w="990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en-CA"/>
              </w:rPr>
            </w:pPr>
            <w:r>
              <w:rPr>
                <w:rFonts w:eastAsia="宋体"/>
                <w:sz w:val="18"/>
                <w:szCs w:val="18"/>
                <w:lang w:val="en-CA" w:eastAsia="en-CA"/>
              </w:rPr>
              <w:t>18.5</w:t>
            </w:r>
          </w:p>
        </w:tc>
        <w:tc>
          <w:tcPr>
            <w:tcW w:w="780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en-CA"/>
              </w:rPr>
            </w:pPr>
            <w:r>
              <w:rPr>
                <w:rFonts w:eastAsia="宋体"/>
                <w:sz w:val="18"/>
                <w:szCs w:val="18"/>
                <w:lang w:val="en-CA" w:eastAsia="en-CA"/>
              </w:rPr>
              <w:t>78.5</w:t>
            </w:r>
          </w:p>
        </w:tc>
        <w:tc>
          <w:tcPr>
            <w:tcW w:w="900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en-CA"/>
              </w:rPr>
            </w:pPr>
            <w:r>
              <w:rPr>
                <w:rFonts w:eastAsia="宋体"/>
                <w:sz w:val="18"/>
                <w:szCs w:val="18"/>
                <w:lang w:val="en-CA" w:eastAsia="en-CA"/>
              </w:rPr>
              <w:t>25.5</w:t>
            </w:r>
          </w:p>
        </w:tc>
        <w:tc>
          <w:tcPr>
            <w:tcW w:w="930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en-CA"/>
              </w:rPr>
            </w:pPr>
            <w:r>
              <w:rPr>
                <w:rFonts w:eastAsia="宋体"/>
                <w:sz w:val="18"/>
                <w:szCs w:val="18"/>
                <w:lang w:val="en-CA" w:eastAsia="en-CA"/>
              </w:rPr>
              <w:t>No</w:t>
            </w:r>
          </w:p>
        </w:tc>
        <w:tc>
          <w:tcPr>
            <w:tcW w:w="770" w:type="dxa"/>
            <w:tcBorders>
              <w:top w:val="nil"/>
              <w:left w:val="dotted" w:color="auto" w:sz="4" w:space="0"/>
              <w:bottom w:val="nil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en-CA"/>
              </w:rPr>
            </w:pPr>
            <w:r>
              <w:rPr>
                <w:rFonts w:eastAsia="AdvGulliv-R"/>
                <w:sz w:val="18"/>
                <w:szCs w:val="18"/>
                <w:lang w:val="en-CA" w:eastAsia="en-CA"/>
              </w:rPr>
              <w:t>201</w:t>
            </w:r>
            <w:r>
              <w:rPr>
                <w:rFonts w:eastAsia="宋体"/>
                <w:sz w:val="18"/>
                <w:szCs w:val="18"/>
                <w:lang w:val="en-CA" w:eastAsia="en-CA"/>
              </w:rPr>
              <w:t>8</w:t>
            </w:r>
          </w:p>
        </w:tc>
        <w:tc>
          <w:tcPr>
            <w:tcW w:w="1153" w:type="dxa"/>
            <w:tcBorders>
              <w:top w:val="nil"/>
              <w:left w:val="dotted" w:color="auto" w:sz="4" w:space="0"/>
              <w:bottom w:val="nil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color w:val="0070C0"/>
                <w:sz w:val="18"/>
                <w:szCs w:val="18"/>
                <w:lang w:val="en-CA" w:eastAsia="en-CA"/>
              </w:rPr>
            </w:pPr>
            <w:r>
              <w:rPr>
                <w:rFonts w:hint="eastAsia" w:eastAsia="宋体"/>
                <w:color w:val="0070C0"/>
                <w:sz w:val="18"/>
                <w:szCs w:val="18"/>
                <w:lang w:val="en-US" w:eastAsia="zh-CN"/>
              </w:rPr>
              <w:t>2</w:t>
            </w:r>
            <w:r>
              <w:rPr>
                <w:rFonts w:eastAsia="宋体"/>
                <w:color w:val="0070C0"/>
                <w:sz w:val="18"/>
                <w:szCs w:val="18"/>
                <w:lang w:val="en-CA" w:eastAsia="en-CA"/>
              </w:rPr>
              <w:t>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686" w:type="dxa"/>
            <w:tcBorders>
              <w:top w:val="nil"/>
              <w:bottom w:val="nil"/>
              <w:right w:val="dotted" w:color="auto" w:sz="4" w:space="0"/>
            </w:tcBorders>
            <w:shd w:val="clear" w:color="auto" w:fill="FBD4B4" w:themeFill="accent6" w:themeFillTint="66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AdvGulliv-R"/>
                <w:sz w:val="18"/>
                <w:szCs w:val="18"/>
                <w:lang w:val="en-CA" w:eastAsia="en-CA"/>
              </w:rPr>
            </w:pPr>
            <w:r>
              <w:rPr>
                <w:rFonts w:eastAsia="宋体"/>
                <w:sz w:val="18"/>
                <w:szCs w:val="18"/>
                <w:lang w:val="en-CA" w:eastAsia="en-CA"/>
              </w:rPr>
              <w:t>Single-side</w:t>
            </w:r>
          </w:p>
        </w:tc>
        <w:tc>
          <w:tcPr>
            <w:tcW w:w="1949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en-CA"/>
              </w:rPr>
            </w:pPr>
            <w:r>
              <w:rPr>
                <w:rFonts w:eastAsia="宋体"/>
                <w:sz w:val="18"/>
                <w:szCs w:val="18"/>
                <w:lang w:val="en-CA" w:eastAsia="en-CA"/>
              </w:rPr>
              <w:t>Spin-coating</w:t>
            </w:r>
          </w:p>
        </w:tc>
        <w:tc>
          <w:tcPr>
            <w:tcW w:w="750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en-CA"/>
              </w:rPr>
            </w:pPr>
            <w:r>
              <w:rPr>
                <w:rFonts w:eastAsia="宋体"/>
                <w:sz w:val="18"/>
                <w:szCs w:val="18"/>
                <w:lang w:val="en-CA" w:eastAsia="en-CA"/>
              </w:rPr>
              <w:t>1.77</w:t>
            </w:r>
          </w:p>
        </w:tc>
        <w:tc>
          <w:tcPr>
            <w:tcW w:w="990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en-CA"/>
              </w:rPr>
            </w:pPr>
            <w:r>
              <w:rPr>
                <w:rFonts w:eastAsia="宋体"/>
                <w:sz w:val="18"/>
                <w:szCs w:val="18"/>
                <w:lang w:val="en-CA" w:eastAsia="en-CA"/>
              </w:rPr>
              <w:t>18.4</w:t>
            </w:r>
          </w:p>
        </w:tc>
        <w:tc>
          <w:tcPr>
            <w:tcW w:w="780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en-CA"/>
              </w:rPr>
            </w:pPr>
            <w:r>
              <w:rPr>
                <w:rFonts w:eastAsia="宋体"/>
                <w:sz w:val="18"/>
                <w:szCs w:val="18"/>
                <w:lang w:val="en-CA" w:eastAsia="en-CA"/>
              </w:rPr>
              <w:t>77.0</w:t>
            </w:r>
          </w:p>
        </w:tc>
        <w:tc>
          <w:tcPr>
            <w:tcW w:w="900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en-CA"/>
              </w:rPr>
            </w:pPr>
            <w:r>
              <w:rPr>
                <w:rFonts w:eastAsia="宋体"/>
                <w:sz w:val="18"/>
                <w:szCs w:val="18"/>
                <w:lang w:val="en-CA" w:eastAsia="en-CA"/>
              </w:rPr>
              <w:t>25.0</w:t>
            </w:r>
          </w:p>
        </w:tc>
        <w:tc>
          <w:tcPr>
            <w:tcW w:w="930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en-CA"/>
              </w:rPr>
            </w:pPr>
            <w:r>
              <w:rPr>
                <w:rFonts w:eastAsia="宋体"/>
                <w:sz w:val="18"/>
                <w:szCs w:val="18"/>
                <w:lang w:val="en-CA" w:eastAsia="en-CA"/>
              </w:rPr>
              <w:t>No</w:t>
            </w:r>
          </w:p>
        </w:tc>
        <w:tc>
          <w:tcPr>
            <w:tcW w:w="770" w:type="dxa"/>
            <w:tcBorders>
              <w:top w:val="nil"/>
              <w:left w:val="dotted" w:color="auto" w:sz="4" w:space="0"/>
              <w:bottom w:val="nil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en-CA"/>
              </w:rPr>
            </w:pPr>
            <w:r>
              <w:rPr>
                <w:rFonts w:eastAsia="宋体"/>
                <w:sz w:val="18"/>
                <w:szCs w:val="18"/>
                <w:lang w:val="en-CA" w:eastAsia="en-CA"/>
              </w:rPr>
              <w:t>2018</w:t>
            </w:r>
          </w:p>
        </w:tc>
        <w:tc>
          <w:tcPr>
            <w:tcW w:w="1153" w:type="dxa"/>
            <w:tcBorders>
              <w:top w:val="nil"/>
              <w:left w:val="dotted" w:color="auto" w:sz="4" w:space="0"/>
              <w:bottom w:val="nil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color w:val="0070C0"/>
                <w:sz w:val="18"/>
                <w:szCs w:val="18"/>
                <w:lang w:val="en-CA" w:eastAsia="en-CA"/>
              </w:rPr>
            </w:pPr>
            <w:r>
              <w:rPr>
                <w:rFonts w:hint="eastAsia" w:eastAsia="宋体"/>
                <w:color w:val="0070C0"/>
                <w:sz w:val="18"/>
                <w:szCs w:val="18"/>
                <w:lang w:val="en-US" w:eastAsia="zh-CN"/>
              </w:rPr>
              <w:t>2</w:t>
            </w:r>
            <w:r>
              <w:rPr>
                <w:rFonts w:eastAsia="宋体"/>
                <w:color w:val="0070C0"/>
                <w:sz w:val="18"/>
                <w:szCs w:val="18"/>
                <w:lang w:val="en-CA" w:eastAsia="en-CA"/>
              </w:rPr>
              <w:t>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686" w:type="dxa"/>
            <w:tcBorders>
              <w:top w:val="nil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AdvGulliv-R"/>
                <w:sz w:val="18"/>
                <w:szCs w:val="18"/>
                <w:lang w:val="en-CA" w:eastAsia="en-CA"/>
              </w:rPr>
            </w:pPr>
            <w:r>
              <w:rPr>
                <w:rFonts w:eastAsia="宋体"/>
                <w:sz w:val="18"/>
                <w:szCs w:val="18"/>
                <w:lang w:val="en-CA" w:eastAsia="en-CA"/>
              </w:rPr>
              <w:t>-</w:t>
            </w:r>
          </w:p>
        </w:tc>
        <w:tc>
          <w:tcPr>
            <w:tcW w:w="1949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en-CA"/>
              </w:rPr>
            </w:pPr>
            <w:r>
              <w:rPr>
                <w:rFonts w:eastAsia="宋体"/>
                <w:sz w:val="18"/>
                <w:szCs w:val="18"/>
                <w:lang w:val="en-CA" w:eastAsia="en-CA"/>
              </w:rPr>
              <w:t>-</w:t>
            </w:r>
          </w:p>
        </w:tc>
        <w:tc>
          <w:tcPr>
            <w:tcW w:w="750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en-CA"/>
              </w:rPr>
            </w:pPr>
            <w:r>
              <w:rPr>
                <w:rFonts w:eastAsia="宋体"/>
                <w:sz w:val="18"/>
                <w:szCs w:val="18"/>
                <w:lang w:val="en-CA" w:eastAsia="en-CA"/>
              </w:rPr>
              <w:t>-</w:t>
            </w:r>
          </w:p>
        </w:tc>
        <w:tc>
          <w:tcPr>
            <w:tcW w:w="990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en-CA"/>
              </w:rPr>
            </w:pPr>
            <w:r>
              <w:rPr>
                <w:rFonts w:eastAsia="宋体"/>
                <w:sz w:val="18"/>
                <w:szCs w:val="18"/>
                <w:lang w:val="en-CA" w:eastAsia="en-CA"/>
              </w:rPr>
              <w:t>-</w:t>
            </w:r>
          </w:p>
        </w:tc>
        <w:tc>
          <w:tcPr>
            <w:tcW w:w="780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en-CA"/>
              </w:rPr>
            </w:pPr>
            <w:r>
              <w:rPr>
                <w:rFonts w:eastAsia="宋体"/>
                <w:sz w:val="18"/>
                <w:szCs w:val="18"/>
                <w:lang w:val="en-CA" w:eastAsia="en-CA"/>
              </w:rPr>
              <w:t>-</w:t>
            </w:r>
          </w:p>
        </w:tc>
        <w:tc>
          <w:tcPr>
            <w:tcW w:w="900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en-CA"/>
              </w:rPr>
            </w:pPr>
            <w:r>
              <w:rPr>
                <w:rFonts w:eastAsia="宋体"/>
                <w:sz w:val="18"/>
                <w:szCs w:val="18"/>
                <w:lang w:val="en-CA" w:eastAsia="en-CA"/>
              </w:rPr>
              <w:t>27.3</w:t>
            </w:r>
          </w:p>
        </w:tc>
        <w:tc>
          <w:tcPr>
            <w:tcW w:w="930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shd w:val="clear" w:color="auto" w:fill="EBF1DE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en-CA"/>
              </w:rPr>
            </w:pPr>
            <w:r>
              <w:rPr>
                <w:rFonts w:hint="eastAsia" w:eastAsia="宋体"/>
                <w:sz w:val="18"/>
                <w:szCs w:val="18"/>
                <w:lang w:val="en-CA" w:eastAsia="zh-CN"/>
              </w:rPr>
              <w:t>Yes</w:t>
            </w:r>
          </w:p>
        </w:tc>
        <w:tc>
          <w:tcPr>
            <w:tcW w:w="770" w:type="dxa"/>
            <w:tcBorders>
              <w:top w:val="nil"/>
              <w:left w:val="dotted" w:color="auto" w:sz="4" w:space="0"/>
              <w:bottom w:val="nil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en-CA"/>
              </w:rPr>
            </w:pPr>
            <w:r>
              <w:rPr>
                <w:rFonts w:eastAsia="AdvGulliv-R"/>
                <w:sz w:val="18"/>
                <w:szCs w:val="18"/>
                <w:lang w:val="en-CA" w:eastAsia="en-CA"/>
              </w:rPr>
              <w:t>20</w:t>
            </w:r>
            <w:r>
              <w:rPr>
                <w:rFonts w:eastAsia="宋体"/>
                <w:sz w:val="18"/>
                <w:szCs w:val="18"/>
                <w:lang w:val="en-CA" w:eastAsia="en-CA"/>
              </w:rPr>
              <w:t>18</w:t>
            </w:r>
          </w:p>
        </w:tc>
        <w:tc>
          <w:tcPr>
            <w:tcW w:w="1153" w:type="dxa"/>
            <w:tcBorders>
              <w:top w:val="nil"/>
              <w:left w:val="dotted" w:color="auto" w:sz="4" w:space="0"/>
              <w:bottom w:val="nil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color w:val="0070C0"/>
                <w:sz w:val="18"/>
                <w:szCs w:val="18"/>
                <w:lang w:val="en-CA" w:eastAsia="en-CA"/>
              </w:rPr>
            </w:pPr>
            <w:r>
              <w:rPr>
                <w:rFonts w:hint="eastAsia" w:eastAsia="宋体"/>
                <w:color w:val="0070C0"/>
                <w:sz w:val="18"/>
                <w:szCs w:val="18"/>
                <w:lang w:val="en-US" w:eastAsia="zh-CN"/>
              </w:rPr>
              <w:t>2</w:t>
            </w:r>
            <w:r>
              <w:rPr>
                <w:rFonts w:eastAsia="宋体"/>
                <w:color w:val="0070C0"/>
                <w:sz w:val="18"/>
                <w:szCs w:val="18"/>
                <w:lang w:val="en-CA" w:eastAsia="en-CA"/>
              </w:rPr>
              <w:t>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686" w:type="dxa"/>
            <w:tcBorders>
              <w:top w:val="nil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AdvGulliv-R"/>
                <w:sz w:val="18"/>
                <w:szCs w:val="18"/>
                <w:lang w:val="en-CA" w:eastAsia="en-CA"/>
              </w:rPr>
            </w:pPr>
            <w:r>
              <w:rPr>
                <w:rFonts w:eastAsia="宋体"/>
                <w:sz w:val="18"/>
                <w:szCs w:val="18"/>
                <w:lang w:val="en-CA" w:eastAsia="en-CA"/>
              </w:rPr>
              <w:t>-</w:t>
            </w:r>
          </w:p>
        </w:tc>
        <w:tc>
          <w:tcPr>
            <w:tcW w:w="1949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en-CA"/>
              </w:rPr>
            </w:pPr>
            <w:r>
              <w:rPr>
                <w:rFonts w:eastAsia="宋体"/>
                <w:sz w:val="18"/>
                <w:szCs w:val="18"/>
                <w:lang w:val="en-CA" w:eastAsia="en-CA"/>
              </w:rPr>
              <w:t>-</w:t>
            </w:r>
          </w:p>
        </w:tc>
        <w:tc>
          <w:tcPr>
            <w:tcW w:w="750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en-CA"/>
              </w:rPr>
            </w:pPr>
            <w:r>
              <w:rPr>
                <w:rFonts w:eastAsia="宋体"/>
                <w:sz w:val="18"/>
                <w:szCs w:val="18"/>
                <w:lang w:val="en-CA" w:eastAsia="en-CA"/>
              </w:rPr>
              <w:t>1.80</w:t>
            </w:r>
          </w:p>
        </w:tc>
        <w:tc>
          <w:tcPr>
            <w:tcW w:w="990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en-CA"/>
              </w:rPr>
            </w:pPr>
            <w:r>
              <w:rPr>
                <w:rFonts w:eastAsia="宋体"/>
                <w:sz w:val="18"/>
                <w:szCs w:val="18"/>
                <w:lang w:val="en-CA" w:eastAsia="en-CA"/>
              </w:rPr>
              <w:t>19.8</w:t>
            </w:r>
          </w:p>
        </w:tc>
        <w:tc>
          <w:tcPr>
            <w:tcW w:w="780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en-CA"/>
              </w:rPr>
            </w:pPr>
            <w:r>
              <w:rPr>
                <w:rFonts w:eastAsia="宋体"/>
                <w:sz w:val="18"/>
                <w:szCs w:val="18"/>
                <w:lang w:val="en-CA" w:eastAsia="en-CA"/>
              </w:rPr>
              <w:t>78.7</w:t>
            </w:r>
          </w:p>
        </w:tc>
        <w:tc>
          <w:tcPr>
            <w:tcW w:w="900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en-CA"/>
              </w:rPr>
            </w:pPr>
            <w:r>
              <w:rPr>
                <w:rFonts w:eastAsia="宋体"/>
                <w:sz w:val="18"/>
                <w:szCs w:val="18"/>
                <w:lang w:val="en-CA" w:eastAsia="en-CA"/>
              </w:rPr>
              <w:t>28.0</w:t>
            </w:r>
          </w:p>
        </w:tc>
        <w:tc>
          <w:tcPr>
            <w:tcW w:w="930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shd w:val="clear" w:color="auto" w:fill="EBF1DE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en-CA"/>
              </w:rPr>
            </w:pPr>
            <w:r>
              <w:rPr>
                <w:rFonts w:hint="eastAsia" w:eastAsia="宋体"/>
                <w:sz w:val="18"/>
                <w:szCs w:val="18"/>
                <w:lang w:val="en-CA" w:eastAsia="zh-CN"/>
              </w:rPr>
              <w:t>Yes</w:t>
            </w:r>
          </w:p>
        </w:tc>
        <w:tc>
          <w:tcPr>
            <w:tcW w:w="770" w:type="dxa"/>
            <w:tcBorders>
              <w:top w:val="nil"/>
              <w:left w:val="dotted" w:color="auto" w:sz="4" w:space="0"/>
              <w:bottom w:val="nil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en-CA"/>
              </w:rPr>
            </w:pPr>
            <w:r>
              <w:rPr>
                <w:rFonts w:eastAsia="AdvGulliv-R"/>
                <w:sz w:val="18"/>
                <w:szCs w:val="18"/>
                <w:lang w:val="en-CA" w:eastAsia="en-CA"/>
              </w:rPr>
              <w:t>20</w:t>
            </w:r>
            <w:r>
              <w:rPr>
                <w:rFonts w:eastAsia="宋体"/>
                <w:sz w:val="18"/>
                <w:szCs w:val="18"/>
                <w:lang w:val="en-CA" w:eastAsia="en-CA"/>
              </w:rPr>
              <w:t>19</w:t>
            </w:r>
          </w:p>
        </w:tc>
        <w:tc>
          <w:tcPr>
            <w:tcW w:w="1153" w:type="dxa"/>
            <w:tcBorders>
              <w:top w:val="nil"/>
              <w:left w:val="dotted" w:color="auto" w:sz="4" w:space="0"/>
              <w:bottom w:val="nil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color w:val="0070C0"/>
                <w:sz w:val="18"/>
                <w:szCs w:val="18"/>
                <w:lang w:val="en-CA" w:eastAsia="en-CA"/>
              </w:rPr>
            </w:pPr>
            <w:r>
              <w:rPr>
                <w:rFonts w:hint="eastAsia" w:eastAsia="宋体"/>
                <w:color w:val="0070C0"/>
                <w:sz w:val="18"/>
                <w:szCs w:val="18"/>
                <w:lang w:val="en-US" w:eastAsia="zh-CN"/>
              </w:rPr>
              <w:t>2</w:t>
            </w:r>
            <w:r>
              <w:rPr>
                <w:rFonts w:eastAsia="宋体"/>
                <w:color w:val="0070C0"/>
                <w:sz w:val="18"/>
                <w:szCs w:val="18"/>
                <w:lang w:val="en-CA" w:eastAsia="en-CA"/>
              </w:rPr>
              <w:t>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686" w:type="dxa"/>
            <w:tcBorders>
              <w:top w:val="nil"/>
              <w:bottom w:val="nil"/>
              <w:right w:val="dotted" w:color="auto" w:sz="4" w:space="0"/>
            </w:tcBorders>
            <w:shd w:val="clear" w:color="auto" w:fill="FBD4B4" w:themeFill="accent6" w:themeFillTint="66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AdvGulliv-R"/>
                <w:sz w:val="18"/>
                <w:szCs w:val="18"/>
                <w:lang w:val="en-CA" w:eastAsia="en-CA"/>
              </w:rPr>
            </w:pPr>
            <w:r>
              <w:rPr>
                <w:rFonts w:eastAsia="宋体"/>
                <w:sz w:val="18"/>
                <w:szCs w:val="18"/>
                <w:lang w:val="en-CA" w:eastAsia="en-CA"/>
              </w:rPr>
              <w:t>Single-side</w:t>
            </w:r>
          </w:p>
        </w:tc>
        <w:tc>
          <w:tcPr>
            <w:tcW w:w="1949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en-CA"/>
              </w:rPr>
            </w:pPr>
            <w:r>
              <w:rPr>
                <w:rFonts w:eastAsia="宋体"/>
                <w:sz w:val="18"/>
                <w:szCs w:val="18"/>
                <w:lang w:val="en-CA" w:eastAsia="en-CA"/>
              </w:rPr>
              <w:t>Spin-coating</w:t>
            </w:r>
          </w:p>
        </w:tc>
        <w:tc>
          <w:tcPr>
            <w:tcW w:w="750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en-CA"/>
              </w:rPr>
            </w:pPr>
            <w:r>
              <w:rPr>
                <w:rFonts w:eastAsia="宋体"/>
                <w:sz w:val="18"/>
                <w:szCs w:val="18"/>
                <w:lang w:val="en-CA" w:eastAsia="en-CA"/>
              </w:rPr>
              <w:t>1.79</w:t>
            </w:r>
          </w:p>
        </w:tc>
        <w:tc>
          <w:tcPr>
            <w:tcW w:w="990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en-CA"/>
              </w:rPr>
            </w:pPr>
            <w:r>
              <w:rPr>
                <w:rFonts w:eastAsia="宋体"/>
                <w:sz w:val="18"/>
                <w:szCs w:val="18"/>
                <w:lang w:val="en-CA" w:eastAsia="en-CA"/>
              </w:rPr>
              <w:t>19.0</w:t>
            </w:r>
          </w:p>
        </w:tc>
        <w:tc>
          <w:tcPr>
            <w:tcW w:w="780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en-CA"/>
              </w:rPr>
            </w:pPr>
            <w:r>
              <w:rPr>
                <w:rFonts w:eastAsia="宋体"/>
                <w:sz w:val="18"/>
                <w:szCs w:val="18"/>
                <w:lang w:val="en-CA" w:eastAsia="en-CA"/>
              </w:rPr>
              <w:t>74.6</w:t>
            </w:r>
          </w:p>
        </w:tc>
        <w:tc>
          <w:tcPr>
            <w:tcW w:w="900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en-CA"/>
              </w:rPr>
            </w:pPr>
            <w:r>
              <w:rPr>
                <w:rFonts w:eastAsia="宋体"/>
                <w:sz w:val="18"/>
                <w:szCs w:val="18"/>
                <w:lang w:val="en-CA" w:eastAsia="en-CA"/>
              </w:rPr>
              <w:t>25.2</w:t>
            </w:r>
          </w:p>
        </w:tc>
        <w:tc>
          <w:tcPr>
            <w:tcW w:w="930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shd w:val="clear" w:color="auto" w:fill="EBF1DE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en-CA"/>
              </w:rPr>
            </w:pPr>
            <w:r>
              <w:rPr>
                <w:rFonts w:hint="eastAsia" w:eastAsia="宋体"/>
                <w:sz w:val="18"/>
                <w:szCs w:val="18"/>
                <w:lang w:val="en-CA" w:eastAsia="zh-CN"/>
              </w:rPr>
              <w:t>Yes</w:t>
            </w:r>
          </w:p>
        </w:tc>
        <w:tc>
          <w:tcPr>
            <w:tcW w:w="770" w:type="dxa"/>
            <w:tcBorders>
              <w:top w:val="nil"/>
              <w:left w:val="dotted" w:color="auto" w:sz="4" w:space="0"/>
              <w:bottom w:val="nil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en-CA"/>
              </w:rPr>
            </w:pPr>
            <w:r>
              <w:rPr>
                <w:rFonts w:eastAsia="宋体"/>
                <w:sz w:val="18"/>
                <w:szCs w:val="18"/>
                <w:lang w:val="en-CA" w:eastAsia="en-CA"/>
              </w:rPr>
              <w:t>2019</w:t>
            </w:r>
          </w:p>
        </w:tc>
        <w:tc>
          <w:tcPr>
            <w:tcW w:w="1153" w:type="dxa"/>
            <w:tcBorders>
              <w:top w:val="nil"/>
              <w:left w:val="dotted" w:color="auto" w:sz="4" w:space="0"/>
              <w:bottom w:val="nil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color w:val="0070C0"/>
                <w:sz w:val="18"/>
                <w:szCs w:val="18"/>
                <w:lang w:val="en-CA" w:eastAsia="en-CA"/>
              </w:rPr>
            </w:pPr>
            <w:r>
              <w:rPr>
                <w:rFonts w:hint="eastAsia" w:eastAsia="宋体"/>
                <w:color w:val="0070C0"/>
                <w:sz w:val="18"/>
                <w:szCs w:val="18"/>
                <w:lang w:val="en-US" w:eastAsia="zh-CN"/>
              </w:rPr>
              <w:t>2</w:t>
            </w:r>
            <w:r>
              <w:rPr>
                <w:rFonts w:eastAsia="宋体"/>
                <w:color w:val="0070C0"/>
                <w:sz w:val="18"/>
                <w:szCs w:val="18"/>
                <w:lang w:val="en-CA" w:eastAsia="en-CA"/>
              </w:rPr>
              <w:t>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exact"/>
        </w:trPr>
        <w:tc>
          <w:tcPr>
            <w:tcW w:w="1686" w:type="dxa"/>
            <w:tcBorders>
              <w:top w:val="nil"/>
              <w:bottom w:val="nil"/>
              <w:right w:val="dotted" w:color="auto" w:sz="4" w:space="0"/>
            </w:tcBorders>
            <w:shd w:val="clear" w:color="auto" w:fill="8DB3E2" w:themeFill="text2" w:themeFillTint="66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AdvGulliv-R"/>
                <w:sz w:val="18"/>
                <w:szCs w:val="18"/>
                <w:lang w:val="en-CA" w:eastAsia="en-CA"/>
              </w:rPr>
            </w:pPr>
            <w:r>
              <w:rPr>
                <w:rFonts w:eastAsia="宋体"/>
                <w:sz w:val="18"/>
                <w:szCs w:val="18"/>
                <w:lang w:val="en-CA" w:eastAsia="en-CA"/>
              </w:rPr>
              <w:t>Double-side</w:t>
            </w:r>
          </w:p>
        </w:tc>
        <w:tc>
          <w:tcPr>
            <w:tcW w:w="1949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en-CA"/>
              </w:rPr>
            </w:pPr>
            <w:r>
              <w:rPr>
                <w:rFonts w:eastAsia="宋体"/>
                <w:sz w:val="18"/>
                <w:szCs w:val="18"/>
                <w:lang w:val="en-CA" w:eastAsia="en-CA"/>
              </w:rPr>
              <w:t>Evaporation-solution hybrid</w:t>
            </w:r>
          </w:p>
        </w:tc>
        <w:tc>
          <w:tcPr>
            <w:tcW w:w="750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en-CA"/>
              </w:rPr>
            </w:pPr>
            <w:r>
              <w:rPr>
                <w:rFonts w:eastAsia="宋体"/>
                <w:sz w:val="18"/>
                <w:szCs w:val="18"/>
                <w:lang w:val="en-CA" w:eastAsia="en-CA"/>
              </w:rPr>
              <w:t>1.74</w:t>
            </w:r>
          </w:p>
        </w:tc>
        <w:tc>
          <w:tcPr>
            <w:tcW w:w="990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en-CA"/>
              </w:rPr>
            </w:pPr>
            <w:r>
              <w:rPr>
                <w:rFonts w:eastAsia="宋体"/>
                <w:sz w:val="18"/>
                <w:szCs w:val="18"/>
                <w:lang w:val="en-CA" w:eastAsia="en-CA"/>
              </w:rPr>
              <w:t>19.5</w:t>
            </w:r>
          </w:p>
        </w:tc>
        <w:tc>
          <w:tcPr>
            <w:tcW w:w="780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en-CA"/>
              </w:rPr>
            </w:pPr>
            <w:r>
              <w:rPr>
                <w:rFonts w:eastAsia="宋体"/>
                <w:sz w:val="18"/>
                <w:szCs w:val="18"/>
                <w:lang w:val="en-CA" w:eastAsia="en-CA"/>
              </w:rPr>
              <w:t>74.7</w:t>
            </w:r>
          </w:p>
        </w:tc>
        <w:tc>
          <w:tcPr>
            <w:tcW w:w="900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en-CA"/>
              </w:rPr>
            </w:pPr>
            <w:r>
              <w:rPr>
                <w:rFonts w:eastAsia="宋体"/>
                <w:sz w:val="18"/>
                <w:szCs w:val="18"/>
                <w:lang w:val="en-CA" w:eastAsia="en-CA"/>
              </w:rPr>
              <w:t>25.1</w:t>
            </w:r>
          </w:p>
        </w:tc>
        <w:tc>
          <w:tcPr>
            <w:tcW w:w="930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shd w:val="clear" w:color="auto" w:fill="EBF1DE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en-CA"/>
              </w:rPr>
            </w:pPr>
            <w:r>
              <w:rPr>
                <w:rFonts w:eastAsia="宋体"/>
                <w:sz w:val="18"/>
                <w:szCs w:val="18"/>
                <w:lang w:val="en-CA" w:eastAsia="en-CA"/>
              </w:rPr>
              <w:t>No</w:t>
            </w:r>
          </w:p>
        </w:tc>
        <w:tc>
          <w:tcPr>
            <w:tcW w:w="770" w:type="dxa"/>
            <w:tcBorders>
              <w:top w:val="nil"/>
              <w:left w:val="dotted" w:color="auto" w:sz="4" w:space="0"/>
              <w:bottom w:val="nil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en-CA"/>
              </w:rPr>
            </w:pPr>
            <w:r>
              <w:rPr>
                <w:rFonts w:eastAsia="AdvGulliv-R"/>
                <w:sz w:val="18"/>
                <w:szCs w:val="18"/>
                <w:lang w:val="en-CA" w:eastAsia="en-CA"/>
              </w:rPr>
              <w:t>201</w:t>
            </w:r>
            <w:r>
              <w:rPr>
                <w:rFonts w:eastAsia="宋体"/>
                <w:sz w:val="18"/>
                <w:szCs w:val="18"/>
                <w:lang w:val="en-CA" w:eastAsia="en-CA"/>
              </w:rPr>
              <w:t>9</w:t>
            </w:r>
          </w:p>
        </w:tc>
        <w:tc>
          <w:tcPr>
            <w:tcW w:w="1153" w:type="dxa"/>
            <w:tcBorders>
              <w:top w:val="nil"/>
              <w:left w:val="dotted" w:color="auto" w:sz="4" w:space="0"/>
              <w:bottom w:val="nil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color w:val="0070C0"/>
                <w:sz w:val="18"/>
                <w:szCs w:val="18"/>
                <w:lang w:val="en-CA" w:eastAsia="en-CA"/>
              </w:rPr>
            </w:pPr>
            <w:r>
              <w:rPr>
                <w:rFonts w:hint="eastAsia" w:eastAsia="宋体"/>
                <w:color w:val="0070C0"/>
                <w:sz w:val="18"/>
                <w:szCs w:val="18"/>
                <w:lang w:val="en-US" w:eastAsia="zh-CN"/>
              </w:rPr>
              <w:t>2</w:t>
            </w:r>
            <w:r>
              <w:rPr>
                <w:rFonts w:eastAsia="宋体"/>
                <w:color w:val="0070C0"/>
                <w:sz w:val="18"/>
                <w:szCs w:val="18"/>
                <w:lang w:val="en-CA" w:eastAsia="en-CA"/>
              </w:rPr>
              <w:t>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1686" w:type="dxa"/>
            <w:vMerge w:val="restart"/>
            <w:tcBorders>
              <w:top w:val="nil"/>
              <w:right w:val="dotted" w:color="auto" w:sz="4" w:space="0"/>
            </w:tcBorders>
            <w:shd w:val="clear" w:color="auto" w:fill="FBD4B4" w:themeFill="accent6" w:themeFillTint="66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en-CA"/>
              </w:rPr>
            </w:pPr>
            <w:r>
              <w:rPr>
                <w:rFonts w:eastAsia="宋体"/>
                <w:sz w:val="18"/>
                <w:szCs w:val="18"/>
                <w:lang w:val="en-CA" w:eastAsia="en-CA"/>
              </w:rPr>
              <w:t>Single-side</w:t>
            </w:r>
          </w:p>
        </w:tc>
        <w:tc>
          <w:tcPr>
            <w:tcW w:w="1949" w:type="dxa"/>
            <w:vMerge w:val="restart"/>
            <w:tcBorders>
              <w:top w:val="nil"/>
              <w:left w:val="dotted" w:color="auto" w:sz="4" w:space="0"/>
              <w:right w:val="dotted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en-CA"/>
              </w:rPr>
            </w:pPr>
            <w:r>
              <w:rPr>
                <w:rFonts w:eastAsia="宋体"/>
                <w:sz w:val="18"/>
                <w:szCs w:val="18"/>
                <w:lang w:val="en-CA" w:eastAsia="en-CA"/>
              </w:rPr>
              <w:t>Spin-coating</w:t>
            </w:r>
          </w:p>
        </w:tc>
        <w:tc>
          <w:tcPr>
            <w:tcW w:w="750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zh-CN"/>
              </w:rPr>
            </w:pPr>
            <w:r>
              <w:rPr>
                <w:rFonts w:eastAsia="宋体"/>
                <w:sz w:val="18"/>
                <w:szCs w:val="18"/>
                <w:lang w:val="en-CA" w:eastAsia="en-CA"/>
              </w:rPr>
              <w:t>1.</w:t>
            </w:r>
            <w:r>
              <w:rPr>
                <w:rFonts w:hint="eastAsia" w:eastAsia="宋体"/>
                <w:sz w:val="18"/>
                <w:szCs w:val="18"/>
                <w:lang w:val="en-CA" w:eastAsia="zh-CN"/>
              </w:rPr>
              <w:t>77</w:t>
            </w:r>
          </w:p>
        </w:tc>
        <w:tc>
          <w:tcPr>
            <w:tcW w:w="990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zh-CN"/>
              </w:rPr>
            </w:pPr>
            <w:r>
              <w:rPr>
                <w:rFonts w:eastAsia="宋体"/>
                <w:sz w:val="18"/>
                <w:szCs w:val="18"/>
                <w:lang w:val="en-CA" w:eastAsia="en-CA"/>
              </w:rPr>
              <w:t>19.</w:t>
            </w:r>
            <w:r>
              <w:rPr>
                <w:rFonts w:hint="eastAsia" w:eastAsia="宋体"/>
                <w:sz w:val="18"/>
                <w:szCs w:val="18"/>
                <w:lang w:val="en-CA" w:eastAsia="zh-CN"/>
              </w:rPr>
              <w:t>2</w:t>
            </w:r>
          </w:p>
        </w:tc>
        <w:tc>
          <w:tcPr>
            <w:tcW w:w="780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zh-CN"/>
              </w:rPr>
            </w:pPr>
            <w:r>
              <w:rPr>
                <w:rFonts w:eastAsia="宋体"/>
                <w:sz w:val="18"/>
                <w:szCs w:val="18"/>
                <w:lang w:val="en-CA" w:eastAsia="en-CA"/>
              </w:rPr>
              <w:t>7</w:t>
            </w:r>
            <w:r>
              <w:rPr>
                <w:rFonts w:hint="eastAsia" w:eastAsia="宋体"/>
                <w:sz w:val="18"/>
                <w:szCs w:val="18"/>
                <w:lang w:val="en-CA" w:eastAsia="zh-CN"/>
              </w:rPr>
              <w:t>6.6</w:t>
            </w:r>
          </w:p>
        </w:tc>
        <w:tc>
          <w:tcPr>
            <w:tcW w:w="900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en-CA"/>
              </w:rPr>
            </w:pPr>
            <w:r>
              <w:rPr>
                <w:rFonts w:eastAsia="宋体"/>
                <w:sz w:val="18"/>
                <w:szCs w:val="18"/>
                <w:lang w:val="en-CA" w:eastAsia="en-CA"/>
              </w:rPr>
              <w:t>2</w:t>
            </w:r>
            <w:r>
              <w:rPr>
                <w:rFonts w:hint="eastAsia" w:eastAsia="宋体"/>
                <w:sz w:val="18"/>
                <w:szCs w:val="18"/>
                <w:lang w:val="en-CA" w:eastAsia="zh-CN"/>
              </w:rPr>
              <w:t>6</w:t>
            </w:r>
            <w:r>
              <w:rPr>
                <w:rFonts w:eastAsia="宋体"/>
                <w:sz w:val="18"/>
                <w:szCs w:val="18"/>
                <w:lang w:val="en-CA" w:eastAsia="en-CA"/>
              </w:rPr>
              <w:t>.1</w:t>
            </w:r>
          </w:p>
        </w:tc>
        <w:tc>
          <w:tcPr>
            <w:tcW w:w="930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shd w:val="clear" w:color="auto" w:fill="EBF1DE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zh-CN"/>
              </w:rPr>
            </w:pPr>
            <w:r>
              <w:rPr>
                <w:rFonts w:eastAsia="宋体"/>
                <w:sz w:val="18"/>
                <w:szCs w:val="18"/>
                <w:lang w:val="en-CA" w:eastAsia="en-CA"/>
              </w:rPr>
              <w:t>No</w:t>
            </w:r>
          </w:p>
        </w:tc>
        <w:tc>
          <w:tcPr>
            <w:tcW w:w="770" w:type="dxa"/>
            <w:vMerge w:val="restart"/>
            <w:tcBorders>
              <w:top w:val="nil"/>
              <w:lef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zh-CN"/>
              </w:rPr>
            </w:pPr>
            <w:r>
              <w:rPr>
                <w:rFonts w:eastAsia="宋体"/>
                <w:sz w:val="18"/>
                <w:szCs w:val="18"/>
                <w:lang w:val="en-CA" w:eastAsia="en-CA"/>
              </w:rPr>
              <w:t>20</w:t>
            </w:r>
            <w:r>
              <w:rPr>
                <w:rFonts w:hint="eastAsia" w:eastAsia="宋体"/>
                <w:sz w:val="18"/>
                <w:szCs w:val="18"/>
                <w:lang w:val="en-CA" w:eastAsia="zh-CN"/>
              </w:rPr>
              <w:t>19</w:t>
            </w:r>
          </w:p>
        </w:tc>
        <w:tc>
          <w:tcPr>
            <w:tcW w:w="1153" w:type="dxa"/>
            <w:vMerge w:val="restart"/>
            <w:tcBorders>
              <w:top w:val="nil"/>
              <w:lef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color w:val="0070C0"/>
                <w:sz w:val="18"/>
                <w:szCs w:val="18"/>
                <w:lang w:val="en-CA" w:eastAsia="zh-CN"/>
              </w:rPr>
            </w:pPr>
            <w:r>
              <w:rPr>
                <w:rFonts w:hint="eastAsia" w:eastAsia="宋体"/>
                <w:color w:val="0070C0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eastAsia="宋体"/>
                <w:color w:val="0070C0"/>
                <w:sz w:val="18"/>
                <w:szCs w:val="18"/>
                <w:lang w:val="en-CA" w:eastAsia="zh-CN"/>
              </w:rPr>
              <w:t>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1686" w:type="dxa"/>
            <w:vMerge w:val="continue"/>
            <w:tcBorders>
              <w:bottom w:val="nil"/>
              <w:right w:val="dotted" w:color="auto" w:sz="4" w:space="0"/>
            </w:tcBorders>
            <w:shd w:val="clear" w:color="auto" w:fill="FBD4B4" w:themeFill="accent6" w:themeFillTint="66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lang w:val="en-CA"/>
              </w:rPr>
            </w:pPr>
          </w:p>
        </w:tc>
        <w:tc>
          <w:tcPr>
            <w:tcW w:w="1949" w:type="dxa"/>
            <w:vMerge w:val="continue"/>
            <w:tcBorders>
              <w:left w:val="dotted" w:color="auto" w:sz="4" w:space="0"/>
              <w:bottom w:val="nil"/>
              <w:right w:val="dotted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lang w:val="en-CA"/>
              </w:rPr>
            </w:pPr>
          </w:p>
        </w:tc>
        <w:tc>
          <w:tcPr>
            <w:tcW w:w="750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zh-CN"/>
              </w:rPr>
            </w:pPr>
            <w:r>
              <w:rPr>
                <w:rFonts w:hint="eastAsia" w:eastAsia="宋体"/>
                <w:sz w:val="18"/>
                <w:szCs w:val="18"/>
                <w:lang w:val="en-CA" w:eastAsia="zh-CN"/>
              </w:rPr>
              <w:t>1.78</w:t>
            </w:r>
          </w:p>
        </w:tc>
        <w:tc>
          <w:tcPr>
            <w:tcW w:w="990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zh-CN"/>
              </w:rPr>
            </w:pPr>
            <w:r>
              <w:rPr>
                <w:rFonts w:hint="eastAsia" w:eastAsia="宋体"/>
                <w:sz w:val="18"/>
                <w:szCs w:val="18"/>
                <w:lang w:val="en-CA" w:eastAsia="zh-CN"/>
              </w:rPr>
              <w:t>17.81</w:t>
            </w:r>
          </w:p>
        </w:tc>
        <w:tc>
          <w:tcPr>
            <w:tcW w:w="780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zh-CN"/>
              </w:rPr>
            </w:pPr>
            <w:r>
              <w:rPr>
                <w:rFonts w:hint="eastAsia" w:eastAsia="宋体"/>
                <w:sz w:val="18"/>
                <w:szCs w:val="18"/>
                <w:lang w:val="en-CA" w:eastAsia="zh-CN"/>
              </w:rPr>
              <w:t>78.64</w:t>
            </w:r>
          </w:p>
        </w:tc>
        <w:tc>
          <w:tcPr>
            <w:tcW w:w="900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en-CA"/>
              </w:rPr>
            </w:pPr>
            <w:r>
              <w:rPr>
                <w:rFonts w:eastAsia="宋体"/>
                <w:sz w:val="18"/>
                <w:szCs w:val="18"/>
                <w:lang w:val="en-CA" w:eastAsia="en-CA"/>
              </w:rPr>
              <w:t>25.</w:t>
            </w:r>
            <w:r>
              <w:rPr>
                <w:rFonts w:hint="eastAsia" w:eastAsia="宋体"/>
                <w:sz w:val="18"/>
                <w:szCs w:val="18"/>
                <w:lang w:val="en-CA" w:eastAsia="zh-CN"/>
              </w:rPr>
              <w:t>0</w:t>
            </w:r>
          </w:p>
        </w:tc>
        <w:tc>
          <w:tcPr>
            <w:tcW w:w="930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shd w:val="clear" w:color="auto" w:fill="EBF1DE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en-CA"/>
              </w:rPr>
            </w:pPr>
            <w:r>
              <w:rPr>
                <w:rFonts w:hint="eastAsia" w:eastAsia="宋体"/>
                <w:sz w:val="18"/>
                <w:szCs w:val="18"/>
                <w:lang w:val="en-CA" w:eastAsia="zh-CN"/>
              </w:rPr>
              <w:t>Yes</w:t>
            </w:r>
          </w:p>
        </w:tc>
        <w:tc>
          <w:tcPr>
            <w:tcW w:w="770" w:type="dxa"/>
            <w:vMerge w:val="continue"/>
            <w:tcBorders>
              <w:left w:val="dotted" w:color="auto" w:sz="4" w:space="0"/>
              <w:bottom w:val="nil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en-CA"/>
              </w:rPr>
            </w:pPr>
          </w:p>
        </w:tc>
        <w:tc>
          <w:tcPr>
            <w:tcW w:w="1153" w:type="dxa"/>
            <w:vMerge w:val="continue"/>
            <w:tcBorders>
              <w:left w:val="dotted" w:color="auto" w:sz="4" w:space="0"/>
              <w:bottom w:val="nil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color w:val="0070C0"/>
                <w:sz w:val="18"/>
                <w:szCs w:val="18"/>
                <w:lang w:val="en-CA" w:eastAsia="en-CA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1686" w:type="dxa"/>
            <w:vMerge w:val="restart"/>
            <w:tcBorders>
              <w:top w:val="nil"/>
              <w:right w:val="dotted" w:color="auto" w:sz="4" w:space="0"/>
            </w:tcBorders>
            <w:shd w:val="clear" w:color="auto" w:fill="FBD4B4" w:themeFill="accent6" w:themeFillTint="66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AdvGulliv-R"/>
                <w:sz w:val="18"/>
                <w:szCs w:val="18"/>
                <w:lang w:val="en-CA" w:eastAsia="en-CA"/>
              </w:rPr>
            </w:pPr>
            <w:r>
              <w:rPr>
                <w:rFonts w:eastAsia="宋体"/>
                <w:sz w:val="18"/>
                <w:szCs w:val="18"/>
                <w:lang w:val="en-CA" w:eastAsia="en-CA"/>
              </w:rPr>
              <w:t>Single-side</w:t>
            </w:r>
          </w:p>
        </w:tc>
        <w:tc>
          <w:tcPr>
            <w:tcW w:w="1949" w:type="dxa"/>
            <w:vMerge w:val="restart"/>
            <w:tcBorders>
              <w:top w:val="nil"/>
              <w:left w:val="dotted" w:color="auto" w:sz="4" w:space="0"/>
              <w:right w:val="dotted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en-CA"/>
              </w:rPr>
            </w:pPr>
            <w:r>
              <w:rPr>
                <w:rFonts w:eastAsia="宋体"/>
                <w:sz w:val="18"/>
                <w:szCs w:val="18"/>
                <w:lang w:val="en-CA" w:eastAsia="en-CA"/>
              </w:rPr>
              <w:t>Spin-coating</w:t>
            </w:r>
          </w:p>
        </w:tc>
        <w:tc>
          <w:tcPr>
            <w:tcW w:w="750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en-CA"/>
              </w:rPr>
            </w:pPr>
            <w:r>
              <w:rPr>
                <w:rFonts w:eastAsia="宋体"/>
                <w:sz w:val="18"/>
                <w:szCs w:val="18"/>
                <w:lang w:val="en-CA" w:eastAsia="en-CA"/>
              </w:rPr>
              <w:t>1.89</w:t>
            </w:r>
          </w:p>
        </w:tc>
        <w:tc>
          <w:tcPr>
            <w:tcW w:w="990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en-CA"/>
              </w:rPr>
            </w:pPr>
            <w:r>
              <w:rPr>
                <w:rFonts w:eastAsia="宋体"/>
                <w:sz w:val="18"/>
                <w:szCs w:val="18"/>
                <w:lang w:val="en-CA" w:eastAsia="en-CA"/>
              </w:rPr>
              <w:t>19.1</w:t>
            </w:r>
          </w:p>
        </w:tc>
        <w:tc>
          <w:tcPr>
            <w:tcW w:w="780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en-CA"/>
              </w:rPr>
            </w:pPr>
            <w:r>
              <w:rPr>
                <w:rFonts w:eastAsia="宋体"/>
                <w:sz w:val="18"/>
                <w:szCs w:val="18"/>
                <w:lang w:val="en-CA" w:eastAsia="en-CA"/>
              </w:rPr>
              <w:t>75.3</w:t>
            </w:r>
          </w:p>
        </w:tc>
        <w:tc>
          <w:tcPr>
            <w:tcW w:w="900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en-CA"/>
              </w:rPr>
            </w:pPr>
            <w:r>
              <w:rPr>
                <w:rFonts w:eastAsia="宋体"/>
                <w:sz w:val="18"/>
                <w:szCs w:val="18"/>
                <w:lang w:val="en-CA" w:eastAsia="en-CA"/>
              </w:rPr>
              <w:t>27.1</w:t>
            </w:r>
          </w:p>
        </w:tc>
        <w:tc>
          <w:tcPr>
            <w:tcW w:w="930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shd w:val="clear" w:color="auto" w:fill="EBF1DE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en-CA"/>
              </w:rPr>
            </w:pPr>
            <w:r>
              <w:rPr>
                <w:rFonts w:eastAsia="宋体"/>
                <w:sz w:val="18"/>
                <w:szCs w:val="18"/>
                <w:lang w:val="en-CA" w:eastAsia="en-CA"/>
              </w:rPr>
              <w:t>No</w:t>
            </w:r>
          </w:p>
        </w:tc>
        <w:tc>
          <w:tcPr>
            <w:tcW w:w="770" w:type="dxa"/>
            <w:vMerge w:val="restart"/>
            <w:tcBorders>
              <w:top w:val="nil"/>
              <w:lef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en-CA"/>
              </w:rPr>
            </w:pPr>
            <w:r>
              <w:rPr>
                <w:rFonts w:eastAsia="宋体"/>
                <w:sz w:val="18"/>
                <w:szCs w:val="18"/>
                <w:lang w:val="en-CA" w:eastAsia="en-CA"/>
              </w:rPr>
              <w:t>2020</w:t>
            </w:r>
          </w:p>
        </w:tc>
        <w:tc>
          <w:tcPr>
            <w:tcW w:w="1153" w:type="dxa"/>
            <w:vMerge w:val="restart"/>
            <w:tcBorders>
              <w:top w:val="nil"/>
              <w:lef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color w:val="0070C0"/>
                <w:sz w:val="18"/>
                <w:szCs w:val="18"/>
                <w:lang w:val="en-CA" w:eastAsia="en-CA"/>
              </w:rPr>
            </w:pPr>
            <w:r>
              <w:rPr>
                <w:rFonts w:hint="eastAsia" w:eastAsia="宋体"/>
                <w:color w:val="0070C0"/>
                <w:sz w:val="18"/>
                <w:szCs w:val="18"/>
                <w:lang w:val="en-US" w:eastAsia="zh-CN"/>
              </w:rPr>
              <w:t>2</w:t>
            </w:r>
            <w:r>
              <w:rPr>
                <w:rFonts w:eastAsia="宋体"/>
                <w:color w:val="0070C0"/>
                <w:sz w:val="18"/>
                <w:szCs w:val="18"/>
                <w:lang w:val="en-CA" w:eastAsia="en-CA"/>
              </w:rPr>
              <w:t>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1686" w:type="dxa"/>
            <w:vMerge w:val="continue"/>
            <w:tcBorders>
              <w:bottom w:val="single" w:color="auto" w:sz="12" w:space="0"/>
              <w:right w:val="dotted" w:color="auto" w:sz="4" w:space="0"/>
            </w:tcBorders>
            <w:shd w:val="clear" w:color="auto" w:fill="FBD4B4" w:themeFill="accent6" w:themeFillTint="66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lang w:val="en-CA"/>
              </w:rPr>
            </w:pPr>
          </w:p>
        </w:tc>
        <w:tc>
          <w:tcPr>
            <w:tcW w:w="1949" w:type="dxa"/>
            <w:vMerge w:val="continue"/>
            <w:tcBorders>
              <w:left w:val="dotted" w:color="auto" w:sz="4" w:space="0"/>
              <w:bottom w:val="single" w:color="auto" w:sz="12" w:space="0"/>
              <w:right w:val="dotted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lang w:val="en-CA"/>
              </w:rPr>
            </w:pPr>
          </w:p>
        </w:tc>
        <w:tc>
          <w:tcPr>
            <w:tcW w:w="750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zh-CN"/>
              </w:rPr>
            </w:pPr>
            <w:r>
              <w:rPr>
                <w:rFonts w:hint="eastAsia" w:eastAsia="宋体"/>
                <w:sz w:val="18"/>
                <w:szCs w:val="18"/>
                <w:lang w:val="en-CA" w:eastAsia="zh-CN"/>
              </w:rPr>
              <w:t>1.88</w:t>
            </w:r>
          </w:p>
        </w:tc>
        <w:tc>
          <w:tcPr>
            <w:tcW w:w="990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zh-CN"/>
              </w:rPr>
            </w:pPr>
            <w:r>
              <w:rPr>
                <w:rFonts w:hint="eastAsia" w:eastAsia="宋体"/>
                <w:sz w:val="18"/>
                <w:szCs w:val="18"/>
                <w:lang w:val="en-CA" w:eastAsia="zh-CN"/>
              </w:rPr>
              <w:t>18.55</w:t>
            </w:r>
          </w:p>
        </w:tc>
        <w:tc>
          <w:tcPr>
            <w:tcW w:w="780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zh-CN"/>
              </w:rPr>
            </w:pPr>
            <w:r>
              <w:rPr>
                <w:rFonts w:hint="eastAsia" w:eastAsia="宋体"/>
                <w:sz w:val="18"/>
                <w:szCs w:val="18"/>
                <w:lang w:val="en-CA" w:eastAsia="zh-CN"/>
              </w:rPr>
              <w:t>74.85</w:t>
            </w:r>
          </w:p>
        </w:tc>
        <w:tc>
          <w:tcPr>
            <w:tcW w:w="900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zh-CN"/>
              </w:rPr>
            </w:pPr>
            <w:r>
              <w:rPr>
                <w:rFonts w:hint="eastAsia" w:eastAsia="宋体"/>
                <w:sz w:val="18"/>
                <w:szCs w:val="18"/>
                <w:lang w:val="en-CA" w:eastAsia="zh-CN"/>
              </w:rPr>
              <w:t>26.1</w:t>
            </w:r>
          </w:p>
        </w:tc>
        <w:tc>
          <w:tcPr>
            <w:tcW w:w="930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shd w:val="clear" w:color="auto" w:fill="EBF1DE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en-CA"/>
              </w:rPr>
            </w:pPr>
            <w:r>
              <w:rPr>
                <w:rFonts w:hint="eastAsia" w:eastAsia="宋体"/>
                <w:sz w:val="18"/>
                <w:szCs w:val="18"/>
                <w:lang w:val="en-CA" w:eastAsia="zh-CN"/>
              </w:rPr>
              <w:t>Yes</w:t>
            </w:r>
          </w:p>
        </w:tc>
        <w:tc>
          <w:tcPr>
            <w:tcW w:w="770" w:type="dxa"/>
            <w:vMerge w:val="continue"/>
            <w:tcBorders>
              <w:left w:val="dotted" w:color="auto" w:sz="4" w:space="0"/>
              <w:bottom w:val="nil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en-CA"/>
              </w:rPr>
            </w:pPr>
          </w:p>
        </w:tc>
        <w:tc>
          <w:tcPr>
            <w:tcW w:w="1153" w:type="dxa"/>
            <w:vMerge w:val="continue"/>
            <w:tcBorders>
              <w:left w:val="dotted" w:color="auto" w:sz="4" w:space="0"/>
              <w:bottom w:val="nil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color w:val="0070C0"/>
                <w:sz w:val="18"/>
                <w:szCs w:val="18"/>
                <w:lang w:val="en-CA" w:eastAsia="en-CA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686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dotted" w:color="auto" w:sz="4" w:space="0"/>
            </w:tcBorders>
            <w:shd w:val="clear" w:color="auto" w:fill="8DB3E2" w:themeFill="text2" w:themeFillTint="66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AdvGulliv-R"/>
                <w:sz w:val="18"/>
                <w:szCs w:val="18"/>
                <w:lang w:val="en-CA" w:eastAsia="en-CA"/>
              </w:rPr>
            </w:pPr>
            <w:r>
              <w:rPr>
                <w:rFonts w:eastAsia="宋体"/>
                <w:sz w:val="18"/>
                <w:szCs w:val="18"/>
                <w:lang w:val="en-CA" w:eastAsia="en-CA"/>
              </w:rPr>
              <w:t>Double-side</w:t>
            </w:r>
          </w:p>
        </w:tc>
        <w:tc>
          <w:tcPr>
            <w:tcW w:w="1949" w:type="dxa"/>
            <w:tcBorders>
              <w:top w:val="single" w:color="auto" w:sz="12" w:space="0"/>
              <w:left w:val="dotted" w:color="auto" w:sz="4" w:space="0"/>
              <w:bottom w:val="single" w:color="auto" w:sz="12" w:space="0"/>
              <w:right w:val="single" w:color="auto" w:sz="12" w:space="0"/>
            </w:tcBorders>
            <w:shd w:val="clear" w:color="auto" w:fill="FFFFFF" w:themeFill="background1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en-CA"/>
              </w:rPr>
            </w:pPr>
            <w:r>
              <w:rPr>
                <w:rFonts w:eastAsia="宋体"/>
                <w:sz w:val="18"/>
                <w:szCs w:val="18"/>
                <w:lang w:val="en-CA" w:eastAsia="en-CA"/>
              </w:rPr>
              <w:t>Spin-coating</w:t>
            </w:r>
          </w:p>
        </w:tc>
        <w:tc>
          <w:tcPr>
            <w:tcW w:w="750" w:type="dxa"/>
            <w:tcBorders>
              <w:top w:val="nil"/>
              <w:left w:val="single" w:color="auto" w:sz="12" w:space="0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en-CA"/>
              </w:rPr>
            </w:pPr>
            <w:r>
              <w:rPr>
                <w:rFonts w:eastAsia="宋体"/>
                <w:sz w:val="18"/>
                <w:szCs w:val="18"/>
                <w:lang w:val="en-CA" w:eastAsia="en-CA"/>
              </w:rPr>
              <w:t>1.78</w:t>
            </w:r>
          </w:p>
        </w:tc>
        <w:tc>
          <w:tcPr>
            <w:tcW w:w="990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en-CA"/>
              </w:rPr>
            </w:pPr>
            <w:r>
              <w:rPr>
                <w:rFonts w:eastAsia="宋体"/>
                <w:sz w:val="18"/>
                <w:szCs w:val="18"/>
                <w:lang w:val="en-CA" w:eastAsia="en-CA"/>
              </w:rPr>
              <w:t>19.3</w:t>
            </w:r>
          </w:p>
        </w:tc>
        <w:tc>
          <w:tcPr>
            <w:tcW w:w="780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en-CA"/>
              </w:rPr>
            </w:pPr>
            <w:r>
              <w:rPr>
                <w:rFonts w:eastAsia="宋体"/>
                <w:sz w:val="18"/>
                <w:szCs w:val="18"/>
                <w:lang w:val="en-CA" w:eastAsia="en-CA"/>
              </w:rPr>
              <w:t>75.4</w:t>
            </w:r>
          </w:p>
        </w:tc>
        <w:tc>
          <w:tcPr>
            <w:tcW w:w="900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en-CA"/>
              </w:rPr>
            </w:pPr>
            <w:r>
              <w:rPr>
                <w:rFonts w:eastAsia="宋体"/>
                <w:sz w:val="18"/>
                <w:szCs w:val="18"/>
                <w:lang w:val="en-CA" w:eastAsia="en-CA"/>
              </w:rPr>
              <w:t>25.7</w:t>
            </w:r>
          </w:p>
        </w:tc>
        <w:tc>
          <w:tcPr>
            <w:tcW w:w="930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shd w:val="clear" w:color="auto" w:fill="EBF1DE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en-CA"/>
              </w:rPr>
            </w:pPr>
            <w:r>
              <w:rPr>
                <w:rFonts w:hint="eastAsia" w:eastAsia="宋体"/>
                <w:sz w:val="18"/>
                <w:szCs w:val="18"/>
                <w:lang w:val="en-CA" w:eastAsia="zh-CN"/>
              </w:rPr>
              <w:t>Yes</w:t>
            </w:r>
          </w:p>
        </w:tc>
        <w:tc>
          <w:tcPr>
            <w:tcW w:w="770" w:type="dxa"/>
            <w:tcBorders>
              <w:top w:val="nil"/>
              <w:left w:val="dotted" w:color="auto" w:sz="4" w:space="0"/>
              <w:bottom w:val="nil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en-CA"/>
              </w:rPr>
            </w:pPr>
            <w:r>
              <w:rPr>
                <w:rFonts w:eastAsia="宋体"/>
                <w:sz w:val="18"/>
                <w:szCs w:val="18"/>
                <w:lang w:val="en-CA" w:eastAsia="en-CA"/>
              </w:rPr>
              <w:t>2020</w:t>
            </w:r>
          </w:p>
        </w:tc>
        <w:tc>
          <w:tcPr>
            <w:tcW w:w="1153" w:type="dxa"/>
            <w:tcBorders>
              <w:top w:val="nil"/>
              <w:left w:val="dotted" w:color="auto" w:sz="4" w:space="0"/>
              <w:bottom w:val="nil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color w:val="0070C0"/>
                <w:sz w:val="18"/>
                <w:szCs w:val="18"/>
                <w:lang w:val="en-CA" w:eastAsia="en-CA"/>
              </w:rPr>
            </w:pPr>
            <w:r>
              <w:rPr>
                <w:rFonts w:hint="eastAsia" w:eastAsia="宋体"/>
                <w:color w:val="0070C0"/>
                <w:sz w:val="18"/>
                <w:szCs w:val="18"/>
                <w:lang w:val="en-US" w:eastAsia="zh-CN"/>
              </w:rPr>
              <w:t>3</w:t>
            </w:r>
            <w:r>
              <w:rPr>
                <w:rFonts w:eastAsia="宋体"/>
                <w:color w:val="0070C0"/>
                <w:sz w:val="18"/>
                <w:szCs w:val="18"/>
                <w:lang w:val="en-CA" w:eastAsia="en-CA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686" w:type="dxa"/>
            <w:tcBorders>
              <w:top w:val="single" w:color="auto" w:sz="12" w:space="0"/>
              <w:bottom w:val="nil"/>
              <w:right w:val="dotted" w:color="auto" w:sz="4" w:space="0"/>
            </w:tcBorders>
            <w:shd w:val="clear" w:color="auto" w:fill="FBD4B4" w:themeFill="accent6" w:themeFillTint="66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AdvGulliv-R"/>
                <w:sz w:val="18"/>
                <w:szCs w:val="18"/>
                <w:lang w:val="en-CA" w:eastAsia="en-CA"/>
              </w:rPr>
            </w:pPr>
            <w:r>
              <w:rPr>
                <w:rFonts w:eastAsia="宋体"/>
                <w:sz w:val="18"/>
                <w:szCs w:val="18"/>
                <w:lang w:val="en-CA" w:eastAsia="en-CA"/>
              </w:rPr>
              <w:t>Single-side</w:t>
            </w:r>
          </w:p>
        </w:tc>
        <w:tc>
          <w:tcPr>
            <w:tcW w:w="1949" w:type="dxa"/>
            <w:tcBorders>
              <w:top w:val="single" w:color="auto" w:sz="12" w:space="0"/>
              <w:left w:val="dotted" w:color="auto" w:sz="4" w:space="0"/>
              <w:bottom w:val="nil"/>
              <w:right w:val="dotted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en-CA"/>
              </w:rPr>
            </w:pPr>
            <w:r>
              <w:rPr>
                <w:rFonts w:eastAsia="宋体"/>
                <w:sz w:val="18"/>
                <w:szCs w:val="18"/>
                <w:lang w:val="en-CA" w:eastAsia="en-CA"/>
              </w:rPr>
              <w:t>Spin-coating</w:t>
            </w:r>
          </w:p>
        </w:tc>
        <w:tc>
          <w:tcPr>
            <w:tcW w:w="750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en-CA"/>
              </w:rPr>
            </w:pPr>
            <w:r>
              <w:rPr>
                <w:rFonts w:eastAsia="宋体"/>
                <w:sz w:val="18"/>
                <w:szCs w:val="18"/>
                <w:lang w:val="en-CA" w:eastAsia="en-CA"/>
              </w:rPr>
              <w:t>1.76</w:t>
            </w:r>
          </w:p>
        </w:tc>
        <w:tc>
          <w:tcPr>
            <w:tcW w:w="990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en-CA"/>
              </w:rPr>
            </w:pPr>
            <w:r>
              <w:rPr>
                <w:rFonts w:eastAsia="宋体"/>
                <w:sz w:val="18"/>
                <w:szCs w:val="18"/>
                <w:lang w:val="en-CA" w:eastAsia="en-CA"/>
              </w:rPr>
              <w:t>19.2</w:t>
            </w:r>
          </w:p>
        </w:tc>
        <w:tc>
          <w:tcPr>
            <w:tcW w:w="780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en-CA"/>
              </w:rPr>
            </w:pPr>
            <w:r>
              <w:rPr>
                <w:rFonts w:eastAsia="宋体"/>
                <w:sz w:val="18"/>
                <w:szCs w:val="18"/>
                <w:lang w:val="en-CA" w:eastAsia="en-CA"/>
              </w:rPr>
              <w:t>79.2</w:t>
            </w:r>
          </w:p>
        </w:tc>
        <w:tc>
          <w:tcPr>
            <w:tcW w:w="900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en-CA"/>
              </w:rPr>
            </w:pPr>
            <w:r>
              <w:rPr>
                <w:rFonts w:eastAsia="宋体"/>
                <w:sz w:val="18"/>
                <w:szCs w:val="18"/>
                <w:lang w:val="en-CA" w:eastAsia="en-CA"/>
              </w:rPr>
              <w:t>26.7</w:t>
            </w:r>
          </w:p>
        </w:tc>
        <w:tc>
          <w:tcPr>
            <w:tcW w:w="930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shd w:val="clear" w:color="auto" w:fill="EBF1DE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en-CA"/>
              </w:rPr>
            </w:pPr>
            <w:r>
              <w:rPr>
                <w:rFonts w:eastAsia="宋体"/>
                <w:sz w:val="18"/>
                <w:szCs w:val="18"/>
                <w:lang w:val="en-CA" w:eastAsia="en-CA"/>
              </w:rPr>
              <w:t>No</w:t>
            </w:r>
          </w:p>
        </w:tc>
        <w:tc>
          <w:tcPr>
            <w:tcW w:w="770" w:type="dxa"/>
            <w:tcBorders>
              <w:top w:val="nil"/>
              <w:left w:val="dotted" w:color="auto" w:sz="4" w:space="0"/>
              <w:bottom w:val="nil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en-CA"/>
              </w:rPr>
            </w:pPr>
            <w:r>
              <w:rPr>
                <w:rFonts w:eastAsia="宋体"/>
                <w:sz w:val="18"/>
                <w:szCs w:val="18"/>
                <w:lang w:val="en-CA" w:eastAsia="en-CA"/>
              </w:rPr>
              <w:t>2020</w:t>
            </w:r>
          </w:p>
        </w:tc>
        <w:tc>
          <w:tcPr>
            <w:tcW w:w="1153" w:type="dxa"/>
            <w:tcBorders>
              <w:top w:val="nil"/>
              <w:left w:val="dotted" w:color="auto" w:sz="4" w:space="0"/>
              <w:bottom w:val="nil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color w:val="0070C0"/>
                <w:sz w:val="18"/>
                <w:szCs w:val="18"/>
                <w:lang w:val="en-CA" w:eastAsia="en-CA"/>
              </w:rPr>
            </w:pPr>
            <w:r>
              <w:rPr>
                <w:rFonts w:hint="eastAsia" w:eastAsia="宋体"/>
                <w:color w:val="0070C0"/>
                <w:sz w:val="18"/>
                <w:szCs w:val="18"/>
                <w:lang w:val="en-US" w:eastAsia="zh-CN"/>
              </w:rPr>
              <w:t>3</w:t>
            </w:r>
            <w:r>
              <w:rPr>
                <w:rFonts w:eastAsia="宋体"/>
                <w:color w:val="0070C0"/>
                <w:sz w:val="18"/>
                <w:szCs w:val="18"/>
                <w:lang w:val="en-CA" w:eastAsia="en-CA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686" w:type="dxa"/>
            <w:tcBorders>
              <w:top w:val="nil"/>
              <w:bottom w:val="nil"/>
              <w:right w:val="dotted" w:color="auto" w:sz="4" w:space="0"/>
            </w:tcBorders>
            <w:shd w:val="clear" w:color="auto" w:fill="8DB3E2" w:themeFill="text2" w:themeFillTint="66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AdvGulliv-R"/>
                <w:sz w:val="18"/>
                <w:szCs w:val="18"/>
                <w:lang w:val="en-CA" w:eastAsia="en-CA"/>
              </w:rPr>
            </w:pPr>
            <w:r>
              <w:rPr>
                <w:rFonts w:eastAsia="宋体"/>
                <w:sz w:val="18"/>
                <w:szCs w:val="18"/>
                <w:lang w:val="en-CA" w:eastAsia="en-CA"/>
              </w:rPr>
              <w:t>Double-side</w:t>
            </w:r>
          </w:p>
        </w:tc>
        <w:tc>
          <w:tcPr>
            <w:tcW w:w="1949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en-CA"/>
              </w:rPr>
            </w:pPr>
            <w:r>
              <w:rPr>
                <w:rFonts w:eastAsia="宋体"/>
                <w:sz w:val="18"/>
                <w:szCs w:val="18"/>
                <w:lang w:val="en-CA" w:eastAsia="en-CA"/>
              </w:rPr>
              <w:t>Blade-coating</w:t>
            </w:r>
          </w:p>
        </w:tc>
        <w:tc>
          <w:tcPr>
            <w:tcW w:w="750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en-CA"/>
              </w:rPr>
            </w:pPr>
            <w:r>
              <w:rPr>
                <w:rFonts w:eastAsia="宋体"/>
                <w:sz w:val="18"/>
                <w:szCs w:val="18"/>
                <w:lang w:val="en-CA" w:eastAsia="en-CA"/>
              </w:rPr>
              <w:t>1.82</w:t>
            </w:r>
          </w:p>
        </w:tc>
        <w:tc>
          <w:tcPr>
            <w:tcW w:w="990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en-CA"/>
              </w:rPr>
            </w:pPr>
            <w:r>
              <w:rPr>
                <w:rFonts w:eastAsia="宋体"/>
                <w:sz w:val="18"/>
                <w:szCs w:val="18"/>
                <w:lang w:val="en-CA" w:eastAsia="en-CA"/>
              </w:rPr>
              <w:t>19.2</w:t>
            </w:r>
          </w:p>
        </w:tc>
        <w:tc>
          <w:tcPr>
            <w:tcW w:w="780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en-CA"/>
              </w:rPr>
            </w:pPr>
            <w:r>
              <w:rPr>
                <w:rFonts w:eastAsia="宋体"/>
                <w:sz w:val="18"/>
                <w:szCs w:val="18"/>
                <w:lang w:val="en-CA" w:eastAsia="en-CA"/>
              </w:rPr>
              <w:t>75.3</w:t>
            </w:r>
          </w:p>
        </w:tc>
        <w:tc>
          <w:tcPr>
            <w:tcW w:w="900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en-CA"/>
              </w:rPr>
            </w:pPr>
            <w:r>
              <w:rPr>
                <w:rFonts w:eastAsia="宋体"/>
                <w:sz w:val="18"/>
                <w:szCs w:val="18"/>
                <w:lang w:val="en-CA" w:eastAsia="en-CA"/>
              </w:rPr>
              <w:t>26.2</w:t>
            </w:r>
          </w:p>
        </w:tc>
        <w:tc>
          <w:tcPr>
            <w:tcW w:w="930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shd w:val="clear" w:color="auto" w:fill="EBF1DE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en-CA"/>
              </w:rPr>
            </w:pPr>
            <w:r>
              <w:rPr>
                <w:rFonts w:eastAsia="宋体"/>
                <w:sz w:val="18"/>
                <w:szCs w:val="18"/>
                <w:lang w:val="en-CA" w:eastAsia="en-CA"/>
              </w:rPr>
              <w:t>No</w:t>
            </w:r>
          </w:p>
        </w:tc>
        <w:tc>
          <w:tcPr>
            <w:tcW w:w="770" w:type="dxa"/>
            <w:tcBorders>
              <w:top w:val="nil"/>
              <w:left w:val="dotted" w:color="auto" w:sz="4" w:space="0"/>
              <w:bottom w:val="nil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en-CA"/>
              </w:rPr>
            </w:pPr>
            <w:r>
              <w:rPr>
                <w:rFonts w:eastAsia="宋体"/>
                <w:sz w:val="18"/>
                <w:szCs w:val="18"/>
                <w:lang w:val="en-CA" w:eastAsia="en-CA"/>
              </w:rPr>
              <w:t>2020</w:t>
            </w:r>
          </w:p>
        </w:tc>
        <w:tc>
          <w:tcPr>
            <w:tcW w:w="1153" w:type="dxa"/>
            <w:tcBorders>
              <w:top w:val="nil"/>
              <w:left w:val="dotted" w:color="auto" w:sz="4" w:space="0"/>
              <w:bottom w:val="nil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color w:val="0070C0"/>
                <w:sz w:val="18"/>
                <w:szCs w:val="18"/>
                <w:lang w:val="en-CA" w:eastAsia="en-CA"/>
              </w:rPr>
            </w:pPr>
            <w:r>
              <w:rPr>
                <w:rFonts w:hint="eastAsia" w:eastAsia="宋体"/>
                <w:color w:val="0070C0"/>
                <w:sz w:val="18"/>
                <w:szCs w:val="18"/>
                <w:lang w:val="en-US" w:eastAsia="zh-CN"/>
              </w:rPr>
              <w:t>3</w:t>
            </w:r>
            <w:r>
              <w:rPr>
                <w:rFonts w:eastAsia="宋体"/>
                <w:color w:val="0070C0"/>
                <w:sz w:val="18"/>
                <w:szCs w:val="18"/>
                <w:lang w:val="en-CA" w:eastAsia="en-CA"/>
              </w:rPr>
              <w:t>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686" w:type="dxa"/>
            <w:tcBorders>
              <w:top w:val="nil"/>
              <w:bottom w:val="nil"/>
              <w:right w:val="dotted" w:color="auto" w:sz="4" w:space="0"/>
            </w:tcBorders>
            <w:shd w:val="clear" w:color="auto" w:fill="FBD4B4" w:themeFill="accent6" w:themeFillTint="66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en-CA"/>
              </w:rPr>
            </w:pPr>
            <w:r>
              <w:rPr>
                <w:rFonts w:eastAsia="宋体"/>
                <w:sz w:val="18"/>
                <w:szCs w:val="18"/>
                <w:lang w:val="en-CA" w:eastAsia="en-CA"/>
              </w:rPr>
              <w:t>Single-side</w:t>
            </w:r>
          </w:p>
        </w:tc>
        <w:tc>
          <w:tcPr>
            <w:tcW w:w="1949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en-CA"/>
              </w:rPr>
            </w:pPr>
            <w:r>
              <w:rPr>
                <w:rFonts w:eastAsia="宋体"/>
                <w:sz w:val="18"/>
                <w:szCs w:val="18"/>
                <w:lang w:val="en-CA" w:eastAsia="en-CA"/>
              </w:rPr>
              <w:t>Spin-coating</w:t>
            </w:r>
          </w:p>
        </w:tc>
        <w:tc>
          <w:tcPr>
            <w:tcW w:w="750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en-CA"/>
              </w:rPr>
            </w:pPr>
            <w:r>
              <w:rPr>
                <w:rFonts w:eastAsia="宋体"/>
                <w:sz w:val="18"/>
                <w:szCs w:val="18"/>
                <w:lang w:val="en-CA" w:eastAsia="en-CA"/>
              </w:rPr>
              <w:t>1.77</w:t>
            </w:r>
          </w:p>
        </w:tc>
        <w:tc>
          <w:tcPr>
            <w:tcW w:w="990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en-CA"/>
              </w:rPr>
            </w:pPr>
            <w:r>
              <w:rPr>
                <w:rFonts w:eastAsia="宋体"/>
                <w:sz w:val="18"/>
                <w:szCs w:val="18"/>
                <w:lang w:val="en-CA" w:eastAsia="en-CA"/>
              </w:rPr>
              <w:t>17.7</w:t>
            </w:r>
          </w:p>
        </w:tc>
        <w:tc>
          <w:tcPr>
            <w:tcW w:w="780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en-CA"/>
              </w:rPr>
            </w:pPr>
            <w:r>
              <w:rPr>
                <w:rFonts w:eastAsia="宋体"/>
                <w:sz w:val="18"/>
                <w:szCs w:val="18"/>
                <w:lang w:val="en-CA" w:eastAsia="en-CA"/>
              </w:rPr>
              <w:t>80.3</w:t>
            </w:r>
          </w:p>
        </w:tc>
        <w:tc>
          <w:tcPr>
            <w:tcW w:w="900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en-CA"/>
              </w:rPr>
            </w:pPr>
            <w:r>
              <w:rPr>
                <w:rFonts w:eastAsia="宋体"/>
                <w:sz w:val="18"/>
                <w:szCs w:val="18"/>
                <w:lang w:val="en-CA" w:eastAsia="en-CA"/>
              </w:rPr>
              <w:t>25.1</w:t>
            </w:r>
          </w:p>
        </w:tc>
        <w:tc>
          <w:tcPr>
            <w:tcW w:w="930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shd w:val="clear" w:color="auto" w:fill="EBF1DE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en-CA"/>
              </w:rPr>
            </w:pPr>
            <w:r>
              <w:rPr>
                <w:rFonts w:hint="eastAsia" w:eastAsia="宋体"/>
                <w:sz w:val="18"/>
                <w:szCs w:val="18"/>
                <w:lang w:val="en-CA" w:eastAsia="zh-CN"/>
              </w:rPr>
              <w:t>Yes</w:t>
            </w:r>
          </w:p>
        </w:tc>
        <w:tc>
          <w:tcPr>
            <w:tcW w:w="770" w:type="dxa"/>
            <w:tcBorders>
              <w:top w:val="nil"/>
              <w:left w:val="dotted" w:color="auto" w:sz="4" w:space="0"/>
              <w:bottom w:val="nil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en-CA"/>
              </w:rPr>
            </w:pPr>
            <w:r>
              <w:rPr>
                <w:rFonts w:eastAsia="宋体"/>
                <w:sz w:val="18"/>
                <w:szCs w:val="18"/>
                <w:lang w:val="en-CA" w:eastAsia="en-CA"/>
              </w:rPr>
              <w:t>2020</w:t>
            </w:r>
          </w:p>
        </w:tc>
        <w:tc>
          <w:tcPr>
            <w:tcW w:w="1153" w:type="dxa"/>
            <w:tcBorders>
              <w:top w:val="nil"/>
              <w:left w:val="dotted" w:color="auto" w:sz="4" w:space="0"/>
              <w:bottom w:val="nil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color w:val="0070C0"/>
                <w:sz w:val="18"/>
                <w:szCs w:val="18"/>
                <w:lang w:val="en-CA" w:eastAsia="en-CA"/>
              </w:rPr>
            </w:pPr>
            <w:r>
              <w:rPr>
                <w:rFonts w:hint="eastAsia" w:eastAsia="宋体"/>
                <w:color w:val="0070C0"/>
                <w:sz w:val="18"/>
                <w:szCs w:val="18"/>
                <w:lang w:val="en-CA" w:eastAsia="zh-CN"/>
              </w:rPr>
              <w:t>4</w:t>
            </w:r>
            <w:r>
              <w:rPr>
                <w:rFonts w:eastAsia="宋体"/>
                <w:color w:val="0070C0"/>
                <w:sz w:val="18"/>
                <w:szCs w:val="18"/>
                <w:lang w:val="en-CA" w:eastAsia="en-CA"/>
              </w:rPr>
              <w:t>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exact"/>
        </w:trPr>
        <w:tc>
          <w:tcPr>
            <w:tcW w:w="1686" w:type="dxa"/>
            <w:tcBorders>
              <w:top w:val="nil"/>
              <w:bottom w:val="nil"/>
              <w:right w:val="dotted" w:color="auto" w:sz="4" w:space="0"/>
            </w:tcBorders>
            <w:shd w:val="clear" w:color="auto" w:fill="8DB3E2" w:themeFill="text2" w:themeFillTint="66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en-CA"/>
              </w:rPr>
            </w:pPr>
            <w:r>
              <w:rPr>
                <w:rFonts w:eastAsia="宋体"/>
                <w:sz w:val="18"/>
                <w:szCs w:val="18"/>
                <w:lang w:val="en-CA" w:eastAsia="en-CA"/>
              </w:rPr>
              <w:t>Double-side</w:t>
            </w:r>
          </w:p>
        </w:tc>
        <w:tc>
          <w:tcPr>
            <w:tcW w:w="1949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en-CA"/>
              </w:rPr>
            </w:pPr>
            <w:r>
              <w:rPr>
                <w:rFonts w:eastAsia="宋体"/>
                <w:sz w:val="18"/>
                <w:szCs w:val="18"/>
                <w:lang w:val="en-CA" w:eastAsia="en-CA"/>
              </w:rPr>
              <w:t>Evaporation-solution hybrid</w:t>
            </w:r>
          </w:p>
        </w:tc>
        <w:tc>
          <w:tcPr>
            <w:tcW w:w="750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en-CA"/>
              </w:rPr>
            </w:pPr>
            <w:r>
              <w:rPr>
                <w:rFonts w:eastAsia="宋体"/>
                <w:sz w:val="18"/>
                <w:szCs w:val="18"/>
                <w:lang w:val="en-CA" w:eastAsia="en-CA"/>
              </w:rPr>
              <w:t>1.73</w:t>
            </w:r>
          </w:p>
        </w:tc>
        <w:tc>
          <w:tcPr>
            <w:tcW w:w="990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en-CA"/>
              </w:rPr>
            </w:pPr>
            <w:r>
              <w:rPr>
                <w:rFonts w:eastAsia="宋体"/>
                <w:sz w:val="18"/>
                <w:szCs w:val="18"/>
                <w:lang w:val="en-CA" w:eastAsia="en-CA"/>
              </w:rPr>
              <w:t>19.8</w:t>
            </w:r>
          </w:p>
        </w:tc>
        <w:tc>
          <w:tcPr>
            <w:tcW w:w="780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en-CA"/>
              </w:rPr>
            </w:pPr>
            <w:r>
              <w:rPr>
                <w:rFonts w:eastAsia="宋体"/>
                <w:sz w:val="18"/>
                <w:szCs w:val="18"/>
                <w:lang w:val="en-CA" w:eastAsia="en-CA"/>
              </w:rPr>
              <w:t>73.1</w:t>
            </w:r>
          </w:p>
        </w:tc>
        <w:tc>
          <w:tcPr>
            <w:tcW w:w="900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en-CA"/>
              </w:rPr>
            </w:pPr>
            <w:r>
              <w:rPr>
                <w:rFonts w:eastAsia="宋体"/>
                <w:sz w:val="18"/>
                <w:szCs w:val="18"/>
                <w:lang w:val="en-CA" w:eastAsia="en-CA"/>
              </w:rPr>
              <w:t>25.1</w:t>
            </w:r>
          </w:p>
        </w:tc>
        <w:tc>
          <w:tcPr>
            <w:tcW w:w="930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shd w:val="clear" w:color="auto" w:fill="EBF1DE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en-CA"/>
              </w:rPr>
            </w:pPr>
            <w:r>
              <w:rPr>
                <w:rFonts w:hint="eastAsia" w:eastAsia="宋体"/>
                <w:sz w:val="18"/>
                <w:szCs w:val="18"/>
                <w:lang w:val="en-CA" w:eastAsia="zh-CN"/>
              </w:rPr>
              <w:t>Yes</w:t>
            </w:r>
          </w:p>
        </w:tc>
        <w:tc>
          <w:tcPr>
            <w:tcW w:w="770" w:type="dxa"/>
            <w:tcBorders>
              <w:top w:val="nil"/>
              <w:left w:val="dotted" w:color="auto" w:sz="4" w:space="0"/>
              <w:bottom w:val="nil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en-CA"/>
              </w:rPr>
            </w:pPr>
            <w:r>
              <w:rPr>
                <w:rFonts w:eastAsia="宋体"/>
                <w:sz w:val="18"/>
                <w:szCs w:val="18"/>
                <w:lang w:val="en-CA" w:eastAsia="en-CA"/>
              </w:rPr>
              <w:t>2020</w:t>
            </w:r>
          </w:p>
        </w:tc>
        <w:tc>
          <w:tcPr>
            <w:tcW w:w="1153" w:type="dxa"/>
            <w:tcBorders>
              <w:top w:val="nil"/>
              <w:left w:val="dotted" w:color="auto" w:sz="4" w:space="0"/>
              <w:bottom w:val="nil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color w:val="0070C0"/>
                <w:sz w:val="18"/>
                <w:szCs w:val="18"/>
                <w:lang w:val="en-CA" w:eastAsia="en-CA"/>
              </w:rPr>
            </w:pPr>
            <w:r>
              <w:rPr>
                <w:rFonts w:hint="eastAsia" w:eastAsia="宋体"/>
                <w:color w:val="0070C0"/>
                <w:sz w:val="18"/>
                <w:szCs w:val="18"/>
                <w:lang w:val="en-US" w:eastAsia="zh-CN"/>
              </w:rPr>
              <w:t>3</w:t>
            </w:r>
            <w:r>
              <w:rPr>
                <w:rFonts w:eastAsia="宋体"/>
                <w:color w:val="0070C0"/>
                <w:sz w:val="18"/>
                <w:szCs w:val="18"/>
                <w:lang w:val="en-CA" w:eastAsia="en-CA"/>
              </w:rPr>
              <w:t>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686" w:type="dxa"/>
            <w:tcBorders>
              <w:top w:val="nil"/>
              <w:bottom w:val="nil"/>
              <w:right w:val="dotted" w:color="auto" w:sz="4" w:space="0"/>
            </w:tcBorders>
            <w:shd w:val="clear" w:color="auto" w:fill="FBD4B4" w:themeFill="accent6" w:themeFillTint="66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AdvGulliv-R"/>
                <w:sz w:val="18"/>
                <w:szCs w:val="18"/>
                <w:lang w:val="en-CA" w:eastAsia="en-CA"/>
              </w:rPr>
            </w:pPr>
            <w:r>
              <w:rPr>
                <w:rFonts w:eastAsia="宋体"/>
                <w:sz w:val="18"/>
                <w:szCs w:val="18"/>
                <w:lang w:val="en-CA" w:eastAsia="en-CA"/>
              </w:rPr>
              <w:t>Single-side</w:t>
            </w:r>
          </w:p>
        </w:tc>
        <w:tc>
          <w:tcPr>
            <w:tcW w:w="1949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en-CA"/>
              </w:rPr>
            </w:pPr>
            <w:r>
              <w:rPr>
                <w:rFonts w:eastAsia="宋体"/>
                <w:sz w:val="18"/>
                <w:szCs w:val="18"/>
                <w:lang w:val="en-CA" w:eastAsia="en-CA"/>
              </w:rPr>
              <w:t>Spin-coating</w:t>
            </w:r>
          </w:p>
        </w:tc>
        <w:tc>
          <w:tcPr>
            <w:tcW w:w="750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en-CA"/>
              </w:rPr>
            </w:pPr>
            <w:r>
              <w:rPr>
                <w:rFonts w:eastAsia="宋体"/>
                <w:sz w:val="18"/>
                <w:szCs w:val="18"/>
                <w:lang w:val="en-CA" w:eastAsia="en-CA"/>
              </w:rPr>
              <w:t>1.90</w:t>
            </w:r>
          </w:p>
        </w:tc>
        <w:tc>
          <w:tcPr>
            <w:tcW w:w="990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en-CA"/>
              </w:rPr>
            </w:pPr>
            <w:r>
              <w:rPr>
                <w:rFonts w:eastAsia="宋体"/>
                <w:sz w:val="18"/>
                <w:szCs w:val="18"/>
                <w:lang w:val="en-CA" w:eastAsia="en-CA"/>
              </w:rPr>
              <w:t>19.26</w:t>
            </w:r>
          </w:p>
        </w:tc>
        <w:tc>
          <w:tcPr>
            <w:tcW w:w="780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en-CA"/>
              </w:rPr>
            </w:pPr>
            <w:r>
              <w:rPr>
                <w:rFonts w:eastAsia="宋体"/>
                <w:sz w:val="18"/>
                <w:szCs w:val="18"/>
                <w:lang w:val="en-CA" w:eastAsia="en-CA"/>
              </w:rPr>
              <w:t>79.5</w:t>
            </w:r>
          </w:p>
        </w:tc>
        <w:tc>
          <w:tcPr>
            <w:tcW w:w="900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en-CA"/>
              </w:rPr>
            </w:pPr>
            <w:r>
              <w:rPr>
                <w:rFonts w:eastAsia="宋体"/>
                <w:sz w:val="18"/>
                <w:szCs w:val="18"/>
                <w:lang w:val="en-CA" w:eastAsia="en-CA"/>
              </w:rPr>
              <w:t>29.15</w:t>
            </w:r>
          </w:p>
        </w:tc>
        <w:tc>
          <w:tcPr>
            <w:tcW w:w="930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shd w:val="clear" w:color="auto" w:fill="EBF1DE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en-CA"/>
              </w:rPr>
            </w:pPr>
            <w:r>
              <w:rPr>
                <w:rFonts w:hint="eastAsia" w:eastAsia="宋体"/>
                <w:sz w:val="18"/>
                <w:szCs w:val="18"/>
                <w:lang w:val="en-CA" w:eastAsia="zh-CN"/>
              </w:rPr>
              <w:t>Yes</w:t>
            </w:r>
          </w:p>
        </w:tc>
        <w:tc>
          <w:tcPr>
            <w:tcW w:w="770" w:type="dxa"/>
            <w:tcBorders>
              <w:top w:val="nil"/>
              <w:left w:val="dotted" w:color="auto" w:sz="4" w:space="0"/>
              <w:bottom w:val="nil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AdvGulliv-R"/>
                <w:sz w:val="18"/>
                <w:szCs w:val="18"/>
                <w:lang w:val="en-CA" w:eastAsia="en-CA"/>
              </w:rPr>
            </w:pPr>
            <w:r>
              <w:rPr>
                <w:rFonts w:eastAsia="AdvGulliv-R"/>
                <w:sz w:val="18"/>
                <w:szCs w:val="18"/>
                <w:lang w:val="en-CA" w:eastAsia="en-CA"/>
              </w:rPr>
              <w:t>2020</w:t>
            </w:r>
          </w:p>
        </w:tc>
        <w:tc>
          <w:tcPr>
            <w:tcW w:w="1153" w:type="dxa"/>
            <w:tcBorders>
              <w:top w:val="nil"/>
              <w:left w:val="dotted" w:color="auto" w:sz="4" w:space="0"/>
              <w:bottom w:val="nil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color w:val="0070C0"/>
                <w:sz w:val="18"/>
                <w:szCs w:val="18"/>
                <w:lang w:val="en-CA" w:eastAsia="en-CA"/>
              </w:rPr>
            </w:pPr>
            <w:r>
              <w:rPr>
                <w:rFonts w:hint="eastAsia" w:eastAsia="宋体"/>
                <w:color w:val="0070C0"/>
                <w:sz w:val="18"/>
                <w:szCs w:val="18"/>
                <w:lang w:val="en-US" w:eastAsia="zh-CN"/>
              </w:rPr>
              <w:t>3</w:t>
            </w:r>
            <w:r>
              <w:rPr>
                <w:rFonts w:eastAsia="宋体"/>
                <w:color w:val="0070C0"/>
                <w:sz w:val="18"/>
                <w:szCs w:val="18"/>
                <w:lang w:val="en-CA" w:eastAsia="en-CA"/>
              </w:rPr>
              <w:t>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686" w:type="dxa"/>
            <w:tcBorders>
              <w:top w:val="nil"/>
              <w:bottom w:val="single" w:color="auto" w:sz="12" w:space="0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en-CA"/>
              </w:rPr>
            </w:pPr>
            <w:r>
              <w:rPr>
                <w:rFonts w:eastAsia="宋体"/>
                <w:sz w:val="18"/>
                <w:szCs w:val="18"/>
                <w:lang w:val="en-CA" w:eastAsia="en-CA"/>
              </w:rPr>
              <w:t>-</w:t>
            </w:r>
          </w:p>
        </w:tc>
        <w:tc>
          <w:tcPr>
            <w:tcW w:w="1949" w:type="dxa"/>
            <w:tcBorders>
              <w:top w:val="nil"/>
              <w:left w:val="dotted" w:color="auto" w:sz="4" w:space="0"/>
              <w:bottom w:val="single" w:color="auto" w:sz="12" w:space="0"/>
              <w:right w:val="dotted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en-CA"/>
              </w:rPr>
            </w:pPr>
            <w:r>
              <w:rPr>
                <w:rFonts w:eastAsia="宋体"/>
                <w:sz w:val="18"/>
                <w:szCs w:val="18"/>
                <w:lang w:val="en-CA" w:eastAsia="en-CA"/>
              </w:rPr>
              <w:t>-</w:t>
            </w:r>
          </w:p>
        </w:tc>
        <w:tc>
          <w:tcPr>
            <w:tcW w:w="750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en-CA"/>
              </w:rPr>
            </w:pPr>
            <w:r>
              <w:rPr>
                <w:rFonts w:eastAsia="宋体"/>
                <w:sz w:val="18"/>
                <w:szCs w:val="18"/>
                <w:lang w:val="en-CA" w:eastAsia="en-CA"/>
              </w:rPr>
              <w:t>-</w:t>
            </w:r>
          </w:p>
        </w:tc>
        <w:tc>
          <w:tcPr>
            <w:tcW w:w="990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en-CA"/>
              </w:rPr>
            </w:pPr>
            <w:r>
              <w:rPr>
                <w:rFonts w:eastAsia="宋体"/>
                <w:sz w:val="18"/>
                <w:szCs w:val="18"/>
                <w:lang w:val="en-CA" w:eastAsia="en-CA"/>
              </w:rPr>
              <w:t>-</w:t>
            </w:r>
          </w:p>
        </w:tc>
        <w:tc>
          <w:tcPr>
            <w:tcW w:w="780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en-CA"/>
              </w:rPr>
            </w:pPr>
            <w:r>
              <w:rPr>
                <w:rFonts w:eastAsia="宋体"/>
                <w:sz w:val="18"/>
                <w:szCs w:val="18"/>
                <w:lang w:val="en-CA" w:eastAsia="en-CA"/>
              </w:rPr>
              <w:t>-</w:t>
            </w:r>
          </w:p>
        </w:tc>
        <w:tc>
          <w:tcPr>
            <w:tcW w:w="900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en-CA"/>
              </w:rPr>
            </w:pPr>
            <w:r>
              <w:rPr>
                <w:rFonts w:eastAsia="宋体"/>
                <w:sz w:val="18"/>
                <w:szCs w:val="18"/>
                <w:lang w:val="en-CA" w:eastAsia="en-CA"/>
              </w:rPr>
              <w:t>29.52</w:t>
            </w:r>
          </w:p>
        </w:tc>
        <w:tc>
          <w:tcPr>
            <w:tcW w:w="930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shd w:val="clear" w:color="auto" w:fill="EBF1DE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en-CA"/>
              </w:rPr>
            </w:pPr>
            <w:r>
              <w:rPr>
                <w:rFonts w:hint="eastAsia" w:eastAsia="宋体"/>
                <w:sz w:val="18"/>
                <w:szCs w:val="18"/>
                <w:lang w:val="en-CA" w:eastAsia="zh-CN"/>
              </w:rPr>
              <w:t>Yes</w:t>
            </w:r>
          </w:p>
        </w:tc>
        <w:tc>
          <w:tcPr>
            <w:tcW w:w="770" w:type="dxa"/>
            <w:tcBorders>
              <w:top w:val="nil"/>
              <w:left w:val="dotted" w:color="auto" w:sz="4" w:space="0"/>
              <w:bottom w:val="nil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en-CA"/>
              </w:rPr>
            </w:pPr>
            <w:r>
              <w:rPr>
                <w:rFonts w:eastAsia="AdvGulliv-R"/>
                <w:sz w:val="18"/>
                <w:szCs w:val="18"/>
                <w:lang w:val="en-CA" w:eastAsia="en-CA"/>
              </w:rPr>
              <w:t>202</w:t>
            </w:r>
            <w:r>
              <w:rPr>
                <w:rFonts w:eastAsia="宋体"/>
                <w:sz w:val="18"/>
                <w:szCs w:val="18"/>
                <w:lang w:val="en-CA" w:eastAsia="en-CA"/>
              </w:rPr>
              <w:t>0</w:t>
            </w:r>
          </w:p>
        </w:tc>
        <w:tc>
          <w:tcPr>
            <w:tcW w:w="1153" w:type="dxa"/>
            <w:tcBorders>
              <w:top w:val="nil"/>
              <w:left w:val="dotted" w:color="auto" w:sz="4" w:space="0"/>
              <w:bottom w:val="nil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color w:val="0070C0"/>
                <w:sz w:val="18"/>
                <w:szCs w:val="18"/>
                <w:lang w:val="en-CA" w:eastAsia="en-CA"/>
              </w:rPr>
            </w:pPr>
            <w:r>
              <w:rPr>
                <w:rFonts w:hint="eastAsia" w:eastAsia="宋体"/>
                <w:color w:val="0070C0"/>
                <w:sz w:val="18"/>
                <w:szCs w:val="18"/>
                <w:lang w:val="en-US" w:eastAsia="zh-CN"/>
              </w:rPr>
              <w:t>3</w:t>
            </w:r>
            <w:r>
              <w:rPr>
                <w:rFonts w:eastAsia="宋体"/>
                <w:color w:val="0070C0"/>
                <w:sz w:val="18"/>
                <w:szCs w:val="18"/>
                <w:lang w:val="en-CA" w:eastAsia="en-CA"/>
              </w:rPr>
              <w:t>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686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dotted" w:color="auto" w:sz="4" w:space="0"/>
            </w:tcBorders>
            <w:shd w:val="clear" w:color="auto" w:fill="8DB3E2" w:themeFill="text2" w:themeFillTint="66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AdvGulliv-R"/>
                <w:sz w:val="18"/>
                <w:szCs w:val="18"/>
                <w:lang w:val="en-CA" w:eastAsia="en-CA"/>
              </w:rPr>
            </w:pPr>
            <w:r>
              <w:rPr>
                <w:rFonts w:eastAsia="宋体"/>
                <w:sz w:val="18"/>
                <w:szCs w:val="18"/>
                <w:lang w:val="en-CA" w:eastAsia="en-CA"/>
              </w:rPr>
              <w:t>Double-side</w:t>
            </w:r>
          </w:p>
        </w:tc>
        <w:tc>
          <w:tcPr>
            <w:tcW w:w="1949" w:type="dxa"/>
            <w:tcBorders>
              <w:top w:val="single" w:color="auto" w:sz="12" w:space="0"/>
              <w:left w:val="dotted" w:color="auto" w:sz="4" w:space="0"/>
              <w:bottom w:val="single" w:color="auto" w:sz="12" w:space="0"/>
              <w:right w:val="single" w:color="auto" w:sz="12" w:space="0"/>
            </w:tcBorders>
            <w:shd w:val="clear" w:color="auto" w:fill="FFFFFF" w:themeFill="background1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en-CA"/>
              </w:rPr>
            </w:pPr>
            <w:r>
              <w:rPr>
                <w:rFonts w:eastAsia="宋体"/>
                <w:sz w:val="18"/>
                <w:szCs w:val="18"/>
                <w:lang w:val="en-CA" w:eastAsia="en-CA"/>
              </w:rPr>
              <w:t>Spin-coating</w:t>
            </w:r>
          </w:p>
        </w:tc>
        <w:tc>
          <w:tcPr>
            <w:tcW w:w="750" w:type="dxa"/>
            <w:tcBorders>
              <w:top w:val="nil"/>
              <w:left w:val="single" w:color="auto" w:sz="12" w:space="0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en-CA"/>
              </w:rPr>
            </w:pPr>
            <w:r>
              <w:rPr>
                <w:rFonts w:eastAsia="宋体"/>
                <w:sz w:val="18"/>
                <w:szCs w:val="18"/>
                <w:lang w:val="en-CA" w:eastAsia="en-CA"/>
              </w:rPr>
              <w:t>1.72</w:t>
            </w:r>
          </w:p>
        </w:tc>
        <w:tc>
          <w:tcPr>
            <w:tcW w:w="990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en-CA"/>
              </w:rPr>
            </w:pPr>
            <w:r>
              <w:rPr>
                <w:rFonts w:eastAsia="宋体"/>
                <w:sz w:val="18"/>
                <w:szCs w:val="18"/>
                <w:lang w:val="en-CA" w:eastAsia="en-CA"/>
              </w:rPr>
              <w:t>19.7</w:t>
            </w:r>
          </w:p>
        </w:tc>
        <w:tc>
          <w:tcPr>
            <w:tcW w:w="780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en-CA"/>
              </w:rPr>
            </w:pPr>
            <w:r>
              <w:rPr>
                <w:rFonts w:eastAsia="宋体"/>
                <w:sz w:val="18"/>
                <w:szCs w:val="18"/>
                <w:lang w:val="en-CA" w:eastAsia="en-CA"/>
              </w:rPr>
              <w:t>74.6</w:t>
            </w:r>
          </w:p>
        </w:tc>
        <w:tc>
          <w:tcPr>
            <w:tcW w:w="900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en-CA"/>
              </w:rPr>
            </w:pPr>
            <w:r>
              <w:rPr>
                <w:rFonts w:eastAsia="宋体"/>
                <w:sz w:val="18"/>
                <w:szCs w:val="18"/>
                <w:lang w:val="en-CA" w:eastAsia="en-CA"/>
              </w:rPr>
              <w:t>25.2</w:t>
            </w:r>
          </w:p>
        </w:tc>
        <w:tc>
          <w:tcPr>
            <w:tcW w:w="930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shd w:val="clear" w:color="auto" w:fill="EBF1DE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en-CA"/>
              </w:rPr>
            </w:pPr>
            <w:r>
              <w:rPr>
                <w:rFonts w:hint="eastAsia" w:eastAsia="宋体"/>
                <w:sz w:val="18"/>
                <w:szCs w:val="18"/>
                <w:lang w:val="en-CA" w:eastAsia="zh-CN"/>
              </w:rPr>
              <w:t>Yes</w:t>
            </w:r>
          </w:p>
        </w:tc>
        <w:tc>
          <w:tcPr>
            <w:tcW w:w="770" w:type="dxa"/>
            <w:tcBorders>
              <w:top w:val="nil"/>
              <w:left w:val="dotted" w:color="auto" w:sz="4" w:space="0"/>
              <w:bottom w:val="nil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en-CA"/>
              </w:rPr>
            </w:pPr>
            <w:r>
              <w:rPr>
                <w:rFonts w:eastAsia="AdvGulliv-R"/>
                <w:sz w:val="18"/>
                <w:szCs w:val="18"/>
                <w:lang w:val="en-CA" w:eastAsia="en-CA"/>
              </w:rPr>
              <w:t>202</w:t>
            </w:r>
            <w:r>
              <w:rPr>
                <w:rFonts w:eastAsia="宋体"/>
                <w:sz w:val="18"/>
                <w:szCs w:val="18"/>
                <w:lang w:val="en-CA" w:eastAsia="en-CA"/>
              </w:rPr>
              <w:t>1</w:t>
            </w:r>
          </w:p>
        </w:tc>
        <w:tc>
          <w:tcPr>
            <w:tcW w:w="1153" w:type="dxa"/>
            <w:tcBorders>
              <w:top w:val="nil"/>
              <w:left w:val="dotted" w:color="auto" w:sz="4" w:space="0"/>
              <w:bottom w:val="nil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color w:val="0070C0"/>
                <w:sz w:val="18"/>
                <w:szCs w:val="18"/>
                <w:lang w:val="en-CA" w:eastAsia="en-CA"/>
              </w:rPr>
            </w:pPr>
            <w:r>
              <w:rPr>
                <w:rFonts w:hint="eastAsia" w:eastAsia="宋体"/>
                <w:color w:val="0070C0"/>
                <w:sz w:val="18"/>
                <w:szCs w:val="18"/>
                <w:lang w:val="en-US" w:eastAsia="zh-CN"/>
              </w:rPr>
              <w:t>3</w:t>
            </w:r>
            <w:r>
              <w:rPr>
                <w:rFonts w:eastAsia="宋体"/>
                <w:color w:val="0070C0"/>
                <w:sz w:val="18"/>
                <w:szCs w:val="18"/>
                <w:lang w:val="en-CA" w:eastAsia="en-CA"/>
              </w:rPr>
              <w:t>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686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dotted" w:color="auto" w:sz="4" w:space="0"/>
            </w:tcBorders>
            <w:shd w:val="clear" w:color="auto" w:fill="8DB3E2" w:themeFill="text2" w:themeFillTint="66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AdvGulliv-R"/>
                <w:sz w:val="18"/>
                <w:szCs w:val="18"/>
                <w:lang w:val="en-CA" w:eastAsia="en-CA"/>
              </w:rPr>
            </w:pPr>
            <w:r>
              <w:rPr>
                <w:rFonts w:eastAsia="宋体"/>
                <w:sz w:val="18"/>
                <w:szCs w:val="18"/>
                <w:lang w:val="en-CA" w:eastAsia="en-CA"/>
              </w:rPr>
              <w:t>Double-side</w:t>
            </w:r>
          </w:p>
        </w:tc>
        <w:tc>
          <w:tcPr>
            <w:tcW w:w="1949" w:type="dxa"/>
            <w:tcBorders>
              <w:top w:val="single" w:color="auto" w:sz="12" w:space="0"/>
              <w:left w:val="dotted" w:color="auto" w:sz="4" w:space="0"/>
              <w:bottom w:val="single" w:color="auto" w:sz="12" w:space="0"/>
              <w:right w:val="single" w:color="auto" w:sz="12" w:space="0"/>
            </w:tcBorders>
            <w:shd w:val="clear" w:color="auto" w:fill="FFFFFF" w:themeFill="background1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en-CA"/>
              </w:rPr>
            </w:pPr>
            <w:r>
              <w:rPr>
                <w:rFonts w:eastAsia="宋体"/>
                <w:sz w:val="18"/>
                <w:szCs w:val="18"/>
                <w:lang w:val="en-CA" w:eastAsia="en-CA"/>
              </w:rPr>
              <w:t>Spin-coating</w:t>
            </w:r>
          </w:p>
        </w:tc>
        <w:tc>
          <w:tcPr>
            <w:tcW w:w="750" w:type="dxa"/>
            <w:tcBorders>
              <w:top w:val="nil"/>
              <w:left w:val="single" w:color="auto" w:sz="12" w:space="0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en-CA"/>
              </w:rPr>
            </w:pPr>
            <w:r>
              <w:rPr>
                <w:rFonts w:eastAsia="宋体"/>
                <w:sz w:val="18"/>
                <w:szCs w:val="18"/>
                <w:lang w:val="en-CA" w:eastAsia="en-CA"/>
              </w:rPr>
              <w:t>1.84</w:t>
            </w:r>
          </w:p>
        </w:tc>
        <w:tc>
          <w:tcPr>
            <w:tcW w:w="990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en-CA"/>
              </w:rPr>
            </w:pPr>
            <w:r>
              <w:rPr>
                <w:rFonts w:eastAsia="宋体"/>
                <w:sz w:val="18"/>
                <w:szCs w:val="18"/>
                <w:lang w:val="en-CA" w:eastAsia="en-CA"/>
              </w:rPr>
              <w:t>19.6</w:t>
            </w:r>
          </w:p>
        </w:tc>
        <w:tc>
          <w:tcPr>
            <w:tcW w:w="780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en-CA"/>
              </w:rPr>
            </w:pPr>
            <w:r>
              <w:rPr>
                <w:rFonts w:eastAsia="宋体"/>
                <w:sz w:val="18"/>
                <w:szCs w:val="18"/>
                <w:lang w:val="en-CA" w:eastAsia="en-CA"/>
              </w:rPr>
              <w:t>76.0</w:t>
            </w:r>
          </w:p>
        </w:tc>
        <w:tc>
          <w:tcPr>
            <w:tcW w:w="900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en-CA"/>
              </w:rPr>
            </w:pPr>
            <w:r>
              <w:rPr>
                <w:rFonts w:eastAsia="宋体"/>
                <w:sz w:val="18"/>
                <w:szCs w:val="18"/>
                <w:lang w:val="en-CA" w:eastAsia="en-CA"/>
              </w:rPr>
              <w:t>27.4</w:t>
            </w:r>
          </w:p>
        </w:tc>
        <w:tc>
          <w:tcPr>
            <w:tcW w:w="930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shd w:val="clear" w:color="auto" w:fill="EBF1DE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en-CA"/>
              </w:rPr>
            </w:pPr>
            <w:r>
              <w:rPr>
                <w:rFonts w:eastAsia="宋体"/>
                <w:sz w:val="18"/>
                <w:szCs w:val="18"/>
                <w:lang w:val="en-CA" w:eastAsia="en-CA"/>
              </w:rPr>
              <w:t>No</w:t>
            </w:r>
          </w:p>
        </w:tc>
        <w:tc>
          <w:tcPr>
            <w:tcW w:w="770" w:type="dxa"/>
            <w:tcBorders>
              <w:top w:val="nil"/>
              <w:left w:val="dotted" w:color="auto" w:sz="4" w:space="0"/>
              <w:bottom w:val="nil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en-CA"/>
              </w:rPr>
            </w:pPr>
            <w:r>
              <w:rPr>
                <w:rFonts w:eastAsia="宋体"/>
                <w:sz w:val="18"/>
                <w:szCs w:val="18"/>
                <w:lang w:val="en-CA" w:eastAsia="en-CA"/>
              </w:rPr>
              <w:t>2021</w:t>
            </w:r>
          </w:p>
        </w:tc>
        <w:tc>
          <w:tcPr>
            <w:tcW w:w="1153" w:type="dxa"/>
            <w:tcBorders>
              <w:top w:val="nil"/>
              <w:left w:val="dotted" w:color="auto" w:sz="4" w:space="0"/>
              <w:bottom w:val="nil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color w:val="0070C0"/>
                <w:sz w:val="18"/>
                <w:szCs w:val="18"/>
                <w:lang w:val="en-CA" w:eastAsia="en-CA"/>
              </w:rPr>
            </w:pPr>
            <w:r>
              <w:rPr>
                <w:rFonts w:hint="eastAsia" w:eastAsia="宋体"/>
                <w:color w:val="0070C0"/>
                <w:sz w:val="18"/>
                <w:szCs w:val="18"/>
                <w:lang w:val="en-US" w:eastAsia="zh-CN"/>
              </w:rPr>
              <w:t>3</w:t>
            </w:r>
            <w:r>
              <w:rPr>
                <w:rFonts w:eastAsia="宋体"/>
                <w:color w:val="0070C0"/>
                <w:sz w:val="18"/>
                <w:szCs w:val="18"/>
                <w:lang w:val="en-CA" w:eastAsia="en-CA"/>
              </w:rPr>
              <w:t>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6" w:hRule="exact"/>
        </w:trPr>
        <w:tc>
          <w:tcPr>
            <w:tcW w:w="1686" w:type="dxa"/>
            <w:tcBorders>
              <w:top w:val="single" w:color="auto" w:sz="12" w:space="0"/>
              <w:bottom w:val="single" w:color="auto" w:sz="12" w:space="0"/>
              <w:right w:val="dotted" w:color="auto" w:sz="4" w:space="0"/>
            </w:tcBorders>
            <w:shd w:val="clear" w:color="auto" w:fill="8DB3E2" w:themeFill="text2" w:themeFillTint="66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en-CA"/>
              </w:rPr>
            </w:pPr>
            <w:r>
              <w:rPr>
                <w:rFonts w:eastAsia="宋体"/>
                <w:sz w:val="18"/>
                <w:szCs w:val="18"/>
                <w:lang w:val="en-CA" w:eastAsia="en-CA"/>
              </w:rPr>
              <w:t>Double-side</w:t>
            </w:r>
          </w:p>
        </w:tc>
        <w:tc>
          <w:tcPr>
            <w:tcW w:w="1949" w:type="dxa"/>
            <w:tcBorders>
              <w:top w:val="single" w:color="auto" w:sz="12" w:space="0"/>
              <w:left w:val="dotted" w:color="auto" w:sz="4" w:space="0"/>
              <w:bottom w:val="single" w:color="auto" w:sz="12" w:space="0"/>
              <w:right w:val="dotted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en-CA"/>
              </w:rPr>
            </w:pPr>
            <w:r>
              <w:rPr>
                <w:rFonts w:eastAsia="宋体"/>
                <w:sz w:val="18"/>
                <w:szCs w:val="18"/>
                <w:lang w:val="en-CA" w:eastAsia="en-CA"/>
              </w:rPr>
              <w:t>Evaporation-solution hybrid</w:t>
            </w:r>
          </w:p>
        </w:tc>
        <w:tc>
          <w:tcPr>
            <w:tcW w:w="750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en-CA"/>
              </w:rPr>
            </w:pPr>
            <w:r>
              <w:rPr>
                <w:rFonts w:eastAsia="宋体"/>
                <w:sz w:val="18"/>
                <w:szCs w:val="18"/>
                <w:lang w:val="en-CA" w:eastAsia="en-CA"/>
              </w:rPr>
              <w:t>1.81</w:t>
            </w:r>
          </w:p>
        </w:tc>
        <w:tc>
          <w:tcPr>
            <w:tcW w:w="990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en-CA"/>
              </w:rPr>
            </w:pPr>
            <w:r>
              <w:rPr>
                <w:rFonts w:eastAsia="宋体"/>
                <w:sz w:val="18"/>
                <w:szCs w:val="18"/>
                <w:lang w:val="en-CA" w:eastAsia="en-CA"/>
              </w:rPr>
              <w:t>19.39</w:t>
            </w:r>
          </w:p>
        </w:tc>
        <w:tc>
          <w:tcPr>
            <w:tcW w:w="780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en-CA"/>
              </w:rPr>
            </w:pPr>
            <w:r>
              <w:rPr>
                <w:rFonts w:eastAsia="宋体"/>
                <w:sz w:val="18"/>
                <w:szCs w:val="18"/>
                <w:lang w:val="en-CA" w:eastAsia="en-CA"/>
              </w:rPr>
              <w:t>77.9</w:t>
            </w:r>
          </w:p>
        </w:tc>
        <w:tc>
          <w:tcPr>
            <w:tcW w:w="900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en-CA"/>
              </w:rPr>
            </w:pPr>
            <w:r>
              <w:rPr>
                <w:rFonts w:eastAsia="宋体"/>
                <w:sz w:val="18"/>
                <w:szCs w:val="18"/>
                <w:lang w:val="en-CA" w:eastAsia="en-CA"/>
              </w:rPr>
              <w:t>27.29</w:t>
            </w:r>
          </w:p>
        </w:tc>
        <w:tc>
          <w:tcPr>
            <w:tcW w:w="930" w:type="dxa"/>
            <w:tcBorders>
              <w:top w:val="nil"/>
              <w:left w:val="dotted" w:color="auto" w:sz="4" w:space="0"/>
              <w:bottom w:val="nil"/>
              <w:right w:val="dotted" w:color="auto" w:sz="4" w:space="0"/>
            </w:tcBorders>
            <w:shd w:val="clear" w:color="auto" w:fill="EBF1DE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en-CA"/>
              </w:rPr>
            </w:pPr>
            <w:r>
              <w:rPr>
                <w:rFonts w:eastAsia="宋体"/>
                <w:sz w:val="18"/>
                <w:szCs w:val="18"/>
                <w:lang w:val="en-CA" w:eastAsia="en-CA"/>
              </w:rPr>
              <w:t>No</w:t>
            </w:r>
          </w:p>
        </w:tc>
        <w:tc>
          <w:tcPr>
            <w:tcW w:w="770" w:type="dxa"/>
            <w:tcBorders>
              <w:top w:val="nil"/>
              <w:left w:val="dotted" w:color="auto" w:sz="4" w:space="0"/>
              <w:bottom w:val="nil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en-CA"/>
              </w:rPr>
            </w:pPr>
            <w:r>
              <w:rPr>
                <w:rFonts w:eastAsia="宋体"/>
                <w:sz w:val="18"/>
                <w:szCs w:val="18"/>
                <w:lang w:val="en-CA" w:eastAsia="en-CA"/>
              </w:rPr>
              <w:t>2021</w:t>
            </w:r>
          </w:p>
        </w:tc>
        <w:tc>
          <w:tcPr>
            <w:tcW w:w="1153" w:type="dxa"/>
            <w:tcBorders>
              <w:top w:val="nil"/>
              <w:left w:val="dotted" w:color="auto" w:sz="4" w:space="0"/>
              <w:bottom w:val="nil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color w:val="0070C0"/>
                <w:sz w:val="18"/>
                <w:szCs w:val="18"/>
                <w:lang w:val="en-CA" w:eastAsia="en-CA"/>
              </w:rPr>
            </w:pPr>
            <w:r>
              <w:rPr>
                <w:rFonts w:hint="eastAsia" w:eastAsia="宋体"/>
                <w:color w:val="0070C0"/>
                <w:sz w:val="18"/>
                <w:szCs w:val="18"/>
                <w:lang w:val="en-US" w:eastAsia="zh-CN"/>
              </w:rPr>
              <w:t>3</w:t>
            </w:r>
            <w:r>
              <w:rPr>
                <w:rFonts w:eastAsia="宋体"/>
                <w:color w:val="0070C0"/>
                <w:sz w:val="18"/>
                <w:szCs w:val="18"/>
                <w:lang w:val="en-CA" w:eastAsia="en-CA"/>
              </w:rPr>
              <w:t>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exact"/>
        </w:trPr>
        <w:tc>
          <w:tcPr>
            <w:tcW w:w="1686" w:type="dxa"/>
            <w:tcBorders>
              <w:top w:val="single" w:color="auto" w:sz="12" w:space="0"/>
              <w:left w:val="single" w:color="auto" w:sz="12" w:space="0"/>
              <w:bottom w:val="thinThickSmallGap" w:color="auto" w:sz="18" w:space="0"/>
              <w:right w:val="dotted" w:color="auto" w:sz="4" w:space="0"/>
            </w:tcBorders>
            <w:shd w:val="clear" w:color="auto" w:fill="8DB3E2" w:themeFill="text2" w:themeFillTint="66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AdvGulliv-R"/>
                <w:sz w:val="18"/>
                <w:szCs w:val="18"/>
                <w:lang w:val="en-CA" w:eastAsia="en-CA"/>
              </w:rPr>
            </w:pPr>
            <w:r>
              <w:rPr>
                <w:rFonts w:eastAsia="宋体"/>
                <w:sz w:val="18"/>
                <w:szCs w:val="18"/>
                <w:lang w:val="en-CA" w:eastAsia="en-CA"/>
              </w:rPr>
              <w:t>Double-side</w:t>
            </w:r>
          </w:p>
        </w:tc>
        <w:tc>
          <w:tcPr>
            <w:tcW w:w="1949" w:type="dxa"/>
            <w:tcBorders>
              <w:top w:val="single" w:color="auto" w:sz="12" w:space="0"/>
              <w:left w:val="dotted" w:color="auto" w:sz="4" w:space="0"/>
              <w:bottom w:val="thinThickSmallGap" w:color="auto" w:sz="18" w:space="0"/>
              <w:right w:val="single" w:color="auto" w:sz="12" w:space="0"/>
            </w:tcBorders>
            <w:shd w:val="clear" w:color="auto" w:fill="FFFFFF" w:themeFill="background1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b/>
                <w:sz w:val="18"/>
                <w:szCs w:val="18"/>
                <w:lang w:val="en-CA" w:eastAsia="en-CA"/>
              </w:rPr>
            </w:pPr>
            <w:r>
              <w:rPr>
                <w:rFonts w:eastAsia="宋体"/>
                <w:sz w:val="18"/>
                <w:szCs w:val="18"/>
                <w:lang w:val="en-CA" w:eastAsia="en-CA"/>
              </w:rPr>
              <w:t>Spin-coating</w:t>
            </w:r>
          </w:p>
        </w:tc>
        <w:tc>
          <w:tcPr>
            <w:tcW w:w="750" w:type="dxa"/>
            <w:tcBorders>
              <w:top w:val="nil"/>
              <w:left w:val="single" w:color="auto" w:sz="12" w:space="0"/>
              <w:bottom w:val="thinThickSmallGap" w:color="auto" w:sz="18" w:space="0"/>
              <w:right w:val="dotted" w:color="auto" w:sz="4" w:space="0"/>
            </w:tcBorders>
            <w:shd w:val="clear" w:color="auto" w:fill="E6E0EC" w:themeFill="accent4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en-CA"/>
              </w:rPr>
            </w:pPr>
            <w:r>
              <w:rPr>
                <w:rFonts w:eastAsia="宋体"/>
                <w:b/>
                <w:sz w:val="18"/>
                <w:szCs w:val="18"/>
                <w:lang w:val="en-CA" w:eastAsia="en-CA"/>
              </w:rPr>
              <w:t>1.86</w:t>
            </w:r>
          </w:p>
        </w:tc>
        <w:tc>
          <w:tcPr>
            <w:tcW w:w="990" w:type="dxa"/>
            <w:tcBorders>
              <w:top w:val="nil"/>
              <w:left w:val="dotted" w:color="auto" w:sz="4" w:space="0"/>
              <w:bottom w:val="thinThickSmallGap" w:color="auto" w:sz="18" w:space="0"/>
              <w:right w:val="dotted" w:color="auto" w:sz="4" w:space="0"/>
            </w:tcBorders>
            <w:shd w:val="clear" w:color="auto" w:fill="E6E0EC" w:themeFill="accent4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b/>
                <w:sz w:val="18"/>
                <w:szCs w:val="18"/>
                <w:lang w:val="en-CA" w:eastAsia="en-CA"/>
              </w:rPr>
            </w:pPr>
            <w:r>
              <w:rPr>
                <w:rFonts w:eastAsia="宋体"/>
                <w:b/>
                <w:sz w:val="18"/>
                <w:szCs w:val="18"/>
                <w:lang w:val="en-CA" w:eastAsia="en-CA"/>
              </w:rPr>
              <w:t>19.77</w:t>
            </w:r>
          </w:p>
        </w:tc>
        <w:tc>
          <w:tcPr>
            <w:tcW w:w="780" w:type="dxa"/>
            <w:tcBorders>
              <w:top w:val="nil"/>
              <w:left w:val="dotted" w:color="auto" w:sz="4" w:space="0"/>
              <w:bottom w:val="thinThickSmallGap" w:color="auto" w:sz="18" w:space="0"/>
              <w:right w:val="dotted" w:color="auto" w:sz="4" w:space="0"/>
            </w:tcBorders>
            <w:shd w:val="clear" w:color="auto" w:fill="E6E0EC" w:themeFill="accent4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b/>
                <w:sz w:val="18"/>
                <w:szCs w:val="18"/>
                <w:lang w:val="en-CA" w:eastAsia="en-CA"/>
              </w:rPr>
            </w:pPr>
            <w:r>
              <w:rPr>
                <w:rFonts w:eastAsia="宋体"/>
                <w:b/>
                <w:sz w:val="18"/>
                <w:szCs w:val="18"/>
                <w:lang w:val="en-CA" w:eastAsia="en-CA"/>
              </w:rPr>
              <w:t>79.38</w:t>
            </w:r>
          </w:p>
        </w:tc>
        <w:tc>
          <w:tcPr>
            <w:tcW w:w="900" w:type="dxa"/>
            <w:tcBorders>
              <w:top w:val="nil"/>
              <w:left w:val="dotted" w:color="auto" w:sz="4" w:space="0"/>
              <w:bottom w:val="thinThickSmallGap" w:color="auto" w:sz="18" w:space="0"/>
              <w:right w:val="dotted" w:color="auto" w:sz="4" w:space="0"/>
            </w:tcBorders>
            <w:shd w:val="clear" w:color="auto" w:fill="E6E0EC" w:themeFill="accent4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b/>
                <w:sz w:val="18"/>
                <w:szCs w:val="18"/>
                <w:lang w:val="en-CA" w:eastAsia="en-CA"/>
              </w:rPr>
            </w:pPr>
            <w:r>
              <w:rPr>
                <w:rFonts w:eastAsia="宋体"/>
                <w:b/>
                <w:sz w:val="18"/>
                <w:szCs w:val="18"/>
                <w:lang w:val="en-CA" w:eastAsia="en-CA"/>
              </w:rPr>
              <w:t>29.25</w:t>
            </w:r>
          </w:p>
        </w:tc>
        <w:tc>
          <w:tcPr>
            <w:tcW w:w="930" w:type="dxa"/>
            <w:tcBorders>
              <w:top w:val="nil"/>
              <w:left w:val="dotted" w:color="auto" w:sz="4" w:space="0"/>
              <w:bottom w:val="thinThickSmallGap" w:color="auto" w:sz="18" w:space="0"/>
              <w:right w:val="dotted" w:color="auto" w:sz="4" w:space="0"/>
            </w:tcBorders>
            <w:shd w:val="clear" w:color="auto" w:fill="E6E0EC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b/>
                <w:color w:val="E6E0EC"/>
                <w:sz w:val="18"/>
                <w:szCs w:val="18"/>
                <w:lang w:val="en-CA" w:eastAsia="en-CA"/>
              </w:rPr>
            </w:pPr>
            <w:r>
              <w:rPr>
                <w:rFonts w:eastAsia="宋体"/>
                <w:b/>
                <w:sz w:val="18"/>
                <w:szCs w:val="18"/>
                <w:lang w:val="en-CA" w:eastAsia="en-CA"/>
              </w:rPr>
              <w:t>No</w:t>
            </w:r>
          </w:p>
        </w:tc>
        <w:tc>
          <w:tcPr>
            <w:tcW w:w="1923" w:type="dxa"/>
            <w:gridSpan w:val="2"/>
            <w:tcBorders>
              <w:top w:val="nil"/>
              <w:left w:val="dotted" w:color="auto" w:sz="4" w:space="0"/>
              <w:bottom w:val="thinThickSmallGap" w:color="auto" w:sz="18" w:space="0"/>
            </w:tcBorders>
            <w:shd w:val="clear" w:color="auto" w:fill="E6E0EC" w:themeFill="accent4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AdvGulliv-R"/>
                <w:b/>
                <w:sz w:val="18"/>
                <w:szCs w:val="18"/>
                <w:lang w:val="en-CA" w:eastAsia="en-CA"/>
              </w:rPr>
            </w:pPr>
            <w:r>
              <w:rPr>
                <w:rFonts w:eastAsia="AdvGulliv-R"/>
                <w:b/>
                <w:sz w:val="18"/>
                <w:szCs w:val="18"/>
                <w:lang w:val="en-CA" w:eastAsia="en-CA"/>
              </w:rPr>
              <w:t>This work</w:t>
            </w:r>
          </w:p>
        </w:tc>
      </w:tr>
    </w:tbl>
    <w:p>
      <w:r>
        <w:br w:type="page"/>
      </w:r>
    </w:p>
    <w:p>
      <w:pPr>
        <w:rPr>
          <w:rFonts w:eastAsia="宋体"/>
          <w:szCs w:val="18"/>
          <w:shd w:val="clear" w:color="auto" w:fill="FFFFFF"/>
        </w:rPr>
      </w:pPr>
      <w:r>
        <w:rPr>
          <w:rFonts w:hint="eastAsia"/>
          <w:b/>
          <w:bCs/>
          <w:color w:val="000000" w:themeColor="text1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Supplementary </w:t>
      </w:r>
      <w:r>
        <w:rPr>
          <w:rFonts w:eastAsia="宋体"/>
          <w:b/>
          <w:bCs/>
          <w:szCs w:val="18"/>
          <w:shd w:val="clear" w:color="auto" w:fill="FFFFFF"/>
        </w:rPr>
        <w:t>Table 4.</w:t>
      </w:r>
      <w:r>
        <w:rPr>
          <w:rFonts w:eastAsia="宋体"/>
          <w:szCs w:val="18"/>
          <w:shd w:val="clear" w:color="auto" w:fill="FFFFFF"/>
        </w:rPr>
        <w:t xml:space="preserve"> The summary of reported monolithic perovskite/silicon TSCs with area larger than 10 cm</w:t>
      </w:r>
      <w:r>
        <w:rPr>
          <w:rFonts w:eastAsia="宋体"/>
          <w:szCs w:val="18"/>
          <w:shd w:val="clear" w:color="auto" w:fill="FFFFFF"/>
          <w:vertAlign w:val="superscript"/>
        </w:rPr>
        <w:t>2</w:t>
      </w:r>
      <w:r>
        <w:rPr>
          <w:rFonts w:eastAsia="宋体"/>
          <w:szCs w:val="18"/>
          <w:shd w:val="clear" w:color="auto" w:fill="FFFFFF"/>
        </w:rPr>
        <w:t xml:space="preserve">. </w:t>
      </w:r>
    </w:p>
    <w:tbl>
      <w:tblPr>
        <w:tblStyle w:val="107"/>
        <w:tblW w:w="9498" w:type="dxa"/>
        <w:tblInd w:w="0" w:type="dxa"/>
        <w:tblBorders>
          <w:top w:val="thickThinSmallGap" w:color="auto" w:sz="18" w:space="0"/>
          <w:left w:val="none" w:color="auto" w:sz="0" w:space="0"/>
          <w:bottom w:val="thinThickSmallGap" w:color="auto" w:sz="18" w:space="0"/>
          <w:right w:val="none" w:color="auto" w:sz="0" w:space="0"/>
          <w:insideH w:val="none" w:color="auto" w:sz="0" w:space="0"/>
          <w:insideV w:val="dotted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2"/>
        <w:gridCol w:w="1438"/>
        <w:gridCol w:w="709"/>
        <w:gridCol w:w="709"/>
        <w:gridCol w:w="992"/>
        <w:gridCol w:w="709"/>
        <w:gridCol w:w="708"/>
        <w:gridCol w:w="1276"/>
        <w:gridCol w:w="709"/>
        <w:gridCol w:w="1276"/>
      </w:tblGrid>
      <w:tr>
        <w:tblPrEx>
          <w:tblBorders>
            <w:top w:val="thickThinSmallGap" w:color="auto" w:sz="18" w:space="0"/>
            <w:left w:val="none" w:color="auto" w:sz="0" w:space="0"/>
            <w:bottom w:val="thinThickSmallGap" w:color="auto" w:sz="18" w:space="0"/>
            <w:right w:val="none" w:color="auto" w:sz="0" w:space="0"/>
            <w:insideH w:val="none" w:color="auto" w:sz="0" w:space="0"/>
            <w:insideV w:val="dotted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972" w:type="dxa"/>
            <w:tcBorders>
              <w:bottom w:val="single" w:color="auto" w:sz="8" w:space="0"/>
              <w:tl2br w:val="nil"/>
              <w:tr2bl w:val="nil"/>
            </w:tcBorders>
            <w:shd w:val="clear" w:color="auto" w:fill="DCD8C2" w:themeFill="background2" w:themeFillShade="E5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b/>
                <w:bCs/>
                <w:sz w:val="18"/>
                <w:szCs w:val="18"/>
                <w:lang w:val="en-CA" w:eastAsia="en-CA"/>
              </w:rPr>
            </w:pPr>
            <w:r>
              <w:rPr>
                <w:rFonts w:eastAsia="宋体"/>
                <w:b/>
                <w:bCs/>
                <w:sz w:val="18"/>
                <w:szCs w:val="18"/>
                <w:lang w:val="en-CA" w:eastAsia="en-CA"/>
              </w:rPr>
              <w:t>Area (cm</w:t>
            </w:r>
            <w:r>
              <w:rPr>
                <w:rFonts w:eastAsia="宋体"/>
                <w:b/>
                <w:bCs/>
                <w:sz w:val="18"/>
                <w:szCs w:val="18"/>
                <w:vertAlign w:val="superscript"/>
                <w:lang w:val="en-CA" w:eastAsia="en-CA"/>
              </w:rPr>
              <w:t>2</w:t>
            </w:r>
            <w:r>
              <w:rPr>
                <w:rFonts w:eastAsia="宋体"/>
                <w:b/>
                <w:bCs/>
                <w:sz w:val="18"/>
                <w:szCs w:val="18"/>
                <w:lang w:val="en-CA" w:eastAsia="en-CA"/>
              </w:rPr>
              <w:t>)</w:t>
            </w:r>
          </w:p>
        </w:tc>
        <w:tc>
          <w:tcPr>
            <w:tcW w:w="1438" w:type="dxa"/>
            <w:tcBorders>
              <w:bottom w:val="single" w:color="auto" w:sz="8" w:space="0"/>
              <w:tl2br w:val="nil"/>
              <w:tr2bl w:val="nil"/>
            </w:tcBorders>
            <w:shd w:val="clear" w:color="auto" w:fill="DCD8C2" w:themeFill="background2" w:themeFillShade="E5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b/>
                <w:bCs/>
                <w:sz w:val="18"/>
                <w:szCs w:val="18"/>
                <w:lang w:val="en-CA" w:eastAsia="en-CA"/>
              </w:rPr>
            </w:pPr>
            <w:r>
              <w:rPr>
                <w:rFonts w:eastAsia="宋体"/>
                <w:b/>
                <w:bCs/>
                <w:sz w:val="18"/>
                <w:szCs w:val="18"/>
                <w:lang w:val="en-CA" w:eastAsia="en-CA"/>
              </w:rPr>
              <w:t>Fabrication methods</w:t>
            </w:r>
          </w:p>
        </w:tc>
        <w:tc>
          <w:tcPr>
            <w:tcW w:w="709" w:type="dxa"/>
            <w:tcBorders>
              <w:bottom w:val="single" w:color="auto" w:sz="8" w:space="0"/>
              <w:tl2br w:val="nil"/>
              <w:tr2bl w:val="nil"/>
            </w:tcBorders>
            <w:shd w:val="clear" w:color="auto" w:fill="DCD8C2" w:themeFill="background2" w:themeFillShade="E5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b/>
                <w:bCs/>
                <w:sz w:val="18"/>
                <w:szCs w:val="18"/>
                <w:lang w:val="en-CA" w:eastAsia="en-CA"/>
              </w:rPr>
            </w:pPr>
            <w:r>
              <w:rPr>
                <w:rFonts w:eastAsia="AdvGulliv-R"/>
                <w:b/>
                <w:bCs/>
                <w:sz w:val="18"/>
                <w:szCs w:val="18"/>
                <w:lang w:val="en-CA" w:eastAsia="en-CA"/>
              </w:rPr>
              <w:t>Type</w:t>
            </w:r>
          </w:p>
        </w:tc>
        <w:tc>
          <w:tcPr>
            <w:tcW w:w="709" w:type="dxa"/>
            <w:tcBorders>
              <w:bottom w:val="single" w:color="auto" w:sz="8" w:space="0"/>
              <w:tl2br w:val="nil"/>
              <w:tr2bl w:val="nil"/>
            </w:tcBorders>
            <w:shd w:val="clear" w:color="auto" w:fill="DCD8C2" w:themeFill="background2" w:themeFillShade="E5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b/>
                <w:bCs/>
                <w:sz w:val="18"/>
                <w:szCs w:val="18"/>
                <w:lang w:val="en-CA" w:eastAsia="en-CA"/>
              </w:rPr>
            </w:pPr>
            <w:r>
              <w:rPr>
                <w:rFonts w:eastAsia="AdvGulliv-R"/>
                <w:b/>
                <w:bCs/>
                <w:i/>
                <w:iCs/>
                <w:sz w:val="18"/>
                <w:szCs w:val="18"/>
                <w:lang w:val="en-CA" w:eastAsia="en-CA"/>
              </w:rPr>
              <w:t>V</w:t>
            </w:r>
            <w:r>
              <w:rPr>
                <w:rFonts w:eastAsia="AdvGulliv-R"/>
                <w:b/>
                <w:bCs/>
                <w:i/>
                <w:iCs/>
                <w:sz w:val="18"/>
                <w:szCs w:val="18"/>
                <w:vertAlign w:val="subscript"/>
                <w:lang w:val="en-CA" w:eastAsia="en-CA"/>
              </w:rPr>
              <w:t>OC</w:t>
            </w:r>
            <w:r>
              <w:rPr>
                <w:rFonts w:eastAsia="AdvGulliv-R"/>
                <w:b/>
                <w:bCs/>
                <w:sz w:val="18"/>
                <w:szCs w:val="18"/>
                <w:lang w:val="en-CA" w:eastAsia="en-CA"/>
              </w:rPr>
              <w:t xml:space="preserve"> (V)</w:t>
            </w:r>
          </w:p>
        </w:tc>
        <w:tc>
          <w:tcPr>
            <w:tcW w:w="992" w:type="dxa"/>
            <w:tcBorders>
              <w:bottom w:val="single" w:color="auto" w:sz="8" w:space="0"/>
              <w:tl2br w:val="nil"/>
              <w:tr2bl w:val="nil"/>
            </w:tcBorders>
            <w:shd w:val="clear" w:color="auto" w:fill="DCD8C2" w:themeFill="background2" w:themeFillShade="E5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AdvGulliv-R"/>
                <w:b/>
                <w:bCs/>
                <w:sz w:val="18"/>
                <w:szCs w:val="18"/>
                <w:lang w:val="en-CA" w:eastAsia="en-CA"/>
              </w:rPr>
            </w:pPr>
            <w:r>
              <w:rPr>
                <w:rFonts w:eastAsia="AdvGulliv-R"/>
                <w:b/>
                <w:bCs/>
                <w:i/>
                <w:iCs/>
                <w:sz w:val="18"/>
                <w:szCs w:val="18"/>
                <w:lang w:val="en-CA" w:eastAsia="en-CA"/>
              </w:rPr>
              <w:t>J</w:t>
            </w:r>
            <w:r>
              <w:rPr>
                <w:rFonts w:eastAsia="AdvGulliv-R"/>
                <w:b/>
                <w:bCs/>
                <w:i/>
                <w:iCs/>
                <w:sz w:val="18"/>
                <w:szCs w:val="18"/>
                <w:vertAlign w:val="subscript"/>
                <w:lang w:val="en-CA" w:eastAsia="en-CA"/>
              </w:rPr>
              <w:t>SC</w:t>
            </w:r>
            <w:r>
              <w:rPr>
                <w:rFonts w:eastAsia="AdvGulliv-R"/>
                <w:b/>
                <w:bCs/>
                <w:sz w:val="18"/>
                <w:szCs w:val="18"/>
                <w:vertAlign w:val="subscript"/>
                <w:lang w:val="en-CA" w:eastAsia="en-CA"/>
              </w:rPr>
              <w:t xml:space="preserve"> </w:t>
            </w:r>
            <w:r>
              <w:rPr>
                <w:rFonts w:eastAsia="宋体"/>
                <w:b/>
                <w:bCs/>
                <w:sz w:val="18"/>
                <w:szCs w:val="18"/>
                <w:vertAlign w:val="subscript"/>
                <w:lang w:val="en-CA" w:eastAsia="en-CA"/>
              </w:rPr>
              <w:t xml:space="preserve"> </w:t>
            </w:r>
            <w:r>
              <w:rPr>
                <w:rFonts w:eastAsia="AdvGulliv-R"/>
                <w:b/>
                <w:bCs/>
                <w:sz w:val="18"/>
                <w:szCs w:val="18"/>
                <w:lang w:val="en-CA" w:eastAsia="en-CA"/>
              </w:rPr>
              <w:t>(mA/cm</w:t>
            </w:r>
            <w:r>
              <w:rPr>
                <w:rFonts w:eastAsia="AdvGulliv-R"/>
                <w:b/>
                <w:bCs/>
                <w:sz w:val="18"/>
                <w:szCs w:val="18"/>
                <w:vertAlign w:val="superscript"/>
                <w:lang w:val="en-CA" w:eastAsia="en-CA"/>
              </w:rPr>
              <w:t>2</w:t>
            </w:r>
            <w:r>
              <w:rPr>
                <w:rFonts w:eastAsia="AdvGulliv-R"/>
                <w:b/>
                <w:bCs/>
                <w:sz w:val="18"/>
                <w:szCs w:val="18"/>
                <w:lang w:val="en-CA" w:eastAsia="en-CA"/>
              </w:rPr>
              <w:t>)</w:t>
            </w:r>
          </w:p>
        </w:tc>
        <w:tc>
          <w:tcPr>
            <w:tcW w:w="709" w:type="dxa"/>
            <w:tcBorders>
              <w:bottom w:val="single" w:color="auto" w:sz="8" w:space="0"/>
              <w:tl2br w:val="nil"/>
              <w:tr2bl w:val="nil"/>
            </w:tcBorders>
            <w:shd w:val="clear" w:color="auto" w:fill="DCD8C2" w:themeFill="background2" w:themeFillShade="E5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AdvGulliv-R"/>
                <w:b/>
                <w:bCs/>
                <w:sz w:val="18"/>
                <w:szCs w:val="18"/>
                <w:lang w:val="en-CA" w:eastAsia="en-CA"/>
              </w:rPr>
            </w:pPr>
            <w:r>
              <w:rPr>
                <w:rFonts w:eastAsia="AdvGulliv-R"/>
                <w:b/>
                <w:bCs/>
                <w:i/>
                <w:iCs/>
                <w:sz w:val="18"/>
                <w:szCs w:val="18"/>
                <w:lang w:val="en-CA" w:eastAsia="en-CA"/>
              </w:rPr>
              <w:t>FF</w:t>
            </w:r>
            <w:r>
              <w:rPr>
                <w:rFonts w:eastAsia="AdvGulliv-R"/>
                <w:b/>
                <w:bCs/>
                <w:sz w:val="18"/>
                <w:szCs w:val="18"/>
                <w:lang w:val="en-CA" w:eastAsia="en-CA"/>
              </w:rPr>
              <w:t xml:space="preserve"> (%)</w:t>
            </w:r>
          </w:p>
        </w:tc>
        <w:tc>
          <w:tcPr>
            <w:tcW w:w="708" w:type="dxa"/>
            <w:tcBorders>
              <w:bottom w:val="single" w:color="auto" w:sz="8" w:space="0"/>
              <w:tl2br w:val="nil"/>
              <w:tr2bl w:val="nil"/>
            </w:tcBorders>
            <w:shd w:val="clear" w:color="auto" w:fill="DCD8C2" w:themeFill="background2" w:themeFillShade="E5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AdvGulliv-R"/>
                <w:b/>
                <w:bCs/>
                <w:sz w:val="18"/>
                <w:szCs w:val="18"/>
                <w:lang w:val="en-CA" w:eastAsia="en-CA"/>
              </w:rPr>
            </w:pPr>
            <w:r>
              <w:rPr>
                <w:rFonts w:eastAsia="AdvGulliv-R"/>
                <w:b/>
                <w:bCs/>
                <w:sz w:val="18"/>
                <w:szCs w:val="18"/>
                <w:lang w:val="en-CA" w:eastAsia="en-CA"/>
              </w:rPr>
              <w:t>PCE (%)</w:t>
            </w:r>
          </w:p>
        </w:tc>
        <w:tc>
          <w:tcPr>
            <w:tcW w:w="1276" w:type="dxa"/>
            <w:tcBorders>
              <w:bottom w:val="single" w:color="auto" w:sz="8" w:space="0"/>
              <w:tl2br w:val="nil"/>
              <w:tr2bl w:val="nil"/>
            </w:tcBorders>
            <w:shd w:val="clear" w:color="auto" w:fill="DCD8C2" w:themeFill="background2" w:themeFillShade="E5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b/>
                <w:bCs/>
                <w:sz w:val="18"/>
                <w:szCs w:val="18"/>
                <w:lang w:val="en-CA" w:eastAsia="en-CA"/>
              </w:rPr>
            </w:pPr>
            <w:r>
              <w:rPr>
                <w:rFonts w:eastAsia="宋体"/>
                <w:b/>
                <w:bCs/>
                <w:sz w:val="18"/>
                <w:szCs w:val="18"/>
                <w:lang w:val="en-CA" w:eastAsia="en-CA"/>
              </w:rPr>
              <w:t>Certification</w:t>
            </w:r>
          </w:p>
        </w:tc>
        <w:tc>
          <w:tcPr>
            <w:tcW w:w="709" w:type="dxa"/>
            <w:tcBorders>
              <w:bottom w:val="single" w:color="auto" w:sz="8" w:space="0"/>
              <w:tl2br w:val="nil"/>
              <w:tr2bl w:val="nil"/>
            </w:tcBorders>
            <w:shd w:val="clear" w:color="auto" w:fill="DCD8C2" w:themeFill="background2" w:themeFillShade="E5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AdvGulliv-R"/>
                <w:b/>
                <w:bCs/>
                <w:sz w:val="18"/>
                <w:szCs w:val="18"/>
                <w:lang w:val="en-CA" w:eastAsia="en-CA"/>
              </w:rPr>
            </w:pPr>
            <w:r>
              <w:rPr>
                <w:rFonts w:eastAsia="AdvGulliv-R"/>
                <w:b/>
                <w:bCs/>
                <w:sz w:val="18"/>
                <w:szCs w:val="18"/>
                <w:lang w:val="en-CA" w:eastAsia="en-CA"/>
              </w:rPr>
              <w:t>Years</w:t>
            </w:r>
          </w:p>
        </w:tc>
        <w:tc>
          <w:tcPr>
            <w:tcW w:w="1276" w:type="dxa"/>
            <w:tcBorders>
              <w:bottom w:val="single" w:color="auto" w:sz="8" w:space="0"/>
              <w:tl2br w:val="nil"/>
              <w:tr2bl w:val="nil"/>
            </w:tcBorders>
            <w:shd w:val="clear" w:color="auto" w:fill="DCD8C2" w:themeFill="background2" w:themeFillShade="E5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AdvGulliv-R"/>
                <w:b/>
                <w:bCs/>
                <w:sz w:val="18"/>
                <w:szCs w:val="18"/>
                <w:lang w:val="en-CA" w:eastAsia="en-CA"/>
              </w:rPr>
            </w:pPr>
            <w:r>
              <w:rPr>
                <w:rFonts w:eastAsia="AdvGulliv-R"/>
                <w:b/>
                <w:bCs/>
                <w:sz w:val="18"/>
                <w:szCs w:val="18"/>
                <w:lang w:val="en-CA" w:eastAsia="en-CA"/>
              </w:rPr>
              <w:t>References</w:t>
            </w:r>
          </w:p>
        </w:tc>
      </w:tr>
      <w:tr>
        <w:tblPrEx>
          <w:tblBorders>
            <w:top w:val="thickThinSmallGap" w:color="auto" w:sz="18" w:space="0"/>
            <w:left w:val="none" w:color="auto" w:sz="0" w:space="0"/>
            <w:bottom w:val="thinThickSmallGap" w:color="auto" w:sz="18" w:space="0"/>
            <w:right w:val="none" w:color="auto" w:sz="0" w:space="0"/>
            <w:insideH w:val="none" w:color="auto" w:sz="0" w:space="0"/>
            <w:insideV w:val="dotted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972" w:type="dxa"/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en-CA"/>
              </w:rPr>
            </w:pPr>
            <w:r>
              <w:rPr>
                <w:rFonts w:eastAsia="宋体"/>
                <w:sz w:val="18"/>
                <w:szCs w:val="18"/>
                <w:lang w:val="en-CA" w:eastAsia="en-CA"/>
              </w:rPr>
              <w:t>16</w:t>
            </w:r>
          </w:p>
        </w:tc>
        <w:tc>
          <w:tcPr>
            <w:tcW w:w="1438" w:type="dxa"/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en-CA"/>
              </w:rPr>
            </w:pPr>
            <w:r>
              <w:rPr>
                <w:rFonts w:eastAsia="宋体"/>
                <w:sz w:val="18"/>
                <w:szCs w:val="18"/>
                <w:lang w:val="en-CA" w:eastAsia="en-CA"/>
              </w:rPr>
              <w:t>Spin-coating</w:t>
            </w:r>
          </w:p>
        </w:tc>
        <w:tc>
          <w:tcPr>
            <w:tcW w:w="709" w:type="dxa"/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en-CA"/>
              </w:rPr>
            </w:pPr>
            <w:r>
              <w:rPr>
                <w:rFonts w:eastAsia="AdvGulliv-R"/>
                <w:sz w:val="18"/>
                <w:szCs w:val="18"/>
                <w:lang w:val="en-CA" w:eastAsia="en-CA"/>
              </w:rPr>
              <w:t>N-I-P</w:t>
            </w:r>
          </w:p>
        </w:tc>
        <w:tc>
          <w:tcPr>
            <w:tcW w:w="709" w:type="dxa"/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en-CA"/>
              </w:rPr>
            </w:pPr>
            <w:r>
              <w:rPr>
                <w:rFonts w:eastAsia="宋体"/>
                <w:sz w:val="18"/>
                <w:szCs w:val="18"/>
                <w:lang w:val="en-CA" w:eastAsia="en-CA"/>
              </w:rPr>
              <w:t>1.66</w:t>
            </w:r>
          </w:p>
        </w:tc>
        <w:tc>
          <w:tcPr>
            <w:tcW w:w="992" w:type="dxa"/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en-CA"/>
              </w:rPr>
            </w:pPr>
            <w:r>
              <w:rPr>
                <w:rFonts w:eastAsia="宋体"/>
                <w:sz w:val="18"/>
                <w:szCs w:val="18"/>
                <w:lang w:val="en-CA" w:eastAsia="en-CA"/>
              </w:rPr>
              <w:t>15.6</w:t>
            </w:r>
          </w:p>
        </w:tc>
        <w:tc>
          <w:tcPr>
            <w:tcW w:w="709" w:type="dxa"/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en-CA"/>
              </w:rPr>
            </w:pPr>
            <w:r>
              <w:rPr>
                <w:rFonts w:eastAsia="宋体"/>
                <w:sz w:val="18"/>
                <w:szCs w:val="18"/>
                <w:lang w:val="en-CA" w:eastAsia="en-CA"/>
              </w:rPr>
              <w:t>68</w:t>
            </w:r>
          </w:p>
        </w:tc>
        <w:tc>
          <w:tcPr>
            <w:tcW w:w="708" w:type="dxa"/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en-CA"/>
              </w:rPr>
            </w:pPr>
            <w:r>
              <w:rPr>
                <w:rFonts w:eastAsia="宋体"/>
                <w:sz w:val="18"/>
                <w:szCs w:val="18"/>
                <w:lang w:val="en-CA" w:eastAsia="en-CA"/>
              </w:rPr>
              <w:t>17.6</w:t>
            </w:r>
          </w:p>
        </w:tc>
        <w:tc>
          <w:tcPr>
            <w:tcW w:w="1276" w:type="dxa"/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en-CA"/>
              </w:rPr>
            </w:pPr>
            <w:r>
              <w:rPr>
                <w:rFonts w:eastAsia="宋体"/>
                <w:sz w:val="18"/>
                <w:szCs w:val="18"/>
                <w:lang w:val="en-CA" w:eastAsia="en-CA"/>
              </w:rPr>
              <w:t>No</w:t>
            </w:r>
          </w:p>
        </w:tc>
        <w:tc>
          <w:tcPr>
            <w:tcW w:w="709" w:type="dxa"/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en-CA"/>
              </w:rPr>
            </w:pPr>
            <w:r>
              <w:rPr>
                <w:rFonts w:eastAsia="宋体"/>
                <w:sz w:val="18"/>
                <w:szCs w:val="18"/>
                <w:lang w:val="en-CA" w:eastAsia="en-CA"/>
              </w:rPr>
              <w:t>2018</w:t>
            </w:r>
          </w:p>
        </w:tc>
        <w:tc>
          <w:tcPr>
            <w:tcW w:w="1276" w:type="dxa"/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color w:val="0070C0"/>
                <w:sz w:val="18"/>
                <w:szCs w:val="18"/>
                <w:lang w:val="en-CA" w:eastAsia="en-CA"/>
              </w:rPr>
            </w:pPr>
            <w:r>
              <w:rPr>
                <w:rFonts w:hint="eastAsia" w:eastAsia="宋体"/>
                <w:color w:val="0070C0"/>
                <w:sz w:val="18"/>
                <w:szCs w:val="18"/>
                <w:lang w:val="en-US" w:eastAsia="zh-CN"/>
              </w:rPr>
              <w:t>4</w:t>
            </w:r>
            <w:r>
              <w:rPr>
                <w:rFonts w:eastAsia="宋体"/>
                <w:color w:val="0070C0"/>
                <w:sz w:val="18"/>
                <w:szCs w:val="18"/>
                <w:lang w:val="en-CA" w:eastAsia="en-CA"/>
              </w:rPr>
              <w:t>0</w:t>
            </w:r>
          </w:p>
        </w:tc>
      </w:tr>
      <w:tr>
        <w:tblPrEx>
          <w:tblBorders>
            <w:top w:val="thickThinSmallGap" w:color="auto" w:sz="18" w:space="0"/>
            <w:left w:val="none" w:color="auto" w:sz="0" w:space="0"/>
            <w:bottom w:val="thinThickSmallGap" w:color="auto" w:sz="18" w:space="0"/>
            <w:right w:val="none" w:color="auto" w:sz="0" w:space="0"/>
            <w:insideH w:val="none" w:color="auto" w:sz="0" w:space="0"/>
            <w:insideV w:val="dotted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972" w:type="dxa"/>
            <w:tcBorders>
              <w:tl2br w:val="nil"/>
              <w:tr2bl w:val="nil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en-CA"/>
              </w:rPr>
            </w:pPr>
            <w:r>
              <w:rPr>
                <w:rFonts w:eastAsia="宋体"/>
                <w:sz w:val="18"/>
                <w:szCs w:val="18"/>
                <w:lang w:val="en-CA" w:eastAsia="en-CA"/>
              </w:rPr>
              <w:t>12.96</w:t>
            </w:r>
          </w:p>
        </w:tc>
        <w:tc>
          <w:tcPr>
            <w:tcW w:w="1438" w:type="dxa"/>
            <w:tcBorders>
              <w:tl2br w:val="nil"/>
              <w:tr2bl w:val="nil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en-CA"/>
              </w:rPr>
            </w:pPr>
            <w:r>
              <w:rPr>
                <w:rFonts w:eastAsia="宋体"/>
                <w:sz w:val="18"/>
                <w:szCs w:val="18"/>
                <w:lang w:val="en-CA" w:eastAsia="en-CA"/>
              </w:rPr>
              <w:t>Evaporation-solution hybrid</w:t>
            </w:r>
          </w:p>
        </w:tc>
        <w:tc>
          <w:tcPr>
            <w:tcW w:w="709" w:type="dxa"/>
            <w:tcBorders>
              <w:tl2br w:val="nil"/>
              <w:tr2bl w:val="nil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en-CA"/>
              </w:rPr>
            </w:pPr>
            <w:r>
              <w:rPr>
                <w:rFonts w:eastAsia="AdvGulliv-R"/>
                <w:sz w:val="18"/>
                <w:szCs w:val="18"/>
                <w:lang w:val="en-CA" w:eastAsia="en-CA"/>
              </w:rPr>
              <w:t>N-I-P</w:t>
            </w:r>
          </w:p>
        </w:tc>
        <w:tc>
          <w:tcPr>
            <w:tcW w:w="709" w:type="dxa"/>
            <w:tcBorders>
              <w:tl2br w:val="nil"/>
              <w:tr2bl w:val="nil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en-CA"/>
              </w:rPr>
            </w:pPr>
            <w:r>
              <w:rPr>
                <w:rFonts w:eastAsia="宋体"/>
                <w:sz w:val="18"/>
                <w:szCs w:val="18"/>
                <w:lang w:val="en-CA" w:eastAsia="en-CA"/>
              </w:rPr>
              <w:t>1.77</w:t>
            </w: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en-CA"/>
              </w:rPr>
            </w:pPr>
            <w:r>
              <w:rPr>
                <w:rFonts w:eastAsia="宋体"/>
                <w:sz w:val="18"/>
                <w:szCs w:val="18"/>
                <w:lang w:val="en-CA" w:eastAsia="en-CA"/>
              </w:rPr>
              <w:t>16.5</w:t>
            </w:r>
          </w:p>
        </w:tc>
        <w:tc>
          <w:tcPr>
            <w:tcW w:w="709" w:type="dxa"/>
            <w:tcBorders>
              <w:tl2br w:val="nil"/>
              <w:tr2bl w:val="nil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en-CA"/>
              </w:rPr>
            </w:pPr>
            <w:r>
              <w:rPr>
                <w:rFonts w:eastAsia="宋体"/>
                <w:sz w:val="18"/>
                <w:szCs w:val="18"/>
                <w:lang w:val="en-CA" w:eastAsia="en-CA"/>
              </w:rPr>
              <w:t>65.4</w:t>
            </w:r>
          </w:p>
        </w:tc>
        <w:tc>
          <w:tcPr>
            <w:tcW w:w="708" w:type="dxa"/>
            <w:tcBorders>
              <w:tl2br w:val="nil"/>
              <w:tr2bl w:val="nil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en-CA"/>
              </w:rPr>
            </w:pPr>
            <w:r>
              <w:rPr>
                <w:rFonts w:eastAsia="宋体"/>
                <w:sz w:val="18"/>
                <w:szCs w:val="18"/>
                <w:lang w:val="en-CA" w:eastAsia="en-CA"/>
              </w:rPr>
              <w:t>19.1</w:t>
            </w:r>
          </w:p>
        </w:tc>
        <w:tc>
          <w:tcPr>
            <w:tcW w:w="1276" w:type="dxa"/>
            <w:tcBorders>
              <w:tl2br w:val="nil"/>
              <w:tr2bl w:val="nil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en-CA"/>
              </w:rPr>
            </w:pPr>
            <w:r>
              <w:rPr>
                <w:rFonts w:eastAsia="宋体"/>
                <w:sz w:val="18"/>
                <w:szCs w:val="18"/>
                <w:lang w:val="en-CA" w:eastAsia="en-CA"/>
              </w:rPr>
              <w:t>No</w:t>
            </w:r>
          </w:p>
        </w:tc>
        <w:tc>
          <w:tcPr>
            <w:tcW w:w="709" w:type="dxa"/>
            <w:tcBorders>
              <w:tl2br w:val="nil"/>
              <w:tr2bl w:val="nil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en-CA"/>
              </w:rPr>
            </w:pPr>
            <w:r>
              <w:rPr>
                <w:rFonts w:eastAsia="宋体"/>
                <w:sz w:val="18"/>
                <w:szCs w:val="18"/>
                <w:lang w:val="en-CA" w:eastAsia="en-CA"/>
              </w:rPr>
              <w:t>2018</w:t>
            </w:r>
          </w:p>
        </w:tc>
        <w:tc>
          <w:tcPr>
            <w:tcW w:w="1276" w:type="dxa"/>
            <w:tcBorders>
              <w:tl2br w:val="nil"/>
              <w:tr2bl w:val="nil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color w:val="0070C0"/>
                <w:sz w:val="18"/>
                <w:szCs w:val="18"/>
                <w:lang w:val="en-CA" w:eastAsia="en-CA"/>
              </w:rPr>
            </w:pPr>
            <w:r>
              <w:rPr>
                <w:rFonts w:hint="eastAsia" w:eastAsia="宋体"/>
                <w:color w:val="0070C0"/>
                <w:sz w:val="18"/>
                <w:szCs w:val="18"/>
                <w:lang w:val="en-US" w:eastAsia="zh-CN"/>
              </w:rPr>
              <w:t>4</w:t>
            </w:r>
            <w:r>
              <w:rPr>
                <w:rFonts w:eastAsia="宋体"/>
                <w:color w:val="0070C0"/>
                <w:sz w:val="18"/>
                <w:szCs w:val="18"/>
                <w:lang w:val="en-CA" w:eastAsia="en-CA"/>
              </w:rPr>
              <w:t>1</w:t>
            </w:r>
          </w:p>
        </w:tc>
      </w:tr>
      <w:tr>
        <w:tblPrEx>
          <w:tblBorders>
            <w:top w:val="thickThinSmallGap" w:color="auto" w:sz="18" w:space="0"/>
            <w:left w:val="none" w:color="auto" w:sz="0" w:space="0"/>
            <w:bottom w:val="thinThickSmallGap" w:color="auto" w:sz="18" w:space="0"/>
            <w:right w:val="none" w:color="auto" w:sz="0" w:space="0"/>
            <w:insideH w:val="none" w:color="auto" w:sz="0" w:space="0"/>
            <w:insideV w:val="dotted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972" w:type="dxa"/>
            <w:tcBorders>
              <w:tl2br w:val="nil"/>
              <w:tr2bl w:val="nil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en-CA"/>
              </w:rPr>
            </w:pPr>
            <w:r>
              <w:rPr>
                <w:rFonts w:eastAsia="宋体"/>
                <w:sz w:val="18"/>
                <w:szCs w:val="18"/>
                <w:lang w:val="en-CA" w:eastAsia="en-CA"/>
              </w:rPr>
              <w:t>16</w:t>
            </w:r>
          </w:p>
        </w:tc>
        <w:tc>
          <w:tcPr>
            <w:tcW w:w="1438" w:type="dxa"/>
            <w:tcBorders>
              <w:tl2br w:val="nil"/>
              <w:tr2bl w:val="nil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en-CA"/>
              </w:rPr>
            </w:pPr>
            <w:r>
              <w:rPr>
                <w:rFonts w:eastAsia="宋体"/>
                <w:sz w:val="18"/>
                <w:szCs w:val="18"/>
                <w:lang w:val="en-CA" w:eastAsia="en-CA"/>
              </w:rPr>
              <w:t>Spin-coating</w:t>
            </w:r>
          </w:p>
        </w:tc>
        <w:tc>
          <w:tcPr>
            <w:tcW w:w="709" w:type="dxa"/>
            <w:tcBorders>
              <w:tl2br w:val="nil"/>
              <w:tr2bl w:val="nil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en-CA"/>
              </w:rPr>
            </w:pPr>
            <w:r>
              <w:rPr>
                <w:rFonts w:eastAsia="AdvGulliv-R"/>
                <w:sz w:val="18"/>
                <w:szCs w:val="18"/>
                <w:lang w:val="en-CA" w:eastAsia="en-CA"/>
              </w:rPr>
              <w:t>N-I-P</w:t>
            </w:r>
          </w:p>
        </w:tc>
        <w:tc>
          <w:tcPr>
            <w:tcW w:w="709" w:type="dxa"/>
            <w:tcBorders>
              <w:tl2br w:val="nil"/>
              <w:tr2bl w:val="nil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en-CA"/>
              </w:rPr>
            </w:pPr>
            <w:r>
              <w:rPr>
                <w:rFonts w:eastAsia="宋体"/>
                <w:sz w:val="18"/>
                <w:szCs w:val="18"/>
                <w:lang w:val="en-CA" w:eastAsia="en-CA"/>
              </w:rPr>
              <w:t>1.74</w:t>
            </w: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en-CA"/>
              </w:rPr>
            </w:pPr>
            <w:r>
              <w:rPr>
                <w:rFonts w:eastAsia="宋体"/>
                <w:sz w:val="18"/>
                <w:szCs w:val="18"/>
                <w:lang w:val="en-CA" w:eastAsia="en-CA"/>
              </w:rPr>
              <w:t>16.2</w:t>
            </w:r>
          </w:p>
        </w:tc>
        <w:tc>
          <w:tcPr>
            <w:tcW w:w="709" w:type="dxa"/>
            <w:tcBorders>
              <w:tl2br w:val="nil"/>
              <w:tr2bl w:val="nil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en-CA"/>
              </w:rPr>
            </w:pPr>
            <w:r>
              <w:rPr>
                <w:rFonts w:eastAsia="宋体"/>
                <w:sz w:val="18"/>
                <w:szCs w:val="18"/>
                <w:lang w:val="en-CA" w:eastAsia="en-CA"/>
              </w:rPr>
              <w:t>78</w:t>
            </w:r>
          </w:p>
        </w:tc>
        <w:tc>
          <w:tcPr>
            <w:tcW w:w="708" w:type="dxa"/>
            <w:tcBorders>
              <w:tl2br w:val="nil"/>
              <w:tr2bl w:val="nil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en-CA"/>
              </w:rPr>
            </w:pPr>
            <w:r>
              <w:rPr>
                <w:rFonts w:eastAsia="宋体"/>
                <w:sz w:val="18"/>
                <w:szCs w:val="18"/>
                <w:lang w:val="en-CA" w:eastAsia="en-CA"/>
              </w:rPr>
              <w:t>21.8</w:t>
            </w:r>
          </w:p>
        </w:tc>
        <w:tc>
          <w:tcPr>
            <w:tcW w:w="1276" w:type="dxa"/>
            <w:tcBorders>
              <w:tl2br w:val="nil"/>
              <w:tr2bl w:val="nil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en-CA"/>
              </w:rPr>
            </w:pPr>
            <w:r>
              <w:rPr>
                <w:rFonts w:eastAsia="宋体"/>
                <w:sz w:val="18"/>
                <w:szCs w:val="18"/>
                <w:lang w:val="en-CA" w:eastAsia="en-CA"/>
              </w:rPr>
              <w:t>No</w:t>
            </w:r>
          </w:p>
        </w:tc>
        <w:tc>
          <w:tcPr>
            <w:tcW w:w="709" w:type="dxa"/>
            <w:tcBorders>
              <w:tl2br w:val="nil"/>
              <w:tr2bl w:val="nil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en-CA"/>
              </w:rPr>
            </w:pPr>
            <w:r>
              <w:rPr>
                <w:rFonts w:eastAsia="宋体"/>
                <w:sz w:val="18"/>
                <w:szCs w:val="18"/>
                <w:lang w:val="en-CA" w:eastAsia="en-CA"/>
              </w:rPr>
              <w:t>2018</w:t>
            </w:r>
          </w:p>
        </w:tc>
        <w:tc>
          <w:tcPr>
            <w:tcW w:w="1276" w:type="dxa"/>
            <w:tcBorders>
              <w:tl2br w:val="nil"/>
              <w:tr2bl w:val="nil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color w:val="0070C0"/>
                <w:sz w:val="18"/>
                <w:szCs w:val="18"/>
                <w:lang w:val="en-CA" w:eastAsia="en-CA"/>
              </w:rPr>
            </w:pPr>
            <w:r>
              <w:rPr>
                <w:rFonts w:hint="eastAsia" w:eastAsia="宋体"/>
                <w:color w:val="0070C0"/>
                <w:sz w:val="18"/>
                <w:szCs w:val="18"/>
                <w:lang w:val="en-US" w:eastAsia="zh-CN"/>
              </w:rPr>
              <w:t>4</w:t>
            </w:r>
            <w:r>
              <w:rPr>
                <w:rFonts w:eastAsia="宋体"/>
                <w:color w:val="0070C0"/>
                <w:sz w:val="18"/>
                <w:szCs w:val="18"/>
                <w:lang w:val="en-CA" w:eastAsia="en-CA"/>
              </w:rPr>
              <w:t>2</w:t>
            </w:r>
          </w:p>
        </w:tc>
      </w:tr>
      <w:tr>
        <w:tblPrEx>
          <w:tblBorders>
            <w:top w:val="thickThinSmallGap" w:color="auto" w:sz="18" w:space="0"/>
            <w:left w:val="none" w:color="auto" w:sz="0" w:space="0"/>
            <w:bottom w:val="thinThickSmallGap" w:color="auto" w:sz="18" w:space="0"/>
            <w:right w:val="none" w:color="auto" w:sz="0" w:space="0"/>
            <w:insideH w:val="none" w:color="auto" w:sz="0" w:space="0"/>
            <w:insideV w:val="dotted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972" w:type="dxa"/>
            <w:tcBorders>
              <w:tl2br w:val="nil"/>
              <w:tr2bl w:val="nil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en-CA"/>
              </w:rPr>
            </w:pPr>
            <w:r>
              <w:rPr>
                <w:rFonts w:eastAsia="宋体"/>
                <w:sz w:val="18"/>
                <w:szCs w:val="18"/>
                <w:lang w:val="en-CA" w:eastAsia="en-CA"/>
              </w:rPr>
              <w:t>57.4</w:t>
            </w:r>
          </w:p>
        </w:tc>
        <w:tc>
          <w:tcPr>
            <w:tcW w:w="1438" w:type="dxa"/>
            <w:tcBorders>
              <w:tl2br w:val="nil"/>
              <w:tr2bl w:val="nil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en-CA"/>
              </w:rPr>
            </w:pPr>
            <w:r>
              <w:rPr>
                <w:rFonts w:eastAsia="宋体"/>
                <w:sz w:val="18"/>
                <w:szCs w:val="18"/>
                <w:lang w:val="en-CA" w:eastAsia="en-CA"/>
              </w:rPr>
              <w:t>Screen-printing</w:t>
            </w:r>
          </w:p>
        </w:tc>
        <w:tc>
          <w:tcPr>
            <w:tcW w:w="709" w:type="dxa"/>
            <w:tcBorders>
              <w:tl2br w:val="nil"/>
              <w:tr2bl w:val="nil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en-CA"/>
              </w:rPr>
            </w:pPr>
            <w:r>
              <w:rPr>
                <w:rFonts w:eastAsia="宋体"/>
                <w:sz w:val="18"/>
                <w:szCs w:val="18"/>
                <w:lang w:val="en-CA" w:eastAsia="en-CA"/>
              </w:rPr>
              <w:t>P</w:t>
            </w:r>
            <w:r>
              <w:rPr>
                <w:rFonts w:eastAsia="AdvGulliv-R"/>
                <w:sz w:val="18"/>
                <w:szCs w:val="18"/>
                <w:lang w:val="en-CA" w:eastAsia="en-CA"/>
              </w:rPr>
              <w:t>-I-</w:t>
            </w:r>
            <w:r>
              <w:rPr>
                <w:rFonts w:eastAsia="宋体"/>
                <w:sz w:val="18"/>
                <w:szCs w:val="18"/>
                <w:lang w:val="en-CA" w:eastAsia="en-CA"/>
              </w:rPr>
              <w:t>N</w:t>
            </w:r>
          </w:p>
        </w:tc>
        <w:tc>
          <w:tcPr>
            <w:tcW w:w="709" w:type="dxa"/>
            <w:tcBorders>
              <w:tl2br w:val="nil"/>
              <w:tr2bl w:val="nil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en-CA"/>
              </w:rPr>
            </w:pPr>
            <w:r>
              <w:rPr>
                <w:rFonts w:eastAsia="宋体"/>
                <w:sz w:val="18"/>
                <w:szCs w:val="18"/>
                <w:lang w:val="en-CA" w:eastAsia="en-CA"/>
              </w:rPr>
              <w:t>1.72</w:t>
            </w: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en-CA"/>
              </w:rPr>
            </w:pPr>
            <w:r>
              <w:rPr>
                <w:rFonts w:eastAsia="宋体"/>
                <w:sz w:val="18"/>
                <w:szCs w:val="18"/>
                <w:lang w:val="en-CA" w:eastAsia="en-CA"/>
              </w:rPr>
              <w:t>17.48</w:t>
            </w:r>
          </w:p>
        </w:tc>
        <w:tc>
          <w:tcPr>
            <w:tcW w:w="709" w:type="dxa"/>
            <w:tcBorders>
              <w:tl2br w:val="nil"/>
              <w:tr2bl w:val="nil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en-CA"/>
              </w:rPr>
            </w:pPr>
            <w:r>
              <w:rPr>
                <w:rFonts w:eastAsia="宋体"/>
                <w:sz w:val="18"/>
                <w:szCs w:val="18"/>
                <w:lang w:val="en-CA" w:eastAsia="en-CA"/>
              </w:rPr>
              <w:t>75</w:t>
            </w:r>
          </w:p>
        </w:tc>
        <w:tc>
          <w:tcPr>
            <w:tcW w:w="708" w:type="dxa"/>
            <w:tcBorders>
              <w:tl2br w:val="nil"/>
              <w:tr2bl w:val="nil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en-CA"/>
              </w:rPr>
            </w:pPr>
            <w:r>
              <w:rPr>
                <w:rFonts w:eastAsia="宋体"/>
                <w:sz w:val="18"/>
                <w:szCs w:val="18"/>
                <w:lang w:val="en-CA" w:eastAsia="en-CA"/>
              </w:rPr>
              <w:t>22.6</w:t>
            </w:r>
          </w:p>
        </w:tc>
        <w:tc>
          <w:tcPr>
            <w:tcW w:w="1276" w:type="dxa"/>
            <w:tcBorders>
              <w:tl2br w:val="nil"/>
              <w:tr2bl w:val="nil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zh-CN"/>
              </w:rPr>
            </w:pPr>
            <w:r>
              <w:rPr>
                <w:rFonts w:hint="eastAsia" w:eastAsia="宋体"/>
                <w:sz w:val="18"/>
                <w:szCs w:val="18"/>
                <w:lang w:val="en-CA" w:eastAsia="zh-CN"/>
              </w:rPr>
              <w:t>No</w:t>
            </w:r>
          </w:p>
        </w:tc>
        <w:tc>
          <w:tcPr>
            <w:tcW w:w="709" w:type="dxa"/>
            <w:tcBorders>
              <w:tl2br w:val="nil"/>
              <w:tr2bl w:val="nil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en-CA"/>
              </w:rPr>
            </w:pPr>
            <w:r>
              <w:rPr>
                <w:rFonts w:eastAsia="宋体"/>
                <w:sz w:val="18"/>
                <w:szCs w:val="18"/>
                <w:lang w:val="en-CA" w:eastAsia="en-CA"/>
              </w:rPr>
              <w:t>2019</w:t>
            </w:r>
          </w:p>
        </w:tc>
        <w:tc>
          <w:tcPr>
            <w:tcW w:w="1276" w:type="dxa"/>
            <w:tcBorders>
              <w:tl2br w:val="nil"/>
              <w:tr2bl w:val="nil"/>
            </w:tcBorders>
            <w:shd w:val="clear" w:color="auto" w:fill="EBF1DE" w:themeFill="accent3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color w:val="0070C0"/>
                <w:sz w:val="18"/>
                <w:szCs w:val="18"/>
                <w:lang w:val="en-CA" w:eastAsia="en-CA"/>
              </w:rPr>
            </w:pPr>
            <w:r>
              <w:rPr>
                <w:rFonts w:hint="eastAsia" w:eastAsia="宋体"/>
                <w:color w:val="0070C0"/>
                <w:sz w:val="18"/>
                <w:szCs w:val="18"/>
                <w:lang w:val="en-US" w:eastAsia="zh-CN"/>
              </w:rPr>
              <w:t>4</w:t>
            </w:r>
            <w:r>
              <w:rPr>
                <w:rFonts w:eastAsia="宋体"/>
                <w:color w:val="0070C0"/>
                <w:sz w:val="18"/>
                <w:szCs w:val="18"/>
                <w:lang w:val="en-CA" w:eastAsia="en-CA"/>
              </w:rPr>
              <w:t>3</w:t>
            </w:r>
          </w:p>
        </w:tc>
      </w:tr>
      <w:tr>
        <w:tblPrEx>
          <w:tblBorders>
            <w:top w:val="thickThinSmallGap" w:color="auto" w:sz="18" w:space="0"/>
            <w:left w:val="none" w:color="auto" w:sz="0" w:space="0"/>
            <w:bottom w:val="thinThickSmallGap" w:color="auto" w:sz="18" w:space="0"/>
            <w:right w:val="none" w:color="auto" w:sz="0" w:space="0"/>
            <w:insideH w:val="none" w:color="auto" w:sz="0" w:space="0"/>
            <w:insideV w:val="dotted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972" w:type="dxa"/>
            <w:vMerge w:val="restart"/>
            <w:tcBorders>
              <w:tl2br w:val="nil"/>
              <w:tr2bl w:val="nil"/>
            </w:tcBorders>
            <w:shd w:val="clear" w:color="auto" w:fill="E6E0EC" w:themeFill="accent4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en-CA"/>
              </w:rPr>
            </w:pPr>
            <w:r>
              <w:rPr>
                <w:rFonts w:eastAsia="宋体"/>
                <w:sz w:val="18"/>
                <w:szCs w:val="18"/>
                <w:lang w:val="en-CA" w:eastAsia="en-CA"/>
              </w:rPr>
              <w:t>11.8792</w:t>
            </w:r>
          </w:p>
        </w:tc>
        <w:tc>
          <w:tcPr>
            <w:tcW w:w="1438" w:type="dxa"/>
            <w:vMerge w:val="restart"/>
            <w:tcBorders>
              <w:tl2br w:val="nil"/>
              <w:tr2bl w:val="nil"/>
            </w:tcBorders>
            <w:shd w:val="clear" w:color="auto" w:fill="E6E0EC" w:themeFill="accent4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b/>
                <w:sz w:val="18"/>
                <w:szCs w:val="18"/>
                <w:lang w:val="en-CA" w:eastAsia="en-CA"/>
              </w:rPr>
            </w:pPr>
            <w:r>
              <w:rPr>
                <w:rFonts w:eastAsia="宋体"/>
                <w:sz w:val="18"/>
                <w:szCs w:val="18"/>
                <w:lang w:val="en-CA" w:eastAsia="en-CA"/>
              </w:rPr>
              <w:t>Spin-coating</w:t>
            </w:r>
          </w:p>
        </w:tc>
        <w:tc>
          <w:tcPr>
            <w:tcW w:w="709" w:type="dxa"/>
            <w:vMerge w:val="restart"/>
            <w:tcBorders>
              <w:tl2br w:val="nil"/>
              <w:tr2bl w:val="nil"/>
            </w:tcBorders>
            <w:shd w:val="clear" w:color="auto" w:fill="E6E0EC" w:themeFill="accent4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sz w:val="18"/>
                <w:szCs w:val="18"/>
                <w:lang w:val="en-CA" w:eastAsia="en-CA"/>
              </w:rPr>
            </w:pPr>
            <w:r>
              <w:rPr>
                <w:rFonts w:eastAsia="宋体"/>
                <w:sz w:val="18"/>
                <w:szCs w:val="18"/>
                <w:lang w:val="en-CA" w:eastAsia="en-CA"/>
              </w:rPr>
              <w:t>P</w:t>
            </w:r>
            <w:r>
              <w:rPr>
                <w:rFonts w:eastAsia="AdvGulliv-R"/>
                <w:sz w:val="18"/>
                <w:szCs w:val="18"/>
                <w:lang w:val="en-CA" w:eastAsia="en-CA"/>
              </w:rPr>
              <w:t>-I-</w:t>
            </w:r>
            <w:r>
              <w:rPr>
                <w:rFonts w:eastAsia="宋体"/>
                <w:sz w:val="18"/>
                <w:szCs w:val="18"/>
                <w:lang w:val="en-CA" w:eastAsia="en-CA"/>
              </w:rPr>
              <w:t>N</w:t>
            </w:r>
          </w:p>
        </w:tc>
        <w:tc>
          <w:tcPr>
            <w:tcW w:w="709" w:type="dxa"/>
            <w:tcBorders>
              <w:tl2br w:val="nil"/>
              <w:tr2bl w:val="nil"/>
            </w:tcBorders>
            <w:shd w:val="clear" w:color="auto" w:fill="E6E0EC" w:themeFill="accent4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bCs/>
                <w:color w:val="000000" w:themeColor="text1"/>
                <w:sz w:val="18"/>
                <w:szCs w:val="18"/>
                <w:lang w:val="en-CA" w:eastAsia="en-C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宋体"/>
                <w:bCs/>
                <w:color w:val="000000" w:themeColor="text1"/>
                <w:sz w:val="18"/>
                <w:szCs w:val="18"/>
                <w:lang w:val="en-CA" w:eastAsia="en-CA"/>
                <w14:textFill>
                  <w14:solidFill>
                    <w14:schemeClr w14:val="tx1"/>
                  </w14:solidFill>
                </w14:textFill>
              </w:rPr>
              <w:t>1.83</w:t>
            </w: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E6E0EC" w:themeFill="accent4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bCs/>
                <w:color w:val="000000" w:themeColor="text1"/>
                <w:sz w:val="18"/>
                <w:szCs w:val="18"/>
                <w:lang w:val="en-CA" w:eastAsia="en-C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宋体"/>
                <w:bCs/>
                <w:color w:val="000000" w:themeColor="text1"/>
                <w:sz w:val="18"/>
                <w:szCs w:val="18"/>
                <w:lang w:val="en-CA" w:eastAsia="en-CA"/>
                <w14:textFill>
                  <w14:solidFill>
                    <w14:schemeClr w14:val="tx1"/>
                  </w14:solidFill>
                </w14:textFill>
              </w:rPr>
              <w:t>17.98</w:t>
            </w:r>
          </w:p>
        </w:tc>
        <w:tc>
          <w:tcPr>
            <w:tcW w:w="709" w:type="dxa"/>
            <w:tcBorders>
              <w:tl2br w:val="nil"/>
              <w:tr2bl w:val="nil"/>
            </w:tcBorders>
            <w:shd w:val="clear" w:color="auto" w:fill="E6E0EC" w:themeFill="accent4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bCs/>
                <w:color w:val="000000" w:themeColor="text1"/>
                <w:sz w:val="18"/>
                <w:szCs w:val="18"/>
                <w:lang w:val="en-CA" w:eastAsia="en-C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宋体"/>
                <w:bCs/>
                <w:color w:val="000000" w:themeColor="text1"/>
                <w:sz w:val="18"/>
                <w:szCs w:val="18"/>
                <w:lang w:val="en-CA" w:eastAsia="en-CA"/>
                <w14:textFill>
                  <w14:solidFill>
                    <w14:schemeClr w14:val="tx1"/>
                  </w14:solidFill>
                </w14:textFill>
              </w:rPr>
              <w:t>70.6</w:t>
            </w:r>
          </w:p>
        </w:tc>
        <w:tc>
          <w:tcPr>
            <w:tcW w:w="708" w:type="dxa"/>
            <w:tcBorders>
              <w:tl2br w:val="nil"/>
              <w:tr2bl w:val="nil"/>
            </w:tcBorders>
            <w:shd w:val="clear" w:color="auto" w:fill="E6E0EC" w:themeFill="accent4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bCs/>
                <w:color w:val="000000" w:themeColor="text1"/>
                <w:sz w:val="18"/>
                <w:szCs w:val="18"/>
                <w:lang w:val="en-CA" w:eastAsia="en-C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宋体"/>
                <w:bCs/>
                <w:color w:val="000000" w:themeColor="text1"/>
                <w:sz w:val="18"/>
                <w:szCs w:val="18"/>
                <w:lang w:val="en-CA" w:eastAsia="en-CA"/>
                <w14:textFill>
                  <w14:solidFill>
                    <w14:schemeClr w14:val="tx1"/>
                  </w14:solidFill>
                </w14:textFill>
              </w:rPr>
              <w:t>23.23</w:t>
            </w:r>
          </w:p>
        </w:tc>
        <w:tc>
          <w:tcPr>
            <w:tcW w:w="1276" w:type="dxa"/>
            <w:tcBorders>
              <w:tl2br w:val="nil"/>
              <w:tr2bl w:val="nil"/>
            </w:tcBorders>
            <w:shd w:val="clear" w:color="auto" w:fill="E6E0EC" w:themeFill="accent4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bCs/>
                <w:color w:val="000000" w:themeColor="text1"/>
                <w:sz w:val="18"/>
                <w:szCs w:val="18"/>
                <w:lang w:val="en-CA" w:eastAsia="en-C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/>
                <w:color w:val="000000" w:themeColor="text1"/>
                <w:sz w:val="18"/>
                <w:szCs w:val="18"/>
                <w:lang w:val="en-CA" w:eastAsia="zh-CN"/>
                <w14:textFill>
                  <w14:solidFill>
                    <w14:schemeClr w14:val="tx1"/>
                  </w14:solidFill>
                </w14:textFill>
              </w:rPr>
              <w:t>No</w:t>
            </w:r>
          </w:p>
        </w:tc>
        <w:tc>
          <w:tcPr>
            <w:tcW w:w="1985" w:type="dxa"/>
            <w:gridSpan w:val="2"/>
            <w:vMerge w:val="restart"/>
            <w:tcBorders>
              <w:tl2br w:val="nil"/>
              <w:tr2bl w:val="nil"/>
            </w:tcBorders>
            <w:shd w:val="clear" w:color="auto" w:fill="E6E0EC" w:themeFill="accent4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AdvGulliv-R"/>
                <w:bCs/>
                <w:color w:val="000000" w:themeColor="text1"/>
                <w:sz w:val="18"/>
                <w:szCs w:val="18"/>
                <w:lang w:val="en-CA" w:eastAsia="en-C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AdvGulliv-R"/>
                <w:bCs/>
                <w:color w:val="000000" w:themeColor="text1"/>
                <w:sz w:val="18"/>
                <w:szCs w:val="18"/>
                <w:lang w:val="en-CA" w:eastAsia="en-CA"/>
                <w14:textFill>
                  <w14:solidFill>
                    <w14:schemeClr w14:val="tx1"/>
                  </w14:solidFill>
                </w14:textFill>
              </w:rPr>
              <w:t>This work</w:t>
            </w:r>
          </w:p>
        </w:tc>
      </w:tr>
      <w:tr>
        <w:tblPrEx>
          <w:tblBorders>
            <w:top w:val="thickThinSmallGap" w:color="auto" w:sz="18" w:space="0"/>
            <w:left w:val="none" w:color="auto" w:sz="0" w:space="0"/>
            <w:bottom w:val="thinThickSmallGap" w:color="auto" w:sz="18" w:space="0"/>
            <w:right w:val="none" w:color="auto" w:sz="0" w:space="0"/>
            <w:insideH w:val="none" w:color="auto" w:sz="0" w:space="0"/>
            <w:insideV w:val="dotted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72" w:type="dxa"/>
            <w:vMerge w:val="continue"/>
            <w:tcBorders>
              <w:tl2br w:val="nil"/>
              <w:tr2bl w:val="nil"/>
            </w:tcBorders>
            <w:shd w:val="clear" w:color="auto" w:fill="E6E0EC" w:themeFill="accent4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lang w:val="en-CA"/>
              </w:rPr>
            </w:pPr>
          </w:p>
        </w:tc>
        <w:tc>
          <w:tcPr>
            <w:tcW w:w="1438" w:type="dxa"/>
            <w:vMerge w:val="continue"/>
            <w:tcBorders>
              <w:tl2br w:val="nil"/>
              <w:tr2bl w:val="nil"/>
            </w:tcBorders>
            <w:shd w:val="clear" w:color="auto" w:fill="E6E0EC" w:themeFill="accent4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lang w:val="en-CA"/>
              </w:rPr>
            </w:pPr>
          </w:p>
        </w:tc>
        <w:tc>
          <w:tcPr>
            <w:tcW w:w="709" w:type="dxa"/>
            <w:vMerge w:val="continue"/>
            <w:tcBorders>
              <w:tl2br w:val="nil"/>
              <w:tr2bl w:val="nil"/>
            </w:tcBorders>
            <w:shd w:val="clear" w:color="auto" w:fill="E6E0EC" w:themeFill="accent4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lang w:val="en-CA"/>
              </w:rPr>
            </w:pPr>
          </w:p>
        </w:tc>
        <w:tc>
          <w:tcPr>
            <w:tcW w:w="709" w:type="dxa"/>
            <w:tcBorders>
              <w:tl2br w:val="nil"/>
              <w:tr2bl w:val="nil"/>
            </w:tcBorders>
            <w:shd w:val="clear" w:color="auto" w:fill="E6E0EC" w:themeFill="accent4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bCs/>
                <w:color w:val="000000" w:themeColor="text1"/>
                <w:sz w:val="18"/>
                <w:szCs w:val="18"/>
                <w:lang w:val="en-CA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/>
                <w:bCs/>
                <w:color w:val="000000" w:themeColor="text1"/>
                <w:sz w:val="18"/>
                <w:szCs w:val="18"/>
                <w:lang w:val="en-CA" w:eastAsia="zh-CN"/>
                <w14:textFill>
                  <w14:solidFill>
                    <w14:schemeClr w14:val="tx1"/>
                  </w14:solidFill>
                </w14:textFill>
              </w:rPr>
              <w:t>1.82</w:t>
            </w: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E6E0EC" w:themeFill="accent4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bCs/>
                <w:color w:val="000000" w:themeColor="text1"/>
                <w:sz w:val="18"/>
                <w:szCs w:val="18"/>
                <w:lang w:val="en-CA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/>
                <w:bCs/>
                <w:color w:val="000000" w:themeColor="text1"/>
                <w:sz w:val="18"/>
                <w:szCs w:val="18"/>
                <w:lang w:val="en-CA" w:eastAsia="zh-CN"/>
                <w14:textFill>
                  <w14:solidFill>
                    <w14:schemeClr w14:val="tx1"/>
                  </w14:solidFill>
                </w14:textFill>
              </w:rPr>
              <w:t>17.93</w:t>
            </w:r>
          </w:p>
        </w:tc>
        <w:tc>
          <w:tcPr>
            <w:tcW w:w="709" w:type="dxa"/>
            <w:tcBorders>
              <w:tl2br w:val="nil"/>
              <w:tr2bl w:val="nil"/>
            </w:tcBorders>
            <w:shd w:val="clear" w:color="auto" w:fill="E6E0EC" w:themeFill="accent4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bCs/>
                <w:color w:val="000000" w:themeColor="text1"/>
                <w:sz w:val="18"/>
                <w:szCs w:val="18"/>
                <w:lang w:val="en-CA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/>
                <w:bCs/>
                <w:color w:val="000000" w:themeColor="text1"/>
                <w:sz w:val="18"/>
                <w:szCs w:val="18"/>
                <w:lang w:val="en-CA" w:eastAsia="zh-CN"/>
                <w14:textFill>
                  <w14:solidFill>
                    <w14:schemeClr w14:val="tx1"/>
                  </w14:solidFill>
                </w14:textFill>
              </w:rPr>
              <w:t>70.7</w:t>
            </w:r>
          </w:p>
        </w:tc>
        <w:tc>
          <w:tcPr>
            <w:tcW w:w="708" w:type="dxa"/>
            <w:tcBorders>
              <w:tl2br w:val="nil"/>
              <w:tr2bl w:val="nil"/>
            </w:tcBorders>
            <w:shd w:val="clear" w:color="auto" w:fill="E6E0EC" w:themeFill="accent4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bCs/>
                <w:color w:val="000000" w:themeColor="text1"/>
                <w:sz w:val="18"/>
                <w:szCs w:val="18"/>
                <w:lang w:val="en-CA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/>
                <w:bCs/>
                <w:color w:val="000000" w:themeColor="text1"/>
                <w:sz w:val="18"/>
                <w:szCs w:val="18"/>
                <w:lang w:val="en-CA" w:eastAsia="zh-CN"/>
                <w14:textFill>
                  <w14:solidFill>
                    <w14:schemeClr w14:val="tx1"/>
                  </w14:solidFill>
                </w14:textFill>
              </w:rPr>
              <w:t>23.07</w:t>
            </w:r>
          </w:p>
        </w:tc>
        <w:tc>
          <w:tcPr>
            <w:tcW w:w="1276" w:type="dxa"/>
            <w:tcBorders>
              <w:tl2br w:val="nil"/>
              <w:tr2bl w:val="nil"/>
            </w:tcBorders>
            <w:shd w:val="clear" w:color="auto" w:fill="E6E0EC" w:themeFill="accent4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bCs/>
                <w:color w:val="000000" w:themeColor="text1"/>
                <w:sz w:val="18"/>
                <w:szCs w:val="18"/>
                <w:lang w:val="en-CA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/>
                <w:bCs/>
                <w:color w:val="000000" w:themeColor="text1"/>
                <w:sz w:val="18"/>
                <w:szCs w:val="18"/>
                <w:lang w:val="en-CA" w:eastAsia="zh-CN"/>
                <w14:textFill>
                  <w14:solidFill>
                    <w14:schemeClr w14:val="tx1"/>
                  </w14:solidFill>
                </w14:textFill>
              </w:rPr>
              <w:t>Yes</w:t>
            </w:r>
          </w:p>
        </w:tc>
        <w:tc>
          <w:tcPr>
            <w:tcW w:w="1985" w:type="dxa"/>
            <w:gridSpan w:val="2"/>
            <w:vMerge w:val="continue"/>
            <w:tcBorders>
              <w:tl2br w:val="nil"/>
              <w:tr2bl w:val="nil"/>
            </w:tcBorders>
            <w:shd w:val="clear" w:color="auto" w:fill="E6E0EC" w:themeFill="accent4" w:themeFillTint="32"/>
            <w:vAlign w:val="center"/>
          </w:tcPr>
          <w:p>
            <w:pPr>
              <w:widowControl w:val="0"/>
              <w:adjustRightInd w:val="0"/>
              <w:snapToGrid w:val="0"/>
              <w:spacing w:line="300" w:lineRule="auto"/>
              <w:jc w:val="center"/>
              <w:rPr>
                <w:rFonts w:eastAsia="宋体"/>
                <w:bCs/>
                <w:color w:val="000000" w:themeColor="text1"/>
                <w:sz w:val="18"/>
                <w:szCs w:val="18"/>
                <w:lang w:val="en-CA" w:eastAsia="en-C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rPr>
          <w:rFonts w:eastAsia="宋体"/>
          <w:color w:val="FF0000"/>
          <w:szCs w:val="18"/>
          <w:highlight w:val="yellow"/>
          <w:shd w:val="clear" w:color="auto" w:fill="FFFFFF"/>
        </w:rPr>
      </w:pPr>
    </w:p>
    <w:p>
      <w:pPr>
        <w:jc w:val="center"/>
        <w:rPr>
          <w:color w:val="FF0000"/>
        </w:rPr>
      </w:pPr>
    </w:p>
    <w:p>
      <w:pPr>
        <w:jc w:val="center"/>
      </w:pPr>
      <w:r>
        <w:br w:type="page"/>
      </w:r>
    </w:p>
    <w:p>
      <w:pPr>
        <w:spacing w:line="360" w:lineRule="auto"/>
        <w:jc w:val="both"/>
        <w:rPr>
          <w:b/>
        </w:rPr>
      </w:pPr>
      <w:r>
        <w:rPr>
          <w:b/>
        </w:rPr>
        <w:t>Supplementary Note 1.</w:t>
      </w:r>
    </w:p>
    <w:p>
      <w:pPr>
        <w:spacing w:line="360" w:lineRule="auto"/>
        <w:jc w:val="both"/>
        <w:rPr>
          <w:b/>
          <w:bCs/>
        </w:rPr>
      </w:pPr>
      <w:r>
        <w:rPr>
          <w:b/>
          <w:bCs/>
        </w:rPr>
        <w:t>Theoretical insight for more pin-hole formation</w:t>
      </w:r>
    </w:p>
    <w:p>
      <w:pPr>
        <w:spacing w:line="360" w:lineRule="auto"/>
        <w:jc w:val="both"/>
      </w:pPr>
      <w:r>
        <w:t>In the first step of the two-step method to synthesize the PbI</w:t>
      </w:r>
      <w:r>
        <w:rPr>
          <w:vertAlign w:val="subscript"/>
        </w:rPr>
        <w:t>2</w:t>
      </w:r>
      <w:r>
        <w:t xml:space="preserve"> film, more pin-holes are formed after the addition of CdAc</w:t>
      </w:r>
      <w:r>
        <w:rPr>
          <w:rFonts w:hint="eastAsia"/>
          <w:vertAlign w:val="subscript"/>
          <w:lang w:eastAsia="zh-CN"/>
        </w:rPr>
        <w:t>2</w:t>
      </w:r>
      <w:r>
        <w:t>. Here, DFT is used to explore the effects of the CdAc</w:t>
      </w:r>
      <w:r>
        <w:rPr>
          <w:rFonts w:hint="eastAsia"/>
          <w:vertAlign w:val="subscript"/>
          <w:lang w:eastAsia="zh-CN"/>
        </w:rPr>
        <w:t>2</w:t>
      </w:r>
      <w:r>
        <w:t>. Previ</w:t>
      </w:r>
      <w:r>
        <w:rPr>
          <w:rFonts w:hint="eastAsia"/>
          <w:lang w:eastAsia="zh-CN"/>
        </w:rPr>
        <w:t>ous</w:t>
      </w:r>
      <w:r>
        <w:t xml:space="preserve"> work show</w:t>
      </w:r>
      <w:r>
        <w:rPr>
          <w:rFonts w:hint="eastAsia"/>
          <w:lang w:eastAsia="zh-CN"/>
        </w:rPr>
        <w:t>s</w:t>
      </w:r>
      <w:r>
        <w:t xml:space="preserve"> that the Cd </w:t>
      </w:r>
      <w:r>
        <w:rPr>
          <w:rFonts w:hint="eastAsia"/>
          <w:lang w:eastAsia="zh-CN"/>
        </w:rPr>
        <w:t>can be</w:t>
      </w:r>
      <w:r>
        <w:t xml:space="preserve"> incorporate</w:t>
      </w:r>
      <w:r>
        <w:rPr>
          <w:rFonts w:hint="eastAsia"/>
          <w:lang w:eastAsia="zh-CN"/>
        </w:rPr>
        <w:t>d</w:t>
      </w:r>
      <w:r>
        <w:t xml:space="preserve"> into the perovskite structure and occupy the B-site</w:t>
      </w:r>
      <w:r>
        <w:rPr>
          <w:rFonts w:hint="eastAsia"/>
          <w:i w:val="0"/>
          <w:iCs w:val="0"/>
          <w:color w:val="0070C0"/>
          <w:vertAlign w:val="superscript"/>
          <w:lang w:val="en-US" w:eastAsia="zh-CN"/>
        </w:rPr>
        <w:t>44</w:t>
      </w:r>
      <w:r>
        <w:t xml:space="preserve">. To see whether a small amount of Cd could also mix with Pb, we evaluate the reaction energy. </w:t>
      </w:r>
      <w:r>
        <w:rPr>
          <w:rFonts w:hint="eastAsia"/>
          <w:lang w:eastAsia="zh-CN"/>
        </w:rPr>
        <w:t xml:space="preserve">We construct a model to evaluate the reaction energy for the Cd incorporation </w:t>
      </w:r>
      <w:r>
        <w:t>(</w:t>
      </w:r>
      <w:r>
        <w:rPr>
          <w:rFonts w:hint="eastAsia"/>
          <w:b w:val="0"/>
          <w:bCs w:val="0"/>
          <w:color w:val="000000" w:themeColor="text1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Supplementary </w:t>
      </w:r>
      <w:r>
        <w:rPr>
          <w:b w:val="0"/>
          <w:bCs w:val="0"/>
        </w:rPr>
        <w:t>Fig</w:t>
      </w:r>
      <w:r>
        <w:rPr>
          <w:rFonts w:hint="eastAsia"/>
          <w:b w:val="0"/>
          <w:bCs w:val="0"/>
          <w:lang w:eastAsia="zh-CN"/>
        </w:rPr>
        <w:t>.</w:t>
      </w:r>
      <w:r>
        <w:rPr>
          <w:b w:val="0"/>
          <w:bCs w:val="0"/>
        </w:rPr>
        <w:t xml:space="preserve"> </w:t>
      </w:r>
      <w:r>
        <w:rPr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2</w:t>
      </w:r>
      <w:r>
        <w:rPr>
          <w:rFonts w:hint="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t>)</w:t>
      </w:r>
      <w:r>
        <w:rPr>
          <w:rFonts w:hint="eastAsia"/>
          <w:lang w:eastAsia="zh-CN"/>
        </w:rPr>
        <w:t xml:space="preserve">. </w:t>
      </w:r>
      <w:r>
        <w:t>The reaction energy is calculated by the equation as follows:</w:t>
      </w:r>
    </w:p>
    <w:p>
      <w:pPr>
        <w:spacing w:line="360" w:lineRule="auto"/>
        <w:jc w:val="both"/>
      </w:pPr>
      <w:r>
        <w:t xml:space="preserve">                      Pb</w:t>
      </w:r>
      <w:r>
        <w:rPr>
          <w:vertAlign w:val="subscript"/>
        </w:rPr>
        <w:t>16</w:t>
      </w:r>
      <w:r>
        <w:t>I</w:t>
      </w:r>
      <w:r>
        <w:rPr>
          <w:vertAlign w:val="subscript"/>
        </w:rPr>
        <w:t>32</w:t>
      </w:r>
      <w:r>
        <w:t xml:space="preserve"> + CdI</w:t>
      </w:r>
      <w:r>
        <w:rPr>
          <w:vertAlign w:val="subscript"/>
        </w:rPr>
        <w:t>2</w:t>
      </w:r>
      <w:r>
        <w:t xml:space="preserve"> </w:t>
      </w:r>
      <w:r>
        <w:rPr/>
        <w:sym w:font="Wingdings" w:char="F0E0"/>
      </w:r>
      <w:r>
        <w:t xml:space="preserve"> CdPb</w:t>
      </w:r>
      <w:r>
        <w:rPr>
          <w:vertAlign w:val="subscript"/>
        </w:rPr>
        <w:t>15</w:t>
      </w:r>
      <w:r>
        <w:t>I</w:t>
      </w:r>
      <w:r>
        <w:rPr>
          <w:vertAlign w:val="subscript"/>
        </w:rPr>
        <w:t>32</w:t>
      </w:r>
      <w:r>
        <w:t xml:space="preserve"> + PbI</w:t>
      </w:r>
      <w:r>
        <w:rPr>
          <w:vertAlign w:val="subscript"/>
        </w:rPr>
        <w:t>2</w:t>
      </w:r>
      <w:r>
        <w:t xml:space="preserve">                (1)</w:t>
      </w:r>
    </w:p>
    <w:p>
      <w:pPr>
        <w:spacing w:line="360" w:lineRule="auto"/>
        <w:jc w:val="both"/>
      </w:pPr>
      <w:r>
        <w:t>The small reaction energy (0.015 eV / formula unit) indicates a small amount of CdI</w:t>
      </w:r>
      <w:r>
        <w:rPr>
          <w:vertAlign w:val="subscript"/>
        </w:rPr>
        <w:t>2</w:t>
      </w:r>
      <w:r>
        <w:t xml:space="preserve"> could mix into PbI</w:t>
      </w:r>
      <w:r>
        <w:rPr>
          <w:vertAlign w:val="subscript"/>
        </w:rPr>
        <w:t>2</w:t>
      </w:r>
      <w:r>
        <w:t xml:space="preserve"> layers thermally.</w:t>
      </w:r>
    </w:p>
    <w:p>
      <w:pPr>
        <w:spacing w:line="360" w:lineRule="auto"/>
        <w:jc w:val="center"/>
      </w:pPr>
      <w:r>
        <w:rPr>
          <w:lang w:eastAsia="zh-CN"/>
        </w:rPr>
        <w:drawing>
          <wp:inline distT="0" distB="0" distL="0" distR="0">
            <wp:extent cx="2983865" cy="2616200"/>
            <wp:effectExtent l="0" t="0" r="6985" b="0"/>
            <wp:docPr id="55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Picture 3"/>
                    <pic:cNvPicPr>
                      <a:picLocks noChangeAspect="1"/>
                    </pic:cNvPicPr>
                  </pic:nvPicPr>
                  <pic:blipFill>
                    <a:blip r:embed="rId30"/>
                    <a:srcRect l="5483" t="1879" r="13876" b="13290"/>
                    <a:stretch>
                      <a:fillRect/>
                    </a:stretch>
                  </pic:blipFill>
                  <pic:spPr>
                    <a:xfrm>
                      <a:off x="0" y="0"/>
                      <a:ext cx="3066060" cy="2687761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both"/>
      </w:pPr>
      <w:r>
        <w:rPr>
          <w:rFonts w:hint="eastAsia"/>
          <w:b/>
          <w:bCs/>
          <w:color w:val="000000" w:themeColor="text1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Supplementary </w:t>
      </w:r>
      <w:r>
        <w:rPr>
          <w:b/>
          <w:bCs/>
          <w:color w:val="000000" w:themeColor="text1"/>
          <w:szCs w:val="24"/>
          <w14:textFill>
            <w14:solidFill>
              <w14:schemeClr w14:val="tx1"/>
            </w14:solidFill>
          </w14:textFill>
        </w:rPr>
        <w:t>Fig</w:t>
      </w:r>
      <w:r>
        <w:rPr>
          <w:rFonts w:hint="eastAsia"/>
          <w:b/>
          <w:bCs/>
          <w:color w:val="000000" w:themeColor="text1"/>
          <w:szCs w:val="24"/>
          <w:lang w:val="en-US" w:eastAsia="zh-CN"/>
          <w14:textFill>
            <w14:solidFill>
              <w14:schemeClr w14:val="tx1"/>
            </w14:solidFill>
          </w14:textFill>
        </w:rPr>
        <w:t>. 24</w:t>
      </w:r>
      <w:r>
        <w:rPr>
          <w:b/>
          <w:bCs/>
          <w:color w:val="000000" w:themeColor="text1"/>
          <w:szCs w:val="24"/>
          <w14:textFill>
            <w14:solidFill>
              <w14:schemeClr w14:val="tx1"/>
            </w14:solidFill>
          </w14:textFill>
        </w:rPr>
        <w:t>.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 xml:space="preserve"> The</w:t>
      </w:r>
      <w:r>
        <w:t xml:space="preserve"> models of the Cd mixed (left) and the pristine (right) PbI</w:t>
      </w:r>
      <w:r>
        <w:rPr>
          <w:vertAlign w:val="subscript"/>
        </w:rPr>
        <w:t>2</w:t>
      </w:r>
      <w:r>
        <w:t xml:space="preserve"> bulk structure. The pink and dark grey colors indicate Cd and Pb, respectively.</w:t>
      </w:r>
    </w:p>
    <w:p>
      <w:pPr>
        <w:spacing w:line="360" w:lineRule="auto"/>
        <w:jc w:val="both"/>
      </w:pPr>
    </w:p>
    <w:p>
      <w:pPr>
        <w:spacing w:line="360" w:lineRule="auto"/>
        <w:jc w:val="both"/>
      </w:pPr>
      <w:r>
        <w:t>We then focus on the effect of Ac in influencing the formation of the layered structure of PbI</w:t>
      </w:r>
      <w:r>
        <w:rPr>
          <w:vertAlign w:val="subscript"/>
        </w:rPr>
        <w:t>2</w:t>
      </w:r>
      <w:r>
        <w:t>. The effective ionic radius of the Ac anion is 162 pm, and it is smaller than the chloride anion (181 pm), which is known unable to mix with FAPbI</w:t>
      </w:r>
      <w:r>
        <w:rPr>
          <w:vertAlign w:val="subscript"/>
        </w:rPr>
        <w:t>3</w:t>
      </w:r>
      <w:r>
        <w:rPr>
          <w:rFonts w:hint="eastAsia"/>
          <w:i w:val="0"/>
          <w:iCs w:val="0"/>
          <w:color w:val="0070C0"/>
          <w:vertAlign w:val="superscript"/>
          <w:lang w:val="en-US" w:eastAsia="zh-CN"/>
        </w:rPr>
        <w:t>45</w:t>
      </w:r>
      <w:r>
        <w:t>. Therefore, we conclude that Ac anions cannot be incorporated into the cubic lattice of α-FAPbI</w:t>
      </w:r>
      <w:r>
        <w:rPr>
          <w:vertAlign w:val="subscript"/>
        </w:rPr>
        <w:t>3</w:t>
      </w:r>
      <w:r>
        <w:t>. We speculate that the Ac would locate at the grain boundary and play a role in guiding the growth of perovskite and passivating defects. For that, we construct a four-layer PbI</w:t>
      </w:r>
      <w:r>
        <w:rPr>
          <w:vertAlign w:val="subscript"/>
        </w:rPr>
        <w:t>2</w:t>
      </w:r>
      <w:r>
        <w:t xml:space="preserve"> model with or without the Ac substitution of I</w:t>
      </w:r>
      <w:r>
        <w:rPr>
          <w:vertAlign w:val="superscript"/>
        </w:rPr>
        <w:t>-</w:t>
      </w:r>
      <w:r>
        <w:t xml:space="preserve">, see </w:t>
      </w:r>
      <w:r>
        <w:rPr>
          <w:rFonts w:hint="eastAsia"/>
          <w:b w:val="0"/>
          <w:bCs w:val="0"/>
          <w:color w:val="000000" w:themeColor="text1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Supplementary </w:t>
      </w:r>
      <w:r>
        <w:rPr>
          <w:b w:val="0"/>
        </w:rPr>
        <w:t xml:space="preserve">Fig. </w:t>
      </w:r>
      <w:r>
        <w:rPr>
          <w:b w:val="0"/>
          <w:color w:val="000000" w:themeColor="text1"/>
          <w14:textFill>
            <w14:solidFill>
              <w14:schemeClr w14:val="tx1"/>
            </w14:solidFill>
          </w14:textFill>
        </w:rPr>
        <w:t>2</w:t>
      </w:r>
      <w:r>
        <w:rPr>
          <w:rFonts w:hint="eastAsia"/>
          <w:b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t>. The interlayer binding energy is calculated by the following equation:</w:t>
      </w:r>
    </w:p>
    <w:p>
      <w:pPr>
        <w:spacing w:line="360" w:lineRule="auto"/>
        <w:ind w:firstLine="1200" w:firstLineChars="500"/>
        <w:jc w:val="both"/>
      </w:pPr>
      <w:r>
        <w:rPr>
          <w:i/>
          <w:iCs/>
        </w:rPr>
        <w:t xml:space="preserve"> E</w:t>
      </w:r>
      <w:r>
        <w:rPr>
          <w:vertAlign w:val="subscript"/>
        </w:rPr>
        <w:t>bind</w:t>
      </w:r>
      <w:r>
        <w:t xml:space="preserve"> = </w:t>
      </w:r>
      <w:r>
        <w:rPr>
          <w:i/>
          <w:iCs/>
        </w:rPr>
        <w:t>E</w:t>
      </w:r>
      <w:r>
        <w:t xml:space="preserve"> [PbI</w:t>
      </w:r>
      <w:r>
        <w:rPr>
          <w:vertAlign w:val="subscript"/>
        </w:rPr>
        <w:t>2</w:t>
      </w:r>
      <w:r>
        <w:t xml:space="preserve"> four-layers] – 2×</w:t>
      </w:r>
      <w:r>
        <w:rPr>
          <w:i/>
          <w:iCs/>
        </w:rPr>
        <w:t>E</w:t>
      </w:r>
      <w:r>
        <w:t xml:space="preserve"> [PbI</w:t>
      </w:r>
      <w:r>
        <w:rPr>
          <w:vertAlign w:val="subscript"/>
        </w:rPr>
        <w:t>2</w:t>
      </w:r>
      <w:r>
        <w:t xml:space="preserve"> two-layers]               (2)                                                         </w:t>
      </w:r>
    </w:p>
    <w:p>
      <w:pPr>
        <w:spacing w:line="360" w:lineRule="auto"/>
        <w:jc w:val="both"/>
      </w:pPr>
      <w:r>
        <w:t>The interlayer binding energy significantly decreases from -0.06 eV/formula unit to -0.01 eV/formula unit. This indicates that the incorporation of Ac remarkably reduces the interlayer binding strength of PbI</w:t>
      </w:r>
      <w:r>
        <w:rPr>
          <w:vertAlign w:val="subscript"/>
        </w:rPr>
        <w:t>2</w:t>
      </w:r>
      <w:r>
        <w:t>. We, therefore, conclude that adding CdAc</w:t>
      </w:r>
      <w:r>
        <w:rPr>
          <w:rFonts w:hint="eastAsia"/>
          <w:vertAlign w:val="subscript"/>
          <w:lang w:eastAsia="zh-CN"/>
        </w:rPr>
        <w:t>2</w:t>
      </w:r>
      <w:r>
        <w:t xml:space="preserve"> will weaken the interlayer binding strength of the PbI</w:t>
      </w:r>
      <w:r>
        <w:rPr>
          <w:vertAlign w:val="subscript"/>
        </w:rPr>
        <w:t>2</w:t>
      </w:r>
      <w:r>
        <w:t xml:space="preserve"> layer, resulting in more pin-holes after the film formation.</w:t>
      </w:r>
    </w:p>
    <w:p>
      <w:pPr>
        <w:spacing w:line="360" w:lineRule="auto"/>
        <w:jc w:val="center"/>
        <w:rPr>
          <w:lang w:eastAsia="zh-CN"/>
        </w:rPr>
      </w:pPr>
      <w:r>
        <w:rPr>
          <w:lang w:eastAsia="zh-CN"/>
        </w:rPr>
        <w:br w:type="page"/>
      </w:r>
    </w:p>
    <w:p>
      <w:pPr>
        <w:spacing w:line="360" w:lineRule="auto"/>
        <w:jc w:val="center"/>
      </w:pPr>
      <w:r>
        <w:rPr>
          <w:lang w:eastAsia="zh-CN"/>
        </w:rPr>
        <w:drawing>
          <wp:inline distT="0" distB="0" distL="0" distR="0">
            <wp:extent cx="3348990" cy="2954655"/>
            <wp:effectExtent l="0" t="0" r="3810" b="0"/>
            <wp:docPr id="5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Picture 1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3363783" cy="29677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both"/>
      </w:pPr>
      <w:r>
        <w:rPr>
          <w:rFonts w:hint="eastAsia"/>
          <w:b/>
          <w:bCs/>
          <w:color w:val="000000" w:themeColor="text1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Supplementary </w:t>
      </w:r>
      <w:r>
        <w:rPr>
          <w:b/>
          <w:bCs/>
          <w:color w:val="000000" w:themeColor="text1"/>
          <w:szCs w:val="24"/>
          <w14:textFill>
            <w14:solidFill>
              <w14:schemeClr w14:val="tx1"/>
            </w14:solidFill>
          </w14:textFill>
        </w:rPr>
        <w:t>Fig</w:t>
      </w:r>
      <w:r>
        <w:rPr>
          <w:rFonts w:hint="eastAsia"/>
          <w:b/>
          <w:bCs/>
          <w:color w:val="000000" w:themeColor="text1"/>
          <w:szCs w:val="24"/>
          <w:lang w:val="en-US" w:eastAsia="zh-CN"/>
          <w14:textFill>
            <w14:solidFill>
              <w14:schemeClr w14:val="tx1"/>
            </w14:solidFill>
          </w14:textFill>
        </w:rPr>
        <w:t>. 25</w:t>
      </w:r>
      <w:r>
        <w:rPr>
          <w:b/>
          <w:bCs/>
          <w:color w:val="000000" w:themeColor="text1"/>
          <w:szCs w:val="24"/>
          <w14:textFill>
            <w14:solidFill>
              <w14:schemeClr w14:val="tx1"/>
            </w14:solidFill>
          </w14:textFill>
        </w:rPr>
        <w:t>.</w:t>
      </w:r>
      <w:r>
        <w:t xml:space="preserve"> The models of the pristine PbI</w:t>
      </w:r>
      <w:r>
        <w:rPr>
          <w:vertAlign w:val="subscript"/>
        </w:rPr>
        <w:t>2</w:t>
      </w:r>
      <w:r>
        <w:t xml:space="preserve"> layer and the Ac incorporated PbI</w:t>
      </w:r>
      <w:r>
        <w:rPr>
          <w:vertAlign w:val="subscript"/>
        </w:rPr>
        <w:t>2</w:t>
      </w:r>
      <w:r>
        <w:t xml:space="preserve"> layer. The binding energies and the binding energies normalized to the formula unit are listed at the bottom. The binding energy of the model are normalized to each PbI</w:t>
      </w:r>
      <w:r>
        <w:rPr>
          <w:vertAlign w:val="subscript"/>
        </w:rPr>
        <w:t>2</w:t>
      </w:r>
      <w:r>
        <w:t xml:space="preserve"> (including part of PbAc</w:t>
      </w:r>
      <w:r>
        <w:rPr>
          <w:vertAlign w:val="subscript"/>
        </w:rPr>
        <w:t>2</w:t>
      </w:r>
      <w:r>
        <w:t xml:space="preserve"> in the substituted model). The pink and dark grey colours indicate Cd and Pb, respectively.</w:t>
      </w:r>
    </w:p>
    <w:p>
      <w:pPr>
        <w:jc w:val="both"/>
        <w:rPr>
          <w:b/>
        </w:rPr>
      </w:pPr>
    </w:p>
    <w:p>
      <w:pPr>
        <w:jc w:val="both"/>
        <w:rPr>
          <w:b/>
        </w:rPr>
      </w:pPr>
    </w:p>
    <w:p>
      <w:pPr>
        <w:jc w:val="both"/>
        <w:rPr>
          <w:b/>
        </w:rPr>
      </w:pPr>
    </w:p>
    <w:p>
      <w:pPr>
        <w:jc w:val="both"/>
        <w:rPr>
          <w:b/>
        </w:rPr>
      </w:pPr>
    </w:p>
    <w:p>
      <w:pPr>
        <w:jc w:val="both"/>
        <w:rPr>
          <w:b/>
        </w:rPr>
      </w:pPr>
    </w:p>
    <w:p>
      <w:pPr>
        <w:jc w:val="both"/>
        <w:rPr>
          <w:b/>
        </w:rPr>
      </w:pPr>
      <w:r>
        <w:rPr>
          <w:b/>
        </w:rPr>
        <w:br w:type="page"/>
      </w:r>
    </w:p>
    <w:p>
      <w:pPr>
        <w:jc w:val="both"/>
        <w:rPr>
          <w:b/>
        </w:rPr>
      </w:pPr>
      <w:r>
        <w:rPr>
          <w:b/>
        </w:rPr>
        <w:t>Supplementary Note 2.</w:t>
      </w:r>
    </w:p>
    <w:p>
      <w:pPr>
        <w:spacing w:line="360" w:lineRule="auto"/>
        <w:jc w:val="both"/>
        <w:rPr>
          <w:b/>
          <w:bCs/>
        </w:rPr>
      </w:pPr>
      <w:r>
        <w:rPr>
          <w:b/>
          <w:bCs/>
        </w:rPr>
        <w:t>Theoretical insight for the larger grain size</w:t>
      </w:r>
    </w:p>
    <w:p>
      <w:pPr>
        <w:spacing w:line="360" w:lineRule="auto"/>
        <w:jc w:val="both"/>
      </w:pPr>
      <w:r>
        <w:rPr>
          <w:rFonts w:hint="eastAsia"/>
        </w:rPr>
        <w:t>At the second step, i.e. the conversion from layered PbI</w:t>
      </w:r>
      <w:r>
        <w:rPr>
          <w:rFonts w:hint="eastAsia"/>
          <w:vertAlign w:val="subscript"/>
        </w:rPr>
        <w:t>2</w:t>
      </w:r>
      <w:r>
        <w:rPr>
          <w:rFonts w:hint="eastAsia"/>
        </w:rPr>
        <w:t xml:space="preserve"> structure to perovskite, the Ac needs to be exchanged with the I</w:t>
      </w:r>
      <w:r>
        <w:rPr>
          <w:rFonts w:hint="eastAsia"/>
          <w:vertAlign w:val="superscript"/>
        </w:rPr>
        <w:t>-</w:t>
      </w:r>
      <w:r>
        <w:rPr>
          <w:rFonts w:hint="eastAsia"/>
        </w:rPr>
        <w:t>. We here evaluate the feasibility of the I</w:t>
      </w:r>
      <w:r>
        <w:rPr>
          <w:rFonts w:hint="eastAsia"/>
          <w:vertAlign w:val="superscript"/>
        </w:rPr>
        <w:t>-</w:t>
      </w:r>
      <w:r>
        <w:rPr>
          <w:rFonts w:hint="eastAsia"/>
        </w:rPr>
        <w:t xml:space="preserve"> substituting the Ac</w:t>
      </w:r>
      <w:r>
        <w:rPr>
          <w:rFonts w:hint="eastAsia"/>
          <w:vertAlign w:val="superscript"/>
        </w:rPr>
        <w:t>-</w:t>
      </w:r>
      <w:r>
        <w:rPr>
          <w:rFonts w:hint="eastAsia"/>
        </w:rPr>
        <w:t>. For that, we construct models (</w:t>
      </w:r>
      <w:r>
        <w:rPr>
          <w:rFonts w:hint="eastAsia"/>
          <w:b w:val="0"/>
          <w:bCs w:val="0"/>
          <w:color w:val="000000" w:themeColor="text1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Supplementary </w:t>
      </w:r>
      <w:r>
        <w:rPr>
          <w:rFonts w:hint="eastAsia"/>
          <w:b w:val="0"/>
          <w:bCs w:val="0"/>
        </w:rPr>
        <w:t>Fig</w:t>
      </w:r>
      <w:r>
        <w:rPr>
          <w:rFonts w:hint="eastAsia"/>
          <w:b w:val="0"/>
          <w:bCs w:val="0"/>
          <w:lang w:eastAsia="zh-CN"/>
        </w:rPr>
        <w:t>.</w:t>
      </w:r>
      <w:r>
        <w:rPr>
          <w:rFonts w:hint="eastAsia"/>
          <w:b w:val="0"/>
          <w:bCs w:val="0"/>
        </w:rPr>
        <w:t xml:space="preserve"> </w:t>
      </w:r>
      <w:r>
        <w:rPr>
          <w:rFonts w:hint="eastAsia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2</w:t>
      </w:r>
      <w:r>
        <w:rPr>
          <w:rFonts w:hint="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/>
        </w:rPr>
        <w:t>) and access the reaction energy of exchanging the Ac</w:t>
      </w:r>
      <w:r>
        <w:rPr>
          <w:rFonts w:hint="eastAsia"/>
          <w:vertAlign w:val="superscript"/>
        </w:rPr>
        <w:t>-</w:t>
      </w:r>
      <w:r>
        <w:rPr>
          <w:rFonts w:hint="eastAsia"/>
        </w:rPr>
        <w:t xml:space="preserve"> by HI or FAI by the following equations:</w:t>
      </w:r>
      <w:r>
        <w:t xml:space="preserve"> </w:t>
      </w:r>
    </w:p>
    <w:p>
      <w:pPr>
        <w:spacing w:line="360" w:lineRule="auto"/>
        <w:jc w:val="both"/>
      </w:pPr>
      <w:r>
        <w:t xml:space="preserve">             Pb</w:t>
      </w:r>
      <w:r>
        <w:rPr>
          <w:vertAlign w:val="subscript"/>
        </w:rPr>
        <w:t>8</w:t>
      </w:r>
      <w:r>
        <w:t>I</w:t>
      </w:r>
      <w:r>
        <w:rPr>
          <w:vertAlign w:val="subscript"/>
        </w:rPr>
        <w:t>14</w:t>
      </w:r>
      <w:r>
        <w:t>(CH</w:t>
      </w:r>
      <w:r>
        <w:rPr>
          <w:vertAlign w:val="subscript"/>
        </w:rPr>
        <w:t>3</w:t>
      </w:r>
      <w:r>
        <w:t>COO)</w:t>
      </w:r>
      <w:r>
        <w:rPr>
          <w:vertAlign w:val="subscript"/>
        </w:rPr>
        <w:t>2</w:t>
      </w:r>
      <w:r>
        <w:t xml:space="preserve"> + 2HI </w:t>
      </w:r>
      <w:r>
        <w:rPr/>
        <w:sym w:font="Wingdings" w:char="F0E0"/>
      </w:r>
      <w:r>
        <w:t xml:space="preserve"> Pb</w:t>
      </w:r>
      <w:r>
        <w:rPr>
          <w:vertAlign w:val="subscript"/>
        </w:rPr>
        <w:t>8</w:t>
      </w:r>
      <w:r>
        <w:t>I</w:t>
      </w:r>
      <w:r>
        <w:rPr>
          <w:vertAlign w:val="subscript"/>
        </w:rPr>
        <w:t>16</w:t>
      </w:r>
      <w:r>
        <w:t xml:space="preserve"> + 2CH</w:t>
      </w:r>
      <w:r>
        <w:rPr>
          <w:vertAlign w:val="subscript"/>
        </w:rPr>
        <w:t>3</w:t>
      </w:r>
      <w:r>
        <w:t>COOH              (3)</w:t>
      </w:r>
    </w:p>
    <w:p>
      <w:pPr>
        <w:spacing w:line="360" w:lineRule="auto"/>
        <w:jc w:val="both"/>
      </w:pPr>
      <w:r>
        <w:t xml:space="preserve">      Pb</w:t>
      </w:r>
      <w:r>
        <w:rPr>
          <w:vertAlign w:val="subscript"/>
        </w:rPr>
        <w:t>8</w:t>
      </w:r>
      <w:r>
        <w:t>I</w:t>
      </w:r>
      <w:r>
        <w:rPr>
          <w:vertAlign w:val="subscript"/>
        </w:rPr>
        <w:t>14</w:t>
      </w:r>
      <w:r>
        <w:t>(CH</w:t>
      </w:r>
      <w:r>
        <w:rPr>
          <w:vertAlign w:val="subscript"/>
        </w:rPr>
        <w:t>3</w:t>
      </w:r>
      <w:r>
        <w:t>COO)</w:t>
      </w:r>
      <w:r>
        <w:rPr>
          <w:vertAlign w:val="subscript"/>
        </w:rPr>
        <w:t>2</w:t>
      </w:r>
      <w:r>
        <w:t xml:space="preserve"> + 2FAI </w:t>
      </w:r>
      <w:r>
        <w:rPr/>
        <w:sym w:font="Wingdings" w:char="F0E0"/>
      </w:r>
      <w:r>
        <w:t xml:space="preserve"> Pb</w:t>
      </w:r>
      <w:r>
        <w:rPr>
          <w:vertAlign w:val="subscript"/>
        </w:rPr>
        <w:t>8</w:t>
      </w:r>
      <w:r>
        <w:t>I</w:t>
      </w:r>
      <w:r>
        <w:rPr>
          <w:vertAlign w:val="subscript"/>
        </w:rPr>
        <w:t>16</w:t>
      </w:r>
      <w:r>
        <w:t xml:space="preserve"> + 2CH</w:t>
      </w:r>
      <w:r>
        <w:rPr>
          <w:vertAlign w:val="subscript"/>
        </w:rPr>
        <w:t>3</w:t>
      </w:r>
      <w:r>
        <w:t>COOH_FA(deprotonated)     (4)</w:t>
      </w:r>
    </w:p>
    <w:p>
      <w:pPr>
        <w:spacing w:line="360" w:lineRule="auto"/>
        <w:jc w:val="both"/>
      </w:pPr>
      <w:r>
        <w:t xml:space="preserve">The calculated reaction energy is -2.70 eV and -1.09 eV for HI and FAI, respectively. Such negative formation energies indicate Ac </w:t>
      </w:r>
      <w:r>
        <w:rPr>
          <w:rFonts w:hint="eastAsia"/>
          <w:lang w:eastAsia="zh-CN"/>
        </w:rPr>
        <w:t>can be</w:t>
      </w:r>
      <w:r>
        <w:t xml:space="preserve"> easily exchanged from layers by I</w:t>
      </w:r>
      <w:r>
        <w:rPr>
          <w:vertAlign w:val="superscript"/>
        </w:rPr>
        <w:t>-</w:t>
      </w:r>
      <w:r>
        <w:t>.</w:t>
      </w:r>
    </w:p>
    <w:p>
      <w:pPr>
        <w:spacing w:line="360" w:lineRule="auto"/>
        <w:jc w:val="center"/>
        <w:rPr>
          <w:lang w:eastAsia="zh-CN"/>
        </w:rPr>
      </w:pPr>
      <w:r>
        <w:rPr>
          <w:lang w:eastAsia="zh-CN"/>
        </w:rPr>
        <w:br w:type="page"/>
      </w:r>
    </w:p>
    <w:p>
      <w:pPr>
        <w:spacing w:line="360" w:lineRule="auto"/>
        <w:jc w:val="center"/>
      </w:pPr>
      <w:r>
        <w:rPr>
          <w:lang w:eastAsia="zh-CN"/>
        </w:rPr>
        <w:drawing>
          <wp:inline distT="0" distB="0" distL="0" distR="0">
            <wp:extent cx="4124325" cy="3746500"/>
            <wp:effectExtent l="0" t="0" r="0" b="6350"/>
            <wp:docPr id="58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Picture 10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141691" cy="3762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both"/>
      </w:pPr>
      <w:r>
        <w:rPr>
          <w:rFonts w:hint="eastAsia"/>
          <w:b/>
          <w:bCs/>
          <w:color w:val="000000" w:themeColor="text1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Supplementary </w:t>
      </w:r>
      <w:r>
        <w:rPr>
          <w:b/>
          <w:bCs/>
          <w:color w:val="000000" w:themeColor="text1"/>
          <w:szCs w:val="24"/>
          <w14:textFill>
            <w14:solidFill>
              <w14:schemeClr w14:val="tx1"/>
            </w14:solidFill>
          </w14:textFill>
        </w:rPr>
        <w:t>Fig</w:t>
      </w:r>
      <w:r>
        <w:rPr>
          <w:rFonts w:hint="eastAsia"/>
          <w:b/>
          <w:bCs/>
          <w:color w:val="000000" w:themeColor="text1"/>
          <w:szCs w:val="24"/>
          <w:lang w:val="en-US" w:eastAsia="zh-CN"/>
          <w14:textFill>
            <w14:solidFill>
              <w14:schemeClr w14:val="tx1"/>
            </w14:solidFill>
          </w14:textFill>
        </w:rPr>
        <w:t>. 26</w:t>
      </w:r>
      <w:r>
        <w:rPr>
          <w:b/>
          <w:bCs/>
          <w:color w:val="000000" w:themeColor="text1"/>
          <w:szCs w:val="24"/>
          <w14:textFill>
            <w14:solidFill>
              <w14:schemeClr w14:val="tx1"/>
            </w14:solidFill>
          </w14:textFill>
        </w:rPr>
        <w:t>.</w:t>
      </w:r>
      <w:r>
        <w:t xml:space="preserve"> The scheme for the calculation of reaction energy for exchanging the Ac by (a) HI or (b) FAI. The pink, dark grey, red, blue, brown, light red </w:t>
      </w:r>
      <w:r>
        <w:rPr>
          <w:rFonts w:hint="eastAsia"/>
        </w:rPr>
        <w:t>colo</w:t>
      </w:r>
      <w:r>
        <w:t>u</w:t>
      </w:r>
      <w:r>
        <w:rPr>
          <w:rFonts w:hint="eastAsia"/>
        </w:rPr>
        <w:t>red spheres</w:t>
      </w:r>
      <w:r>
        <w:t xml:space="preserve"> indicate Cd, Pb, O, N, C, H, respectively.</w:t>
      </w:r>
    </w:p>
    <w:p>
      <w:pPr>
        <w:spacing w:line="360" w:lineRule="auto"/>
        <w:jc w:val="both"/>
      </w:pPr>
    </w:p>
    <w:p>
      <w:pPr>
        <w:spacing w:line="360" w:lineRule="auto"/>
        <w:jc w:val="both"/>
      </w:pPr>
      <w:r>
        <w:rPr>
          <w:rFonts w:hint="eastAsia"/>
        </w:rPr>
        <w:t>Because of the incorporation of Cd in the PbI</w:t>
      </w:r>
      <w:r>
        <w:rPr>
          <w:rFonts w:hint="eastAsia"/>
          <w:vertAlign w:val="subscript"/>
        </w:rPr>
        <w:t>2</w:t>
      </w:r>
      <w:r>
        <w:rPr>
          <w:rFonts w:hint="eastAsia"/>
        </w:rPr>
        <w:t xml:space="preserve"> layered structure, it has consequences on the transform from layered structure to perovskite. The transformation from a face-sharing structure in PbI</w:t>
      </w:r>
      <w:r>
        <w:rPr>
          <w:rFonts w:hint="eastAsia"/>
          <w:vertAlign w:val="subscript"/>
        </w:rPr>
        <w:t>2</w:t>
      </w:r>
      <w:r>
        <w:rPr>
          <w:rFonts w:hint="eastAsia"/>
        </w:rPr>
        <w:t xml:space="preserve"> to a corner-sharing structure in perovskite requires (1) the breaking the metal-I bond in MI</w:t>
      </w:r>
      <w:r>
        <w:rPr>
          <w:rFonts w:hint="eastAsia"/>
          <w:vertAlign w:val="subscript"/>
        </w:rPr>
        <w:t>2</w:t>
      </w:r>
      <w:r>
        <w:rPr>
          <w:rFonts w:hint="eastAsia"/>
        </w:rPr>
        <w:t xml:space="preserve"> layer and followed by formation of new M-I bonds in 3D perovskites. To get a picture of the strength of the involved bonds, we calculate the energy cost of removing one I in both 2D and 3D systems as:</w:t>
      </w:r>
    </w:p>
    <w:p>
      <w:pPr>
        <w:spacing w:line="360" w:lineRule="auto"/>
        <w:jc w:val="both"/>
      </w:pPr>
      <w:r>
        <w:t xml:space="preserve">             </w:t>
      </w:r>
      <w:r>
        <w:rPr>
          <w:i/>
          <w:iCs/>
        </w:rPr>
        <w:t>E</w:t>
      </w:r>
      <w:r>
        <w:rPr>
          <w:vertAlign w:val="subscript"/>
        </w:rPr>
        <w:t>eli</w:t>
      </w:r>
      <w:r>
        <w:t xml:space="preserve"> [ion] = </w:t>
      </w:r>
      <w:r>
        <w:rPr>
          <w:i/>
          <w:iCs/>
        </w:rPr>
        <w:t>E</w:t>
      </w:r>
      <w:r>
        <w:rPr>
          <w:vertAlign w:val="subscript"/>
        </w:rPr>
        <w:t>tot</w:t>
      </w:r>
      <w:r>
        <w:t xml:space="preserve"> [ion-vac] – </w:t>
      </w:r>
      <w:r>
        <w:rPr>
          <w:i/>
          <w:iCs/>
        </w:rPr>
        <w:t>E</w:t>
      </w:r>
      <w:r>
        <w:rPr>
          <w:vertAlign w:val="subscript"/>
        </w:rPr>
        <w:t>tot</w:t>
      </w:r>
      <w:r>
        <w:t xml:space="preserve"> [surface] + </w:t>
      </w:r>
      <w:r>
        <w:rPr>
          <w:i/>
          <w:iCs/>
        </w:rPr>
        <w:t>μ</w:t>
      </w:r>
      <w:r>
        <w:t>[ion] + q</w:t>
      </w:r>
      <w:r>
        <w:rPr>
          <w:i/>
          <w:iCs/>
        </w:rPr>
        <w:t>E</w:t>
      </w:r>
      <w:r>
        <w:rPr>
          <w:vertAlign w:val="subscript"/>
        </w:rPr>
        <w:t>Fermi</w:t>
      </w:r>
      <w:r>
        <w:t xml:space="preserve">        (5)</w:t>
      </w:r>
    </w:p>
    <w:p>
      <w:pPr>
        <w:spacing w:line="360" w:lineRule="auto"/>
        <w:jc w:val="both"/>
      </w:pPr>
      <w:r>
        <w:t xml:space="preserve">The </w:t>
      </w:r>
      <w:r>
        <w:rPr>
          <w:i/>
          <w:iCs/>
        </w:rPr>
        <w:t>E</w:t>
      </w:r>
      <w:r>
        <w:rPr>
          <w:vertAlign w:val="subscript"/>
        </w:rPr>
        <w:t>Fermi</w:t>
      </w:r>
      <w:r>
        <w:t xml:space="preserve"> and</w:t>
      </w:r>
      <w:r>
        <w:rPr>
          <w:i/>
          <w:iCs/>
        </w:rPr>
        <w:t xml:space="preserve"> μ</w:t>
      </w:r>
      <w:r>
        <w:t xml:space="preserve">[ion] is assumed to be the same. We define </w:t>
      </w:r>
      <w:r>
        <w:rPr>
          <w:rFonts w:hint="eastAsia"/>
          <w:lang w:eastAsia="zh-CN"/>
        </w:rPr>
        <w:t xml:space="preserve">the </w:t>
      </w:r>
      <w:r>
        <w:rPr>
          <w:rFonts w:hint="eastAsia"/>
        </w:rPr>
        <w:t xml:space="preserve">difference in the energy cost </w:t>
      </w:r>
      <w:r>
        <w:t>due to the introduction of Cd, as:</w:t>
      </w:r>
    </w:p>
    <w:p>
      <w:pPr>
        <w:spacing w:line="360" w:lineRule="auto"/>
        <w:jc w:val="both"/>
      </w:pPr>
      <w:r>
        <w:t xml:space="preserve">                Δ</w:t>
      </w:r>
      <w:r>
        <w:rPr>
          <w:i/>
          <w:iCs/>
        </w:rPr>
        <w:t>E</w:t>
      </w:r>
      <w:r>
        <w:rPr>
          <w:vertAlign w:val="subscript"/>
        </w:rPr>
        <w:t>eli</w:t>
      </w:r>
      <w:r>
        <w:t xml:space="preserve"> = </w:t>
      </w:r>
      <w:r>
        <w:rPr>
          <w:i/>
          <w:iCs/>
        </w:rPr>
        <w:t>E</w:t>
      </w:r>
      <w:r>
        <w:rPr>
          <w:vertAlign w:val="subscript"/>
        </w:rPr>
        <w:t>eli</w:t>
      </w:r>
      <w:r>
        <w:t xml:space="preserve"> [ion] [Cd] – </w:t>
      </w:r>
      <w:r>
        <w:rPr>
          <w:i/>
          <w:iCs/>
        </w:rPr>
        <w:t>E</w:t>
      </w:r>
      <w:r>
        <w:rPr>
          <w:vertAlign w:val="subscript"/>
        </w:rPr>
        <w:t>eli</w:t>
      </w:r>
      <w:r>
        <w:t xml:space="preserve"> [ion]                         (6)</w:t>
      </w:r>
    </w:p>
    <w:p>
      <w:pPr>
        <w:spacing w:line="360" w:lineRule="auto"/>
        <w:jc w:val="both"/>
        <w:rPr>
          <w:lang w:eastAsia="zh-CN"/>
        </w:rPr>
      </w:pPr>
      <w:r>
        <w:rPr>
          <w:rFonts w:hint="eastAsia"/>
        </w:rPr>
        <w:t>For the PbI</w:t>
      </w:r>
      <w:r>
        <w:rPr>
          <w:rFonts w:hint="eastAsia"/>
          <w:vertAlign w:val="subscript"/>
        </w:rPr>
        <w:t>2</w:t>
      </w:r>
      <w:r>
        <w:rPr>
          <w:rFonts w:hint="eastAsia"/>
        </w:rPr>
        <w:t xml:space="preserve">, </w:t>
      </w:r>
      <w:r>
        <w:t>we constructed a one-layer PbI</w:t>
      </w:r>
      <w:r>
        <w:rPr>
          <w:vertAlign w:val="subscript"/>
        </w:rPr>
        <w:t>2</w:t>
      </w:r>
      <w:r>
        <w:t xml:space="preserve"> model to evaluate the defect formation energy </w:t>
      </w:r>
      <w:r>
        <w:rPr>
          <w:rFonts w:hint="eastAsia"/>
        </w:rPr>
        <w:t>(</w:t>
      </w:r>
      <w:r>
        <w:rPr>
          <w:rFonts w:hint="eastAsia"/>
          <w:b w:val="0"/>
          <w:bCs w:val="0"/>
          <w:color w:val="000000" w:themeColor="text1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Supplementary </w:t>
      </w:r>
      <w:r>
        <w:rPr>
          <w:rFonts w:hint="eastAsia"/>
          <w:b w:val="0"/>
          <w:bCs w:val="0"/>
        </w:rPr>
        <w:t>Fig</w:t>
      </w:r>
      <w:r>
        <w:rPr>
          <w:rFonts w:hint="eastAsia"/>
          <w:b w:val="0"/>
          <w:bCs w:val="0"/>
          <w:lang w:eastAsia="zh-CN"/>
        </w:rPr>
        <w:t>.</w:t>
      </w:r>
      <w:r>
        <w:rPr>
          <w:rFonts w:hint="eastAsia"/>
          <w:b w:val="0"/>
          <w:bCs w:val="0"/>
        </w:rPr>
        <w:t xml:space="preserve"> </w:t>
      </w:r>
      <w:r>
        <w:rPr>
          <w:rFonts w:hint="eastAsia"/>
          <w:b w:val="0"/>
          <w:bCs w:val="0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7</w:t>
      </w:r>
      <w:r>
        <w:rPr>
          <w:rFonts w:hint="eastAsia"/>
        </w:rPr>
        <w:t>)</w:t>
      </w:r>
      <w:r>
        <w:t>. T</w:t>
      </w:r>
      <w:r>
        <w:rPr>
          <w:rFonts w:hint="eastAsia"/>
        </w:rPr>
        <w:t>he energy cost increase with the incorporation of Cd (0.02 eV/formula unit), indicating a harder removal of the I</w:t>
      </w:r>
      <w:r>
        <w:rPr>
          <w:rFonts w:hint="eastAsia"/>
          <w:vertAlign w:val="superscript"/>
        </w:rPr>
        <w:t>-</w:t>
      </w:r>
      <w:r>
        <w:rPr>
          <w:vertAlign w:val="superscript"/>
        </w:rPr>
        <w:t xml:space="preserve"> </w:t>
      </w:r>
      <w:r>
        <w:rPr>
          <w:rFonts w:hint="eastAsia"/>
        </w:rPr>
        <w:t>(</w:t>
      </w:r>
      <w:r>
        <w:rPr>
          <w:rFonts w:hint="eastAsia"/>
          <w:b w:val="0"/>
          <w:bCs w:val="0"/>
          <w:color w:val="000000" w:themeColor="text1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Supplementary </w:t>
      </w:r>
      <w:r>
        <w:rPr>
          <w:rFonts w:hint="eastAsia"/>
          <w:b w:val="0"/>
          <w:bCs w:val="0"/>
        </w:rPr>
        <w:t>Fig</w:t>
      </w:r>
      <w:r>
        <w:rPr>
          <w:rFonts w:hint="eastAsia"/>
          <w:b w:val="0"/>
          <w:bCs w:val="0"/>
          <w:lang w:eastAsia="zh-CN"/>
        </w:rPr>
        <w:t>.</w:t>
      </w:r>
      <w:r>
        <w:rPr>
          <w:rFonts w:hint="eastAsia"/>
          <w:b w:val="0"/>
          <w:bCs w:val="0"/>
        </w:rPr>
        <w:t xml:space="preserve"> </w:t>
      </w:r>
      <w:r>
        <w:rPr>
          <w:rFonts w:hint="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28</w:t>
      </w:r>
      <w:r>
        <w:rPr>
          <w:rFonts w:hint="eastAsia"/>
        </w:rPr>
        <w:t>). This indicates the bond in PbI</w:t>
      </w:r>
      <w:r>
        <w:rPr>
          <w:rFonts w:hint="eastAsia"/>
          <w:vertAlign w:val="subscript"/>
        </w:rPr>
        <w:t>2</w:t>
      </w:r>
      <w:r>
        <w:rPr>
          <w:rFonts w:hint="eastAsia"/>
        </w:rPr>
        <w:t xml:space="preserve"> becoming more difficult to break, leading to a higher activation barrier of the PbI</w:t>
      </w:r>
      <w:r>
        <w:rPr>
          <w:rFonts w:hint="eastAsia"/>
          <w:vertAlign w:val="subscript"/>
        </w:rPr>
        <w:t>2</w:t>
      </w:r>
      <w:r>
        <w:rPr>
          <w:rFonts w:hint="eastAsia"/>
        </w:rPr>
        <w:t xml:space="preserve"> to perovskite transformation, thus slowing down the corresponding reaction process. </w:t>
      </w:r>
      <w:r>
        <w:t>The slab models to evaluate the defect formation energy</w:t>
      </w:r>
      <w:r>
        <w:rPr>
          <w:rFonts w:hint="eastAsia"/>
        </w:rPr>
        <w:t xml:space="preserve"> </w:t>
      </w:r>
      <w:r>
        <w:t xml:space="preserve">of perovskites are shown in </w:t>
      </w:r>
      <w:r>
        <w:rPr>
          <w:rFonts w:hint="eastAsia"/>
          <w:b w:val="0"/>
          <w:bCs w:val="0"/>
          <w:color w:val="000000" w:themeColor="text1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Supplementary </w:t>
      </w:r>
      <w:r>
        <w:rPr>
          <w:b w:val="0"/>
          <w:bCs w:val="0"/>
        </w:rPr>
        <w:t xml:space="preserve">Fig. </w:t>
      </w:r>
      <w:r>
        <w:rPr>
          <w:rFonts w:hint="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29</w:t>
      </w:r>
      <w:r>
        <w:t xml:space="preserve">. </w:t>
      </w:r>
      <w:r>
        <w:rPr>
          <w:rFonts w:hint="eastAsia"/>
        </w:rPr>
        <w:t>In contrast, the energy cost in the perovskite is decreased (-0.03 eV/formula unit), which indicates that the Cd-I bond in the perovskite is harder to form and potentially slowing down the crystallization process</w:t>
      </w:r>
      <w:r>
        <w:t xml:space="preserve"> </w:t>
      </w:r>
      <w:r>
        <w:rPr>
          <w:rFonts w:hint="eastAsia"/>
        </w:rPr>
        <w:t>(</w:t>
      </w:r>
      <w:r>
        <w:rPr>
          <w:rFonts w:hint="eastAsia"/>
          <w:b w:val="0"/>
          <w:bCs w:val="0"/>
          <w:color w:val="000000" w:themeColor="text1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Supplementary </w:t>
      </w:r>
      <w:r>
        <w:rPr>
          <w:rFonts w:hint="eastAsia"/>
          <w:b w:val="0"/>
          <w:bCs w:val="0"/>
        </w:rPr>
        <w:t>Fig</w:t>
      </w:r>
      <w:r>
        <w:rPr>
          <w:rFonts w:hint="eastAsia"/>
          <w:b w:val="0"/>
          <w:bCs w:val="0"/>
          <w:lang w:eastAsia="zh-CN"/>
        </w:rPr>
        <w:t>.</w:t>
      </w:r>
      <w:r>
        <w:rPr>
          <w:rFonts w:hint="eastAsia"/>
          <w:b w:val="0"/>
          <w:bCs w:val="0"/>
        </w:rPr>
        <w:t xml:space="preserve"> </w:t>
      </w:r>
      <w:r>
        <w:rPr>
          <w:rFonts w:hint="eastAsia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3</w:t>
      </w:r>
      <w:r>
        <w:rPr>
          <w:rFonts w:hint="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0</w:t>
      </w:r>
      <w:r>
        <w:rPr>
          <w:rFonts w:hint="eastAsia"/>
        </w:rPr>
        <w:t>). Our calculation results also show that the introduction of Cd can greatly reduce the defects of FAPbI</w:t>
      </w:r>
      <w:r>
        <w:rPr>
          <w:rFonts w:hint="eastAsia"/>
          <w:vertAlign w:val="subscript"/>
        </w:rPr>
        <w:t>3</w:t>
      </w:r>
      <w:r>
        <w:rPr>
          <w:rFonts w:hint="eastAsia"/>
        </w:rPr>
        <w:t xml:space="preserve"> film.</w:t>
      </w:r>
    </w:p>
    <w:p>
      <w:pPr>
        <w:spacing w:line="360" w:lineRule="auto"/>
        <w:jc w:val="both"/>
      </w:pPr>
    </w:p>
    <w:p>
      <w:pPr>
        <w:spacing w:line="360" w:lineRule="auto"/>
        <w:jc w:val="center"/>
        <w:rPr>
          <w:lang w:eastAsia="zh-CN"/>
        </w:rPr>
      </w:pPr>
      <w:r>
        <w:rPr>
          <w:lang w:eastAsia="zh-CN"/>
        </w:rPr>
        <w:br w:type="page"/>
      </w:r>
    </w:p>
    <w:p>
      <w:pPr>
        <w:spacing w:line="360" w:lineRule="auto"/>
        <w:jc w:val="center"/>
        <w:rPr>
          <w:vertAlign w:val="subscript"/>
        </w:rPr>
      </w:pPr>
      <w:r>
        <w:rPr>
          <w:lang w:eastAsia="zh-CN"/>
        </w:rPr>
        <w:drawing>
          <wp:inline distT="0" distB="0" distL="0" distR="0">
            <wp:extent cx="4394200" cy="3470910"/>
            <wp:effectExtent l="0" t="0" r="6350" b="0"/>
            <wp:docPr id="59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Picture 12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409099" cy="3482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vertAlign w:val="subscript"/>
        </w:rPr>
        <w:t>-</w:t>
      </w:r>
    </w:p>
    <w:p>
      <w:pPr>
        <w:spacing w:line="360" w:lineRule="auto"/>
        <w:jc w:val="both"/>
        <w:rPr>
          <w:rFonts w:hint="eastAsia"/>
        </w:rPr>
      </w:pPr>
      <w:r>
        <w:rPr>
          <w:rFonts w:hint="eastAsia"/>
          <w:b/>
          <w:bCs/>
          <w:color w:val="000000" w:themeColor="text1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Supplementary </w:t>
      </w:r>
      <w:r>
        <w:rPr>
          <w:b/>
          <w:bCs/>
          <w:color w:val="000000" w:themeColor="text1"/>
          <w:szCs w:val="24"/>
          <w14:textFill>
            <w14:solidFill>
              <w14:schemeClr w14:val="tx1"/>
            </w14:solidFill>
          </w14:textFill>
        </w:rPr>
        <w:t>Fig</w:t>
      </w:r>
      <w:r>
        <w:rPr>
          <w:rFonts w:hint="eastAsia"/>
          <w:b/>
          <w:bCs/>
          <w:color w:val="000000" w:themeColor="text1"/>
          <w:szCs w:val="24"/>
          <w:lang w:val="en-US" w:eastAsia="zh-CN"/>
          <w14:textFill>
            <w14:solidFill>
              <w14:schemeClr w14:val="tx1"/>
            </w14:solidFill>
          </w14:textFill>
        </w:rPr>
        <w:t>. 27</w:t>
      </w:r>
      <w:r>
        <w:rPr>
          <w:b/>
          <w:bCs/>
          <w:color w:val="000000" w:themeColor="text1"/>
          <w:szCs w:val="24"/>
          <w14:textFill>
            <w14:solidFill>
              <w14:schemeClr w14:val="tx1"/>
            </w14:solidFill>
          </w14:textFill>
        </w:rPr>
        <w:t>.</w:t>
      </w:r>
      <w:r>
        <w:t xml:space="preserve"> </w:t>
      </w:r>
      <w:r>
        <w:rPr>
          <w:rFonts w:hint="eastAsia"/>
        </w:rPr>
        <w:t>The models for calculating the defect formation energies of a I vacancy in the PbI</w:t>
      </w:r>
      <w:r>
        <w:rPr>
          <w:rFonts w:hint="eastAsia"/>
          <w:vertAlign w:val="subscript"/>
        </w:rPr>
        <w:t>2</w:t>
      </w:r>
      <w:r>
        <w:rPr>
          <w:rFonts w:hint="eastAsia"/>
        </w:rPr>
        <w:t xml:space="preserve"> layer with and without the incorporation of Cd. The pink and dark grey colors indicate Cd and Pb, respectively.</w:t>
      </w:r>
    </w:p>
    <w:p>
      <w:pPr>
        <w:spacing w:line="360" w:lineRule="auto"/>
        <w:jc w:val="both"/>
        <w:rPr>
          <w:rFonts w:hint="eastAsia"/>
        </w:rPr>
      </w:pPr>
      <w:r>
        <w:rPr>
          <w:rFonts w:hint="eastAsia"/>
        </w:rPr>
        <w:br w:type="page"/>
      </w:r>
    </w:p>
    <w:p>
      <w:pPr>
        <w:spacing w:line="360" w:lineRule="auto"/>
        <w:jc w:val="both"/>
        <w:rPr>
          <w:rFonts w:hint="eastAsia"/>
        </w:rPr>
      </w:pPr>
    </w:p>
    <w:p>
      <w:pPr>
        <w:spacing w:line="360" w:lineRule="auto"/>
        <w:jc w:val="both"/>
      </w:pPr>
    </w:p>
    <w:p>
      <w:pPr>
        <w:spacing w:line="360" w:lineRule="auto"/>
        <w:jc w:val="center"/>
      </w:pPr>
      <w:r>
        <w:rPr>
          <w:lang w:eastAsia="zh-CN"/>
        </w:rPr>
        <w:drawing>
          <wp:inline distT="0" distB="0" distL="0" distR="0">
            <wp:extent cx="3395345" cy="2585720"/>
            <wp:effectExtent l="0" t="0" r="0" b="5080"/>
            <wp:docPr id="60" name="Picture 36" descr="Chart, ba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Picture 36" descr="Chart, bar chart&#10;&#10;Description automatically generated"/>
                    <pic:cNvPicPr>
                      <a:picLocks noChangeAspect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07747" cy="25953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both"/>
      </w:pPr>
      <w:r>
        <w:rPr>
          <w:rFonts w:hint="eastAsia"/>
          <w:b/>
          <w:bCs/>
          <w:color w:val="000000" w:themeColor="text1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Supplementary </w:t>
      </w:r>
      <w:r>
        <w:rPr>
          <w:b/>
          <w:bCs/>
          <w:color w:val="000000" w:themeColor="text1"/>
          <w:szCs w:val="24"/>
          <w14:textFill>
            <w14:solidFill>
              <w14:schemeClr w14:val="tx1"/>
            </w14:solidFill>
          </w14:textFill>
        </w:rPr>
        <w:t>Fig</w:t>
      </w:r>
      <w:r>
        <w:rPr>
          <w:rFonts w:hint="eastAsia"/>
          <w:b/>
          <w:bCs/>
          <w:color w:val="000000" w:themeColor="text1"/>
          <w:szCs w:val="24"/>
          <w:lang w:val="en-US" w:eastAsia="zh-CN"/>
          <w14:textFill>
            <w14:solidFill>
              <w14:schemeClr w14:val="tx1"/>
            </w14:solidFill>
          </w14:textFill>
        </w:rPr>
        <w:t>. 28</w:t>
      </w:r>
      <w:r>
        <w:rPr>
          <w:b/>
          <w:bCs/>
          <w:color w:val="000000" w:themeColor="text1"/>
          <w:szCs w:val="24"/>
          <w14:textFill>
            <w14:solidFill>
              <w14:schemeClr w14:val="tx1"/>
            </w14:solidFill>
          </w14:textFill>
        </w:rPr>
        <w:t>.</w:t>
      </w:r>
      <w:r>
        <w:t xml:space="preserve"> </w:t>
      </w:r>
      <w:r>
        <w:rPr>
          <w:rFonts w:hint="eastAsia"/>
        </w:rPr>
        <w:t>Defect formation energy of a I vacancy in PbI</w:t>
      </w:r>
      <w:r>
        <w:rPr>
          <w:rFonts w:hint="eastAsia"/>
          <w:vertAlign w:val="subscript"/>
        </w:rPr>
        <w:t>2</w:t>
      </w:r>
      <w:r>
        <w:rPr>
          <w:rFonts w:hint="eastAsia"/>
        </w:rPr>
        <w:t xml:space="preserve"> layer with and without the incorporation of Cd. </w:t>
      </w:r>
      <w:r>
        <w:t>The d</w:t>
      </w:r>
      <w:r>
        <w:rPr>
          <w:rFonts w:hint="eastAsia"/>
        </w:rPr>
        <w:t>efect formation energy</w:t>
      </w:r>
      <w:r>
        <w:t xml:space="preserve"> of the model are normalized to each PbI</w:t>
      </w:r>
      <w:r>
        <w:rPr>
          <w:vertAlign w:val="subscript"/>
        </w:rPr>
        <w:t>2</w:t>
      </w:r>
      <w:r>
        <w:t xml:space="preserve"> (including part of CdI</w:t>
      </w:r>
      <w:r>
        <w:rPr>
          <w:vertAlign w:val="subscript"/>
        </w:rPr>
        <w:t>2</w:t>
      </w:r>
      <w:r>
        <w:t xml:space="preserve"> in the substituted model). </w:t>
      </w:r>
      <w:r>
        <w:rPr>
          <w:rFonts w:hint="eastAsia"/>
        </w:rPr>
        <w:t>The value is normalized to per PbI</w:t>
      </w:r>
      <w:r>
        <w:rPr>
          <w:rFonts w:hint="eastAsia"/>
          <w:vertAlign w:val="subscript"/>
        </w:rPr>
        <w:t>2</w:t>
      </w:r>
      <w:r>
        <w:rPr>
          <w:rFonts w:hint="eastAsia"/>
        </w:rPr>
        <w:t xml:space="preserve"> unit as 0.02 eV/formula unit.</w:t>
      </w:r>
    </w:p>
    <w:p>
      <w:pPr>
        <w:spacing w:line="360" w:lineRule="auto"/>
        <w:jc w:val="both"/>
      </w:pPr>
    </w:p>
    <w:p>
      <w:pPr>
        <w:spacing w:line="360" w:lineRule="auto"/>
        <w:jc w:val="center"/>
        <w:rPr>
          <w:lang w:eastAsia="zh-CN"/>
        </w:rPr>
      </w:pPr>
      <w:r>
        <w:rPr>
          <w:lang w:eastAsia="zh-CN"/>
        </w:rPr>
        <w:br w:type="page"/>
      </w:r>
    </w:p>
    <w:p>
      <w:pPr>
        <w:spacing w:line="360" w:lineRule="auto"/>
        <w:jc w:val="center"/>
      </w:pPr>
      <w:r>
        <w:rPr>
          <w:lang w:eastAsia="zh-CN"/>
        </w:rPr>
        <w:drawing>
          <wp:inline distT="0" distB="0" distL="0" distR="0">
            <wp:extent cx="4577715" cy="4817110"/>
            <wp:effectExtent l="0" t="0" r="0" b="2540"/>
            <wp:docPr id="6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Picture 11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86153" cy="48257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both"/>
      </w:pPr>
      <w:r>
        <w:rPr>
          <w:rFonts w:hint="eastAsia"/>
          <w:b/>
          <w:bCs/>
          <w:color w:val="000000" w:themeColor="text1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Supplementary </w:t>
      </w:r>
      <w:r>
        <w:rPr>
          <w:b/>
          <w:bCs/>
          <w:color w:val="000000" w:themeColor="text1"/>
          <w:szCs w:val="24"/>
          <w14:textFill>
            <w14:solidFill>
              <w14:schemeClr w14:val="tx1"/>
            </w14:solidFill>
          </w14:textFill>
        </w:rPr>
        <w:t>Fig</w:t>
      </w:r>
      <w:r>
        <w:rPr>
          <w:rFonts w:hint="eastAsia"/>
          <w:b/>
          <w:bCs/>
          <w:color w:val="000000" w:themeColor="text1"/>
          <w:szCs w:val="24"/>
          <w:lang w:val="en-US" w:eastAsia="zh-CN"/>
          <w14:textFill>
            <w14:solidFill>
              <w14:schemeClr w14:val="tx1"/>
            </w14:solidFill>
          </w14:textFill>
        </w:rPr>
        <w:t>. 29</w:t>
      </w:r>
      <w:r>
        <w:rPr>
          <w:b/>
          <w:bCs/>
          <w:color w:val="000000" w:themeColor="text1"/>
          <w:szCs w:val="24"/>
          <w14:textFill>
            <w14:solidFill>
              <w14:schemeClr w14:val="tx1"/>
            </w14:solidFill>
          </w14:textFill>
        </w:rPr>
        <w:t>.</w:t>
      </w:r>
      <w:r>
        <w:t xml:space="preserve"> The models for calculating the defect formation energy of FAPbI</w:t>
      </w:r>
      <w:r>
        <w:rPr>
          <w:vertAlign w:val="subscript"/>
        </w:rPr>
        <w:t>3</w:t>
      </w:r>
      <w:r>
        <w:t xml:space="preserve"> with the incorporation of Cd on the FAI- and PbI</w:t>
      </w:r>
      <w:r>
        <w:rPr>
          <w:vertAlign w:val="subscript"/>
        </w:rPr>
        <w:t>2</w:t>
      </w:r>
      <w:r>
        <w:t>-termination, respectively.</w:t>
      </w:r>
    </w:p>
    <w:p>
      <w:pPr>
        <w:spacing w:line="360" w:lineRule="auto"/>
        <w:jc w:val="both"/>
        <w:rPr>
          <w:lang w:eastAsia="zh-CN"/>
        </w:rPr>
      </w:pPr>
      <w:r>
        <w:rPr>
          <w:lang w:eastAsia="zh-CN"/>
        </w:rPr>
        <w:br w:type="page"/>
      </w:r>
    </w:p>
    <w:p>
      <w:pPr>
        <w:spacing w:line="360" w:lineRule="auto"/>
        <w:jc w:val="center"/>
      </w:pPr>
      <w:r>
        <w:rPr>
          <w:lang w:eastAsia="zh-CN"/>
        </w:rPr>
        <w:drawing>
          <wp:inline distT="0" distB="0" distL="0" distR="0">
            <wp:extent cx="5187950" cy="2099310"/>
            <wp:effectExtent l="0" t="0" r="0" b="0"/>
            <wp:docPr id="62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Picture 14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8683" cy="213228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both"/>
      </w:pPr>
      <w:r>
        <w:rPr>
          <w:rFonts w:hint="eastAsia"/>
          <w:b/>
          <w:bCs/>
          <w:color w:val="000000" w:themeColor="text1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Supplementary </w:t>
      </w:r>
      <w:r>
        <w:rPr>
          <w:b/>
          <w:bCs/>
          <w:color w:val="000000" w:themeColor="text1"/>
          <w:szCs w:val="24"/>
          <w14:textFill>
            <w14:solidFill>
              <w14:schemeClr w14:val="tx1"/>
            </w14:solidFill>
          </w14:textFill>
        </w:rPr>
        <w:t>Fig</w:t>
      </w:r>
      <w:r>
        <w:rPr>
          <w:rFonts w:hint="eastAsia"/>
          <w:b/>
          <w:bCs/>
          <w:color w:val="000000" w:themeColor="text1"/>
          <w:szCs w:val="24"/>
          <w:lang w:val="en-US" w:eastAsia="zh-CN"/>
          <w14:textFill>
            <w14:solidFill>
              <w14:schemeClr w14:val="tx1"/>
            </w14:solidFill>
          </w14:textFill>
        </w:rPr>
        <w:t>. 30</w:t>
      </w:r>
      <w:r>
        <w:rPr>
          <w:b/>
          <w:bCs/>
          <w:color w:val="000000" w:themeColor="text1"/>
          <w:szCs w:val="24"/>
          <w14:textFill>
            <w14:solidFill>
              <w14:schemeClr w14:val="tx1"/>
            </w14:solidFill>
          </w14:textFill>
        </w:rPr>
        <w:t>.</w:t>
      </w:r>
      <w:r>
        <w:t xml:space="preserve"> Defect formation energy of FAPbI</w:t>
      </w:r>
      <w:r>
        <w:rPr>
          <w:vertAlign w:val="subscript"/>
        </w:rPr>
        <w:t>3</w:t>
      </w:r>
      <w:r>
        <w:t xml:space="preserve"> with the incorporation of Cd on the FAI- and PbI</w:t>
      </w:r>
      <w:r>
        <w:rPr>
          <w:vertAlign w:val="subscript"/>
        </w:rPr>
        <w:t>2</w:t>
      </w:r>
      <w:r>
        <w:t>-termination, respectively. The maximum value -0.68 eV from FAI-termination is the largest difference found in the two systems and this value is normalized to -0.03 eV/formula unit. The d</w:t>
      </w:r>
      <w:r>
        <w:rPr>
          <w:rFonts w:hint="eastAsia"/>
        </w:rPr>
        <w:t>efect formation energy</w:t>
      </w:r>
      <w:r>
        <w:t xml:space="preserve"> of the model are normalized to each AMX</w:t>
      </w:r>
      <w:r>
        <w:rPr>
          <w:vertAlign w:val="subscript"/>
        </w:rPr>
        <w:t>3</w:t>
      </w:r>
      <w:r>
        <w:t xml:space="preserve"> (A = FA; M = Pb, Cd; X = I), and there are 20 AMX</w:t>
      </w:r>
      <w:r>
        <w:rPr>
          <w:vertAlign w:val="subscript"/>
        </w:rPr>
        <w:t>3</w:t>
      </w:r>
      <w:r>
        <w:t xml:space="preserve"> unit included in our model.</w:t>
      </w:r>
    </w:p>
    <w:p>
      <w:pPr>
        <w:jc w:val="both"/>
        <w:rPr>
          <w:b/>
        </w:rPr>
      </w:pPr>
    </w:p>
    <w:p>
      <w:pPr>
        <w:jc w:val="both"/>
        <w:rPr>
          <w:b/>
        </w:rPr>
      </w:pPr>
    </w:p>
    <w:p>
      <w:pPr>
        <w:jc w:val="both"/>
        <w:rPr>
          <w:b/>
        </w:rPr>
      </w:pPr>
      <w:r>
        <w:rPr>
          <w:b/>
        </w:rPr>
        <w:br w:type="page"/>
      </w:r>
    </w:p>
    <w:p>
      <w:pPr>
        <w:spacing w:line="360" w:lineRule="auto"/>
        <w:rPr>
          <w:b/>
        </w:rPr>
      </w:pPr>
      <w:r>
        <w:rPr>
          <w:b/>
        </w:rPr>
        <w:t>References</w:t>
      </w:r>
    </w:p>
    <w:p>
      <w:pPr>
        <w:spacing w:line="360" w:lineRule="auto"/>
        <w:jc w:val="both"/>
      </w:pPr>
      <w:r>
        <w:rPr>
          <w:lang w:eastAsia="zh-CN"/>
        </w:rPr>
        <w:t>1</w:t>
      </w:r>
      <w:r>
        <w:t>.</w:t>
      </w:r>
      <w:r>
        <w:tab/>
      </w:r>
      <w:r>
        <w:t xml:space="preserve">Kumar, M. H. </w:t>
      </w:r>
      <w:r>
        <w:rPr>
          <w:rFonts w:hint="eastAsia" w:eastAsia="宋体"/>
          <w:i/>
          <w:iCs/>
          <w:kern w:val="2"/>
          <w:szCs w:val="24"/>
          <w:lang w:val="en-US" w:eastAsia="zh-CN" w:bidi="ar"/>
        </w:rPr>
        <w:t>et al.</w:t>
      </w:r>
      <w:r>
        <w:rPr>
          <w:rFonts w:hint="eastAsia" w:eastAsia="宋体"/>
          <w:kern w:val="2"/>
          <w:szCs w:val="24"/>
          <w:lang w:val="en-US" w:eastAsia="zh-CN" w:bidi="ar"/>
        </w:rPr>
        <w:t xml:space="preserve"> </w:t>
      </w:r>
      <w:r>
        <w:t>Flexible, low-temperature, solution processed ZnO-based perovskite solid state solar cells. </w:t>
      </w:r>
      <w:r>
        <w:rPr>
          <w:i/>
          <w:iCs/>
        </w:rPr>
        <w:t>Chem. Commun</w:t>
      </w:r>
      <w:r>
        <w:t>. </w:t>
      </w:r>
      <w:r>
        <w:rPr>
          <w:b/>
          <w:bCs/>
        </w:rPr>
        <w:t>49</w:t>
      </w:r>
      <w:r>
        <w:t>, 11089-11091 (2013).</w:t>
      </w:r>
    </w:p>
    <w:p>
      <w:pPr>
        <w:spacing w:line="360" w:lineRule="auto"/>
        <w:jc w:val="both"/>
      </w:pPr>
      <w:r>
        <w:t>2.</w:t>
      </w:r>
      <w:r>
        <w:tab/>
      </w:r>
      <w:r>
        <w:t>Liu</w:t>
      </w:r>
      <w:r>
        <w:rPr>
          <w:rFonts w:hint="eastAsia"/>
          <w:lang w:val="en-US" w:eastAsia="zh-CN"/>
        </w:rPr>
        <w:t xml:space="preserve">, </w:t>
      </w:r>
      <w:r>
        <w:t xml:space="preserve">D. Kelly, T. L. Perovskite solar cells with a planar heterojunction structure prepared using room-temperature solution processing techniques. </w:t>
      </w:r>
      <w:r>
        <w:rPr>
          <w:i/>
          <w:iCs/>
        </w:rPr>
        <w:t>Nature Photon</w:t>
      </w:r>
      <w:r>
        <w:t xml:space="preserve">. </w:t>
      </w:r>
      <w:r>
        <w:rPr>
          <w:b/>
          <w:bCs/>
        </w:rPr>
        <w:t>8</w:t>
      </w:r>
      <w:r>
        <w:t>, 133-138 (2013).</w:t>
      </w:r>
    </w:p>
    <w:p>
      <w:pPr>
        <w:spacing w:line="360" w:lineRule="auto"/>
        <w:jc w:val="both"/>
      </w:pPr>
      <w:r>
        <w:t>3.</w:t>
      </w:r>
      <w:r>
        <w:rPr>
          <w:color w:val="0000FF"/>
        </w:rPr>
        <w:tab/>
      </w:r>
      <w:r>
        <w:t xml:space="preserve">Docampo, P. </w:t>
      </w:r>
      <w:r>
        <w:rPr>
          <w:rFonts w:hint="eastAsia" w:eastAsia="宋体"/>
          <w:i/>
          <w:iCs/>
          <w:kern w:val="2"/>
          <w:szCs w:val="24"/>
          <w:lang w:val="en-US" w:eastAsia="zh-CN" w:bidi="ar"/>
        </w:rPr>
        <w:t>et al.</w:t>
      </w:r>
      <w:r>
        <w:rPr>
          <w:rFonts w:hint="eastAsia" w:eastAsia="宋体"/>
          <w:kern w:val="2"/>
          <w:szCs w:val="24"/>
          <w:lang w:val="en-US" w:eastAsia="zh-CN" w:bidi="ar"/>
        </w:rPr>
        <w:t xml:space="preserve"> </w:t>
      </w:r>
      <w:r>
        <w:t xml:space="preserve">Efficient organometal trihalide perovskite planar-heterojunction solar cells on flexible polymer substrates. </w:t>
      </w:r>
      <w:r>
        <w:rPr>
          <w:i/>
          <w:iCs/>
        </w:rPr>
        <w:t>Nat. Commun</w:t>
      </w:r>
      <w:r>
        <w:t xml:space="preserve">. </w:t>
      </w:r>
      <w:r>
        <w:rPr>
          <w:b/>
          <w:bCs/>
        </w:rPr>
        <w:t>4</w:t>
      </w:r>
      <w:r>
        <w:t>, 2761 (2013).</w:t>
      </w:r>
    </w:p>
    <w:p>
      <w:pPr>
        <w:spacing w:line="360" w:lineRule="auto"/>
        <w:jc w:val="both"/>
      </w:pPr>
      <w:r>
        <w:t>4.</w:t>
      </w:r>
      <w:r>
        <w:tab/>
      </w:r>
      <w:r>
        <w:t xml:space="preserve">Jung, J. W. </w:t>
      </w:r>
      <w:r>
        <w:rPr>
          <w:rFonts w:hint="eastAsia" w:eastAsia="宋体"/>
          <w:i/>
          <w:iCs/>
          <w:kern w:val="2"/>
          <w:szCs w:val="24"/>
          <w:lang w:val="en-US" w:eastAsia="zh-CN" w:bidi="ar"/>
        </w:rPr>
        <w:t>et al.</w:t>
      </w:r>
      <w:r>
        <w:rPr>
          <w:rFonts w:hint="eastAsia" w:eastAsia="宋体"/>
          <w:kern w:val="2"/>
          <w:szCs w:val="24"/>
          <w:lang w:val="en-US" w:eastAsia="zh-CN" w:bidi="ar"/>
        </w:rPr>
        <w:t xml:space="preserve"> </w:t>
      </w:r>
      <w:r>
        <w:t xml:space="preserve">Low-temperature processed high-performance flexible perovskite solar cells via rationally optimized solvent washing treatments. </w:t>
      </w:r>
      <w:r>
        <w:rPr>
          <w:i/>
          <w:iCs/>
        </w:rPr>
        <w:t xml:space="preserve">RSC Adv. </w:t>
      </w:r>
      <w:r>
        <w:rPr>
          <w:b/>
          <w:bCs/>
        </w:rPr>
        <w:t>4</w:t>
      </w:r>
      <w:r>
        <w:t>, 62971-62977 (2014).</w:t>
      </w:r>
    </w:p>
    <w:p>
      <w:pPr>
        <w:spacing w:line="360" w:lineRule="auto"/>
        <w:jc w:val="both"/>
      </w:pPr>
      <w:r>
        <w:t>5.</w:t>
      </w:r>
      <w:r>
        <w:tab/>
      </w:r>
      <w:r>
        <w:t xml:space="preserve">Yang, D. </w:t>
      </w:r>
      <w:r>
        <w:rPr>
          <w:rFonts w:hint="eastAsia" w:eastAsia="宋体"/>
          <w:i/>
          <w:iCs/>
          <w:kern w:val="2"/>
          <w:szCs w:val="24"/>
          <w:lang w:val="en-US" w:eastAsia="zh-CN" w:bidi="ar"/>
        </w:rPr>
        <w:t>et al.</w:t>
      </w:r>
      <w:r>
        <w:rPr>
          <w:rFonts w:hint="eastAsia" w:eastAsia="宋体"/>
          <w:kern w:val="2"/>
          <w:szCs w:val="24"/>
          <w:lang w:val="en-US" w:eastAsia="zh-CN" w:bidi="ar"/>
        </w:rPr>
        <w:t xml:space="preserve"> </w:t>
      </w:r>
      <w:r>
        <w:t>High efficiency flexible perovskite solar cells using superior low temperature TiO</w:t>
      </w:r>
      <w:r>
        <w:rPr>
          <w:vertAlign w:val="subscript"/>
        </w:rPr>
        <w:t>2</w:t>
      </w:r>
      <w:r>
        <w:t xml:space="preserve">. </w:t>
      </w:r>
      <w:r>
        <w:rPr>
          <w:i/>
          <w:iCs/>
        </w:rPr>
        <w:t>Energy Environ. Sci.</w:t>
      </w:r>
      <w:r>
        <w:t xml:space="preserve"> </w:t>
      </w:r>
      <w:r>
        <w:rPr>
          <w:b/>
          <w:bCs/>
        </w:rPr>
        <w:t>8</w:t>
      </w:r>
      <w:r>
        <w:t>, 3208-3214 (2015).</w:t>
      </w:r>
    </w:p>
    <w:p>
      <w:pPr>
        <w:spacing w:line="360" w:lineRule="auto"/>
        <w:jc w:val="both"/>
      </w:pPr>
      <w:r>
        <w:t>6.</w:t>
      </w:r>
      <w:r>
        <w:tab/>
      </w:r>
      <w:r>
        <w:t xml:space="preserve">Tavakoli, M. </w:t>
      </w:r>
      <w:r>
        <w:rPr>
          <w:rFonts w:hint="eastAsia" w:eastAsia="宋体"/>
          <w:i/>
          <w:iCs/>
          <w:kern w:val="2"/>
          <w:szCs w:val="24"/>
          <w:lang w:val="en-US" w:eastAsia="zh-CN" w:bidi="ar"/>
        </w:rPr>
        <w:t>et al.</w:t>
      </w:r>
      <w:r>
        <w:rPr>
          <w:rFonts w:hint="eastAsia" w:eastAsia="宋体"/>
          <w:kern w:val="2"/>
          <w:szCs w:val="24"/>
          <w:lang w:val="en-US" w:eastAsia="zh-CN" w:bidi="ar"/>
        </w:rPr>
        <w:t xml:space="preserve"> </w:t>
      </w:r>
      <w:r>
        <w:t xml:space="preserve">Highly efficient flexible perovskite solar cells with antireflection and self-cleaning nanostructures. </w:t>
      </w:r>
      <w:r>
        <w:rPr>
          <w:i/>
          <w:iCs/>
        </w:rPr>
        <w:t>ACS Nano</w:t>
      </w:r>
      <w:r>
        <w:t xml:space="preserve"> </w:t>
      </w:r>
      <w:r>
        <w:rPr>
          <w:b/>
          <w:bCs/>
        </w:rPr>
        <w:t>9</w:t>
      </w:r>
      <w:r>
        <w:t>, 10287-10295 (2015).</w:t>
      </w:r>
    </w:p>
    <w:p>
      <w:pPr>
        <w:spacing w:line="360" w:lineRule="auto"/>
        <w:jc w:val="both"/>
      </w:pPr>
      <w:r>
        <w:t xml:space="preserve">7.  Jeong, I. </w:t>
      </w:r>
      <w:r>
        <w:rPr>
          <w:rFonts w:hint="eastAsia" w:eastAsia="宋体"/>
          <w:i/>
          <w:iCs/>
          <w:kern w:val="2"/>
          <w:szCs w:val="24"/>
          <w:lang w:val="en-US" w:eastAsia="zh-CN" w:bidi="ar"/>
        </w:rPr>
        <w:t>et al.</w:t>
      </w:r>
      <w:r>
        <w:rPr>
          <w:rFonts w:hint="eastAsia" w:eastAsia="宋体"/>
          <w:kern w:val="2"/>
          <w:szCs w:val="24"/>
          <w:lang w:val="en-US" w:eastAsia="zh-CN" w:bidi="ar"/>
        </w:rPr>
        <w:t xml:space="preserve"> </w:t>
      </w:r>
      <w:r>
        <w:t>A tailored TiO</w:t>
      </w:r>
      <w:r>
        <w:rPr>
          <w:vertAlign w:val="subscript"/>
        </w:rPr>
        <w:t>2</w:t>
      </w:r>
      <w:r>
        <w:t xml:space="preserve"> electron selective layer for high-performance flexible perovskite solar cells via low temperature UV process. </w:t>
      </w:r>
      <w:r>
        <w:rPr>
          <w:i/>
          <w:iCs/>
        </w:rPr>
        <w:t xml:space="preserve">Nano Energy </w:t>
      </w:r>
      <w:r>
        <w:rPr>
          <w:b/>
          <w:bCs/>
        </w:rPr>
        <w:t>28</w:t>
      </w:r>
      <w:r>
        <w:t>, 380-389 (2016).</w:t>
      </w:r>
    </w:p>
    <w:p>
      <w:pPr>
        <w:spacing w:line="360" w:lineRule="auto"/>
        <w:jc w:val="both"/>
      </w:pPr>
      <w:r>
        <w:t xml:space="preserve">8. Wang, C. </w:t>
      </w:r>
      <w:r>
        <w:rPr>
          <w:rFonts w:hint="eastAsia" w:eastAsia="宋体"/>
          <w:i/>
          <w:iCs/>
          <w:kern w:val="2"/>
          <w:szCs w:val="24"/>
          <w:lang w:val="en-US" w:eastAsia="zh-CN" w:bidi="ar"/>
        </w:rPr>
        <w:t>et al.</w:t>
      </w:r>
      <w:r>
        <w:rPr>
          <w:rFonts w:hint="eastAsia" w:eastAsia="宋体"/>
          <w:kern w:val="2"/>
          <w:szCs w:val="24"/>
          <w:lang w:val="en-US" w:eastAsia="zh-CN" w:bidi="ar"/>
        </w:rPr>
        <w:t xml:space="preserve"> </w:t>
      </w:r>
      <w:r>
        <w:t>Water vapor treatment of low-temperature deposited SnO</w:t>
      </w:r>
      <w:r>
        <w:rPr>
          <w:vertAlign w:val="subscript"/>
        </w:rPr>
        <w:t>2</w:t>
      </w:r>
      <w:r>
        <w:t xml:space="preserve"> electron selective layers for efficient flexible perovskite solar cells. </w:t>
      </w:r>
      <w:r>
        <w:rPr>
          <w:i/>
          <w:iCs/>
        </w:rPr>
        <w:t>ACS Energy Lett</w:t>
      </w:r>
      <w:r>
        <w:t xml:space="preserve">. </w:t>
      </w:r>
      <w:r>
        <w:rPr>
          <w:b/>
          <w:bCs/>
        </w:rPr>
        <w:t>2</w:t>
      </w:r>
      <w:r>
        <w:t>, 2118-2124 (2017).</w:t>
      </w:r>
    </w:p>
    <w:p>
      <w:pPr>
        <w:spacing w:line="360" w:lineRule="auto"/>
        <w:jc w:val="both"/>
      </w:pPr>
      <w:r>
        <w:t xml:space="preserve">9. Bi, C. </w:t>
      </w:r>
      <w:r>
        <w:rPr>
          <w:rFonts w:hint="eastAsia" w:eastAsia="宋体"/>
          <w:i/>
          <w:iCs/>
          <w:kern w:val="2"/>
          <w:szCs w:val="24"/>
          <w:lang w:val="en-US" w:eastAsia="zh-CN" w:bidi="ar"/>
        </w:rPr>
        <w:t>et al.</w:t>
      </w:r>
      <w:r>
        <w:rPr>
          <w:rFonts w:hint="eastAsia" w:eastAsia="宋体"/>
          <w:kern w:val="2"/>
          <w:szCs w:val="24"/>
          <w:lang w:val="en-US" w:eastAsia="zh-CN" w:bidi="ar"/>
        </w:rPr>
        <w:t xml:space="preserve"> </w:t>
      </w:r>
      <w:r>
        <w:t xml:space="preserve">DeLuca and J. Huang, Efficient flexible solar cell based on composition-tailored hybrid perovskite. </w:t>
      </w:r>
      <w:r>
        <w:rPr>
          <w:i/>
          <w:iCs/>
        </w:rPr>
        <w:t>Adv. Mater.</w:t>
      </w:r>
      <w:r>
        <w:t xml:space="preserve"> </w:t>
      </w:r>
      <w:r>
        <w:rPr>
          <w:b/>
          <w:bCs/>
        </w:rPr>
        <w:t xml:space="preserve">29 </w:t>
      </w:r>
      <w:r>
        <w:t>1605900</w:t>
      </w:r>
      <w:r>
        <w:rPr>
          <w:b/>
          <w:bCs/>
        </w:rPr>
        <w:t xml:space="preserve"> </w:t>
      </w:r>
      <w:r>
        <w:t>(2017).</w:t>
      </w:r>
    </w:p>
    <w:p>
      <w:pPr>
        <w:spacing w:line="360" w:lineRule="auto"/>
        <w:jc w:val="both"/>
      </w:pPr>
      <w:r>
        <w:rPr>
          <w:rFonts w:hint="eastAsia"/>
          <w:lang w:val="en-US" w:eastAsia="zh-CN"/>
        </w:rPr>
        <w:t>1</w:t>
      </w:r>
      <w:r>
        <w:t>0.</w:t>
      </w:r>
      <w:r>
        <w:rPr>
          <w:rFonts w:hint="eastAsia"/>
          <w:lang w:val="en-US" w:eastAsia="zh-CN"/>
        </w:rPr>
        <w:t xml:space="preserve"> </w:t>
      </w:r>
      <w:r>
        <w:t xml:space="preserve">Jiang, J. </w:t>
      </w:r>
      <w:r>
        <w:rPr>
          <w:rFonts w:hint="eastAsia" w:eastAsia="宋体"/>
          <w:i/>
          <w:iCs/>
          <w:kern w:val="2"/>
          <w:szCs w:val="24"/>
          <w:lang w:val="en-US" w:eastAsia="zh-CN" w:bidi="ar"/>
        </w:rPr>
        <w:t>et al.</w:t>
      </w:r>
      <w:r>
        <w:rPr>
          <w:rFonts w:hint="eastAsia" w:eastAsia="宋体"/>
          <w:kern w:val="2"/>
          <w:szCs w:val="24"/>
          <w:lang w:val="en-US" w:eastAsia="zh-CN" w:bidi="ar"/>
        </w:rPr>
        <w:t xml:space="preserve"> </w:t>
      </w:r>
      <w:r>
        <w:t xml:space="preserve">High-performance flexible perovskite solar cells with effective interfacial optimization processed at low temperatures. </w:t>
      </w:r>
      <w:r>
        <w:rPr>
          <w:i/>
          <w:iCs/>
        </w:rPr>
        <w:t>ChemSusChem</w:t>
      </w:r>
      <w:r>
        <w:t xml:space="preserve"> </w:t>
      </w:r>
      <w:r>
        <w:rPr>
          <w:b/>
          <w:bCs/>
        </w:rPr>
        <w:t>11</w:t>
      </w:r>
      <w:r>
        <w:t>, 4131-4138 (2018).</w:t>
      </w:r>
    </w:p>
    <w:p>
      <w:pPr>
        <w:spacing w:line="360" w:lineRule="auto"/>
        <w:jc w:val="both"/>
      </w:pPr>
      <w:r>
        <w:rPr>
          <w:rFonts w:hint="eastAsia"/>
          <w:lang w:val="en-US" w:eastAsia="zh-CN"/>
        </w:rPr>
        <w:t>1</w:t>
      </w:r>
      <w:r>
        <w:t xml:space="preserve">1. Heo, J. H. </w:t>
      </w:r>
      <w:r>
        <w:rPr>
          <w:rFonts w:hint="eastAsia" w:eastAsia="宋体"/>
          <w:i/>
          <w:iCs/>
          <w:kern w:val="2"/>
          <w:szCs w:val="24"/>
          <w:lang w:val="en-US" w:eastAsia="zh-CN" w:bidi="ar"/>
        </w:rPr>
        <w:t>et al.</w:t>
      </w:r>
      <w:r>
        <w:rPr>
          <w:rFonts w:hint="eastAsia" w:eastAsia="宋体"/>
          <w:kern w:val="2"/>
          <w:szCs w:val="24"/>
          <w:lang w:val="en-US" w:eastAsia="zh-CN" w:bidi="ar"/>
        </w:rPr>
        <w:t xml:space="preserve"> </w:t>
      </w:r>
      <w:r>
        <w:t xml:space="preserve">Super-flexible bis(trifluoromethanesulfonyl)-amide doped graphene transparent conductive electrodes for photo-stable perovskite solar cells. </w:t>
      </w:r>
      <w:r>
        <w:rPr>
          <w:i/>
          <w:iCs/>
        </w:rPr>
        <w:t>J. Mater. Chem. A</w:t>
      </w:r>
      <w:r>
        <w:t xml:space="preserve"> </w:t>
      </w:r>
      <w:r>
        <w:rPr>
          <w:b/>
          <w:bCs/>
        </w:rPr>
        <w:t>6</w:t>
      </w:r>
      <w:r>
        <w:t>, 8251-8258 (2018).</w:t>
      </w:r>
    </w:p>
    <w:p>
      <w:pPr>
        <w:spacing w:line="360" w:lineRule="auto"/>
        <w:jc w:val="both"/>
      </w:pPr>
      <w:r>
        <w:rPr>
          <w:rFonts w:hint="eastAsia"/>
          <w:lang w:val="en-US" w:eastAsia="zh-CN"/>
        </w:rPr>
        <w:t>1</w:t>
      </w:r>
      <w:r>
        <w:t xml:space="preserve">2. Li, M. </w:t>
      </w:r>
      <w:r>
        <w:rPr>
          <w:rFonts w:hint="eastAsia" w:eastAsia="宋体"/>
          <w:i/>
          <w:iCs/>
          <w:kern w:val="2"/>
          <w:szCs w:val="24"/>
          <w:lang w:val="en-US" w:eastAsia="zh-CN" w:bidi="ar"/>
        </w:rPr>
        <w:t>et al.</w:t>
      </w:r>
      <w:r>
        <w:rPr>
          <w:rFonts w:hint="eastAsia" w:eastAsia="宋体"/>
          <w:kern w:val="2"/>
          <w:szCs w:val="24"/>
          <w:lang w:val="en-US" w:eastAsia="zh-CN" w:bidi="ar"/>
        </w:rPr>
        <w:t xml:space="preserve"> </w:t>
      </w:r>
      <w:r>
        <w:t xml:space="preserve">Perovskite grains embraced in a soft fullerene network make highly efficient flexible solar cells with superior mechanical stability. </w:t>
      </w:r>
      <w:r>
        <w:rPr>
          <w:i/>
          <w:iCs/>
        </w:rPr>
        <w:t>Adv. Mater.</w:t>
      </w:r>
      <w:r>
        <w:t xml:space="preserve"> </w:t>
      </w:r>
      <w:r>
        <w:rPr>
          <w:b/>
          <w:bCs/>
        </w:rPr>
        <w:t>31</w:t>
      </w:r>
      <w:r>
        <w:t>, e1901519 (2019).</w:t>
      </w:r>
    </w:p>
    <w:p>
      <w:pPr>
        <w:spacing w:line="360" w:lineRule="auto"/>
        <w:jc w:val="both"/>
      </w:pPr>
      <w:r>
        <w:rPr>
          <w:rFonts w:hint="eastAsia"/>
          <w:lang w:val="en-US" w:eastAsia="zh-CN"/>
        </w:rPr>
        <w:t>1</w:t>
      </w:r>
      <w:r>
        <w:t>3.</w:t>
      </w:r>
      <w:r>
        <w:tab/>
      </w:r>
      <w:r>
        <w:t xml:space="preserve">Huang, K. </w:t>
      </w:r>
      <w:r>
        <w:rPr>
          <w:rFonts w:hint="eastAsia" w:eastAsia="宋体"/>
          <w:i/>
          <w:iCs/>
          <w:kern w:val="2"/>
          <w:szCs w:val="24"/>
          <w:lang w:val="en-US" w:eastAsia="zh-CN" w:bidi="ar"/>
        </w:rPr>
        <w:t>et al.</w:t>
      </w:r>
      <w:r>
        <w:rPr>
          <w:rFonts w:hint="eastAsia" w:eastAsia="宋体"/>
          <w:kern w:val="2"/>
          <w:szCs w:val="24"/>
          <w:lang w:val="en-US" w:eastAsia="zh-CN" w:bidi="ar"/>
        </w:rPr>
        <w:t xml:space="preserve"> </w:t>
      </w:r>
      <w:r>
        <w:t xml:space="preserve">High-performance flexible perovskite solar cells via precise control of electron transport layer. </w:t>
      </w:r>
      <w:r>
        <w:rPr>
          <w:i/>
          <w:iCs/>
        </w:rPr>
        <w:t>Adv. Energy Mater.</w:t>
      </w:r>
      <w:r>
        <w:t xml:space="preserve"> </w:t>
      </w:r>
      <w:r>
        <w:rPr>
          <w:b/>
          <w:bCs/>
        </w:rPr>
        <w:t>9</w:t>
      </w:r>
      <w:r>
        <w:t>, 1901419 (2019).</w:t>
      </w:r>
    </w:p>
    <w:p>
      <w:pPr>
        <w:spacing w:line="360" w:lineRule="auto"/>
        <w:jc w:val="both"/>
      </w:pPr>
      <w:r>
        <w:rPr>
          <w:rFonts w:hint="eastAsia"/>
          <w:lang w:val="en-US" w:eastAsia="zh-CN"/>
        </w:rPr>
        <w:t>1</w:t>
      </w:r>
      <w:r>
        <w:t>4.</w:t>
      </w:r>
      <w:r>
        <w:tab/>
      </w:r>
      <w:r>
        <w:t xml:space="preserve">Meng, X. </w:t>
      </w:r>
      <w:r>
        <w:rPr>
          <w:rFonts w:hint="eastAsia" w:eastAsia="宋体"/>
          <w:i/>
          <w:iCs/>
          <w:kern w:val="2"/>
          <w:szCs w:val="24"/>
          <w:lang w:val="en-US" w:eastAsia="zh-CN" w:bidi="ar"/>
        </w:rPr>
        <w:t>et al.</w:t>
      </w:r>
      <w:r>
        <w:rPr>
          <w:rFonts w:hint="eastAsia" w:eastAsia="宋体"/>
          <w:kern w:val="2"/>
          <w:szCs w:val="24"/>
          <w:lang w:val="en-US" w:eastAsia="zh-CN" w:bidi="ar"/>
        </w:rPr>
        <w:t xml:space="preserve"> </w:t>
      </w:r>
      <w:r>
        <w:t xml:space="preserve">Bio-inspired vertebral design for scalable and flexible perovskite solar cells. </w:t>
      </w:r>
      <w:r>
        <w:rPr>
          <w:i/>
          <w:iCs/>
        </w:rPr>
        <w:t>Nat. Commun.</w:t>
      </w:r>
      <w:r>
        <w:t xml:space="preserve"> </w:t>
      </w:r>
      <w:r>
        <w:rPr>
          <w:b/>
          <w:bCs/>
        </w:rPr>
        <w:t>11</w:t>
      </w:r>
      <w:r>
        <w:t>, 3016 (2020).</w:t>
      </w:r>
    </w:p>
    <w:p>
      <w:pPr>
        <w:spacing w:line="360" w:lineRule="auto"/>
        <w:jc w:val="both"/>
      </w:pPr>
      <w:r>
        <w:rPr>
          <w:rFonts w:hint="eastAsia"/>
          <w:lang w:val="en-US" w:eastAsia="zh-CN"/>
        </w:rPr>
        <w:t>1</w:t>
      </w:r>
      <w:r>
        <w:t>5.</w:t>
      </w:r>
      <w:r>
        <w:tab/>
      </w:r>
      <w:r>
        <w:t xml:space="preserve">Ru, P. </w:t>
      </w:r>
      <w:r>
        <w:rPr>
          <w:rFonts w:hint="eastAsia" w:eastAsia="宋体"/>
          <w:i/>
          <w:iCs/>
          <w:kern w:val="2"/>
          <w:szCs w:val="24"/>
          <w:lang w:val="en-US" w:eastAsia="zh-CN" w:bidi="ar"/>
        </w:rPr>
        <w:t>et al.</w:t>
      </w:r>
      <w:r>
        <w:rPr>
          <w:rFonts w:hint="eastAsia" w:eastAsia="宋体"/>
          <w:kern w:val="2"/>
          <w:szCs w:val="24"/>
          <w:lang w:val="en-US" w:eastAsia="zh-CN" w:bidi="ar"/>
        </w:rPr>
        <w:t xml:space="preserve"> </w:t>
      </w:r>
      <w:r>
        <w:t xml:space="preserve">High Electron affinity enables fast hole extraction for efficient flexible inverted perovskite solar cells. </w:t>
      </w:r>
      <w:r>
        <w:rPr>
          <w:i/>
          <w:iCs/>
        </w:rPr>
        <w:t>Adv. Energy Mater.</w:t>
      </w:r>
      <w:r>
        <w:t xml:space="preserve"> </w:t>
      </w:r>
      <w:r>
        <w:rPr>
          <w:b/>
          <w:bCs/>
        </w:rPr>
        <w:t>10</w:t>
      </w:r>
      <w:r>
        <w:t>, 1903487 (2020).</w:t>
      </w:r>
    </w:p>
    <w:p>
      <w:pPr>
        <w:spacing w:line="360" w:lineRule="auto"/>
        <w:jc w:val="both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lang w:val="en-US" w:eastAsia="zh-CN"/>
        </w:rPr>
        <w:t>1</w:t>
      </w:r>
      <w:r>
        <w:t>6.</w:t>
      </w:r>
      <w:r>
        <w:tab/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 xml:space="preserve">Chung, J. </w:t>
      </w:r>
      <w:r>
        <w:rPr>
          <w:rFonts w:hint="eastAsia" w:eastAsia="宋体"/>
          <w:i/>
          <w:iCs/>
          <w:kern w:val="2"/>
          <w:szCs w:val="24"/>
          <w:lang w:val="en-US" w:eastAsia="zh-CN" w:bidi="ar"/>
        </w:rPr>
        <w:t>et al.</w:t>
      </w:r>
      <w:r>
        <w:rPr>
          <w:rFonts w:hint="eastAsia" w:eastAsia="宋体"/>
          <w:kern w:val="2"/>
          <w:szCs w:val="24"/>
          <w:lang w:val="en-US" w:eastAsia="zh-CN" w:bidi="ar"/>
        </w:rPr>
        <w:t xml:space="preserve"> 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 xml:space="preserve">Record-efficiency flexible perovskite solar cell and module enabled by a porous-planar structure as an electron transport layer. </w:t>
      </w:r>
      <w:r>
        <w:rPr>
          <w:i/>
          <w:iCs/>
          <w:color w:val="000000" w:themeColor="text1"/>
          <w14:textFill>
            <w14:solidFill>
              <w14:schemeClr w14:val="tx1"/>
            </w14:solidFill>
          </w14:textFill>
        </w:rPr>
        <w:t xml:space="preserve">Energy Environ. </w:t>
      </w:r>
      <w:r>
        <w:rPr>
          <w:b/>
          <w:bCs/>
          <w:color w:val="000000" w:themeColor="text1"/>
          <w14:textFill>
            <w14:solidFill>
              <w14:schemeClr w14:val="tx1"/>
            </w14:solidFill>
          </w14:textFill>
        </w:rPr>
        <w:t>13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, 4854-4861</w:t>
      </w:r>
      <w:r>
        <w:t xml:space="preserve"> (2020)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.</w:t>
      </w:r>
    </w:p>
    <w:p>
      <w:pPr>
        <w:spacing w:line="360" w:lineRule="auto"/>
        <w:jc w:val="both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7.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ab/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 xml:space="preserve">Dong, Q. </w:t>
      </w:r>
      <w:r>
        <w:rPr>
          <w:rFonts w:hint="eastAsia" w:eastAsia="宋体"/>
          <w:i/>
          <w:iCs/>
          <w:kern w:val="2"/>
          <w:szCs w:val="24"/>
          <w:lang w:val="en-US" w:eastAsia="zh-CN" w:bidi="ar"/>
        </w:rPr>
        <w:t>et al.</w:t>
      </w:r>
      <w:r>
        <w:rPr>
          <w:rFonts w:hint="eastAsia" w:eastAsia="宋体"/>
          <w:kern w:val="2"/>
          <w:szCs w:val="24"/>
          <w:lang w:val="en-US" w:eastAsia="zh-CN" w:bidi="ar"/>
        </w:rPr>
        <w:t xml:space="preserve"> 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 xml:space="preserve">Interpenetrating interfaces for efficient perovskite solar cells with high operational stability and mechanical robustness. </w:t>
      </w:r>
      <w:r>
        <w:rPr>
          <w:i/>
          <w:iCs/>
          <w:color w:val="000000" w:themeColor="text1"/>
          <w14:textFill>
            <w14:solidFill>
              <w14:schemeClr w14:val="tx1"/>
            </w14:solidFill>
          </w14:textFill>
        </w:rPr>
        <w:t>Nat. Commun.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 xml:space="preserve"> </w:t>
      </w:r>
      <w:r>
        <w:rPr>
          <w:b/>
          <w:bCs/>
          <w:color w:val="000000" w:themeColor="text1"/>
          <w14:textFill>
            <w14:solidFill>
              <w14:schemeClr w14:val="tx1"/>
            </w14:solidFill>
          </w14:textFill>
        </w:rPr>
        <w:t>12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 xml:space="preserve">, 973 </w:t>
      </w:r>
      <w:r>
        <w:t>(2021)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.</w:t>
      </w:r>
    </w:p>
    <w:p>
      <w:pPr>
        <w:spacing w:line="360" w:lineRule="auto"/>
        <w:jc w:val="both"/>
      </w:pPr>
      <w:r>
        <w:rPr>
          <w:rFonts w:hint="eastAsia"/>
          <w:lang w:val="en-US" w:eastAsia="zh-CN"/>
        </w:rPr>
        <w:t>1</w:t>
      </w:r>
      <w:r>
        <w:t xml:space="preserve">8. Jiang, N. </w:t>
      </w:r>
      <w:r>
        <w:rPr>
          <w:rFonts w:hint="eastAsia" w:eastAsia="宋体"/>
          <w:i/>
          <w:iCs/>
          <w:kern w:val="2"/>
          <w:szCs w:val="24"/>
          <w:lang w:val="en-US" w:eastAsia="zh-CN" w:bidi="ar"/>
        </w:rPr>
        <w:t>et al.</w:t>
      </w:r>
      <w:r>
        <w:rPr>
          <w:rFonts w:hint="eastAsia" w:eastAsia="宋体"/>
          <w:kern w:val="2"/>
          <w:szCs w:val="24"/>
          <w:lang w:val="en-US" w:eastAsia="zh-CN" w:bidi="ar"/>
        </w:rPr>
        <w:t xml:space="preserve"> </w:t>
      </w:r>
      <w:r>
        <w:t>Enhanced efficiency and mechanical robustness of flexible perovskite solar cells by using HPbI</w:t>
      </w:r>
      <w:r>
        <w:rPr>
          <w:vertAlign w:val="subscript"/>
        </w:rPr>
        <w:t>3</w:t>
      </w:r>
      <w:r>
        <w:t xml:space="preserve"> Additive. </w:t>
      </w:r>
      <w:r>
        <w:rPr>
          <w:i/>
          <w:iCs/>
        </w:rPr>
        <w:t>Solar RRL</w:t>
      </w:r>
      <w:r>
        <w:t xml:space="preserve"> </w:t>
      </w:r>
      <w:r>
        <w:rPr>
          <w:b/>
          <w:bCs/>
        </w:rPr>
        <w:t>5</w:t>
      </w:r>
      <w:r>
        <w:t>, 2000821 (2021).</w:t>
      </w:r>
    </w:p>
    <w:p>
      <w:pPr>
        <w:spacing w:line="360" w:lineRule="auto"/>
        <w:jc w:val="both"/>
      </w:pPr>
      <w:r>
        <w:rPr>
          <w:rFonts w:hint="eastAsia"/>
          <w:lang w:val="en-US" w:eastAsia="zh-CN"/>
        </w:rPr>
        <w:t>1</w:t>
      </w:r>
      <w:r>
        <w:t>9.</w:t>
      </w:r>
      <w:r>
        <w:tab/>
      </w:r>
      <w:r>
        <w:t xml:space="preserve">Wu, S. </w:t>
      </w:r>
      <w:r>
        <w:rPr>
          <w:rFonts w:hint="eastAsia" w:eastAsia="宋体"/>
          <w:i/>
          <w:iCs/>
          <w:kern w:val="2"/>
          <w:szCs w:val="24"/>
          <w:lang w:val="en-US" w:eastAsia="zh-CN" w:bidi="ar"/>
        </w:rPr>
        <w:t>et al.</w:t>
      </w:r>
      <w:r>
        <w:rPr>
          <w:rFonts w:hint="eastAsia" w:eastAsia="宋体"/>
          <w:kern w:val="2"/>
          <w:szCs w:val="24"/>
          <w:lang w:val="en-US" w:eastAsia="zh-CN" w:bidi="ar"/>
        </w:rPr>
        <w:t xml:space="preserve"> </w:t>
      </w:r>
      <w:r>
        <w:t xml:space="preserve">Low-bandgap organic bulk-heterojunction enabled efficient and flexible perovskite solar cells. </w:t>
      </w:r>
      <w:r>
        <w:rPr>
          <w:i/>
          <w:iCs/>
        </w:rPr>
        <w:t>Adv. Mater.</w:t>
      </w:r>
      <w:r>
        <w:t xml:space="preserve"> 2105539 (2021).</w:t>
      </w:r>
    </w:p>
    <w:p>
      <w:pPr>
        <w:spacing w:line="360" w:lineRule="auto"/>
        <w:jc w:val="both"/>
      </w:pPr>
      <w:r>
        <w:rPr>
          <w:rFonts w:hint="eastAsia"/>
          <w:lang w:val="en-US" w:eastAsia="zh-CN"/>
        </w:rPr>
        <w:t>2</w:t>
      </w:r>
      <w:r>
        <w:t xml:space="preserve">0. Sahli, F. </w:t>
      </w:r>
      <w:r>
        <w:rPr>
          <w:rFonts w:hint="eastAsia" w:eastAsia="宋体"/>
          <w:i/>
          <w:iCs/>
          <w:kern w:val="2"/>
          <w:szCs w:val="24"/>
          <w:lang w:val="en-US" w:eastAsia="zh-CN" w:bidi="ar"/>
        </w:rPr>
        <w:t>et al.</w:t>
      </w:r>
      <w:r>
        <w:rPr>
          <w:rFonts w:hint="eastAsia" w:eastAsia="宋体"/>
          <w:kern w:val="2"/>
          <w:szCs w:val="24"/>
          <w:lang w:val="en-US" w:eastAsia="zh-CN" w:bidi="ar"/>
        </w:rPr>
        <w:t xml:space="preserve"> </w:t>
      </w:r>
      <w:r>
        <w:t xml:space="preserve">Fully textured monolithic perovskite/silicon tandem solar cells with 25.2% power conversion efficiency. </w:t>
      </w:r>
      <w:r>
        <w:rPr>
          <w:i/>
          <w:iCs/>
        </w:rPr>
        <w:t>Nat. Mater.</w:t>
      </w:r>
      <w:r>
        <w:t xml:space="preserve"> </w:t>
      </w:r>
      <w:r>
        <w:rPr>
          <w:b/>
          <w:bCs/>
        </w:rPr>
        <w:t>17</w:t>
      </w:r>
      <w:r>
        <w:t>, 820-826 (2018).</w:t>
      </w:r>
    </w:p>
    <w:p>
      <w:pPr>
        <w:spacing w:line="360" w:lineRule="auto"/>
        <w:jc w:val="both"/>
      </w:pPr>
      <w:r>
        <w:rPr>
          <w:rFonts w:hint="eastAsia"/>
          <w:lang w:val="en-US" w:eastAsia="zh-CN"/>
        </w:rPr>
        <w:t>2</w:t>
      </w:r>
      <w:r>
        <w:t xml:space="preserve">1. Chen, B. </w:t>
      </w:r>
      <w:r>
        <w:rPr>
          <w:rFonts w:hint="eastAsia" w:eastAsia="宋体"/>
          <w:i/>
          <w:iCs/>
          <w:kern w:val="2"/>
          <w:szCs w:val="24"/>
          <w:lang w:val="en-US" w:eastAsia="zh-CN" w:bidi="ar"/>
        </w:rPr>
        <w:t>et al.</w:t>
      </w:r>
      <w:r>
        <w:rPr>
          <w:rFonts w:hint="eastAsia" w:eastAsia="宋体"/>
          <w:kern w:val="2"/>
          <w:szCs w:val="24"/>
          <w:lang w:val="en-US" w:eastAsia="zh-CN" w:bidi="ar"/>
        </w:rPr>
        <w:t xml:space="preserve"> </w:t>
      </w:r>
      <w:r>
        <w:t xml:space="preserve">Grain engineering for perovskite/silicon monolithic tandem solar cells with efficiency of 254%. </w:t>
      </w:r>
      <w:r>
        <w:rPr>
          <w:i/>
          <w:iCs/>
        </w:rPr>
        <w:t>Joule</w:t>
      </w:r>
      <w:r>
        <w:t xml:space="preserve"> </w:t>
      </w:r>
      <w:r>
        <w:rPr>
          <w:b/>
          <w:bCs/>
        </w:rPr>
        <w:t>3</w:t>
      </w:r>
      <w:r>
        <w:t>, 177-190 (2018).</w:t>
      </w:r>
    </w:p>
    <w:p>
      <w:pPr>
        <w:spacing w:line="360" w:lineRule="auto"/>
        <w:jc w:val="both"/>
      </w:pPr>
      <w:r>
        <w:rPr>
          <w:rFonts w:hint="eastAsia"/>
          <w:lang w:val="en-US" w:eastAsia="zh-CN"/>
        </w:rPr>
        <w:t>2</w:t>
      </w:r>
      <w:r>
        <w:t xml:space="preserve">2. Jošt, M. </w:t>
      </w:r>
      <w:r>
        <w:rPr>
          <w:rFonts w:hint="eastAsia" w:eastAsia="宋体"/>
          <w:i/>
          <w:iCs/>
          <w:kern w:val="2"/>
          <w:szCs w:val="24"/>
          <w:lang w:val="en-US" w:eastAsia="zh-CN" w:bidi="ar"/>
        </w:rPr>
        <w:t>et al.</w:t>
      </w:r>
      <w:r>
        <w:rPr>
          <w:rFonts w:hint="eastAsia" w:eastAsia="宋体"/>
          <w:kern w:val="2"/>
          <w:szCs w:val="24"/>
          <w:lang w:val="en-US" w:eastAsia="zh-CN" w:bidi="ar"/>
        </w:rPr>
        <w:t xml:space="preserve"> </w:t>
      </w:r>
      <w:r>
        <w:t xml:space="preserve">Textured interfaces in monolithic perovskite/silicon tandem solar cells: advanced light mangement for improved efficiency and energy yield. </w:t>
      </w:r>
      <w:r>
        <w:rPr>
          <w:i/>
          <w:iCs/>
        </w:rPr>
        <w:t>Energy Environ. Sci.</w:t>
      </w:r>
      <w:r>
        <w:t xml:space="preserve"> </w:t>
      </w:r>
      <w:r>
        <w:rPr>
          <w:b/>
          <w:bCs/>
        </w:rPr>
        <w:t>11</w:t>
      </w:r>
      <w:r>
        <w:t>, 3511-3523 (2018).</w:t>
      </w:r>
    </w:p>
    <w:p>
      <w:pPr>
        <w:spacing w:line="360" w:lineRule="auto"/>
        <w:jc w:val="both"/>
      </w:pPr>
      <w:r>
        <w:rPr>
          <w:rFonts w:hint="eastAsia"/>
          <w:lang w:val="en-US" w:eastAsia="zh-CN"/>
        </w:rPr>
        <w:t>2</w:t>
      </w:r>
      <w:r>
        <w:t xml:space="preserve">3. Bush, K. A. </w:t>
      </w:r>
      <w:r>
        <w:rPr>
          <w:rFonts w:hint="eastAsia" w:eastAsia="宋体"/>
          <w:i/>
          <w:iCs/>
          <w:kern w:val="2"/>
          <w:szCs w:val="24"/>
          <w:lang w:val="en-US" w:eastAsia="zh-CN" w:bidi="ar"/>
        </w:rPr>
        <w:t>et al.</w:t>
      </w:r>
      <w:r>
        <w:rPr>
          <w:rFonts w:hint="eastAsia" w:eastAsia="宋体"/>
          <w:kern w:val="2"/>
          <w:szCs w:val="24"/>
          <w:lang w:val="en-US" w:eastAsia="zh-CN" w:bidi="ar"/>
        </w:rPr>
        <w:t xml:space="preserve"> </w:t>
      </w:r>
      <w:r>
        <w:t xml:space="preserve">Minimizing current and voltage losses to reach 25% efficient monolithic two-terminal perovskite-silicon tandem solar cells. </w:t>
      </w:r>
      <w:r>
        <w:rPr>
          <w:i/>
          <w:iCs/>
        </w:rPr>
        <w:t>ACS Energy Lett.</w:t>
      </w:r>
      <w:r>
        <w:t xml:space="preserve"> </w:t>
      </w:r>
      <w:r>
        <w:rPr>
          <w:b/>
          <w:bCs/>
        </w:rPr>
        <w:t>3</w:t>
      </w:r>
      <w:r>
        <w:t>, 2173-2180 (2018).</w:t>
      </w:r>
    </w:p>
    <w:p>
      <w:pPr>
        <w:spacing w:line="360" w:lineRule="auto"/>
        <w:jc w:val="both"/>
      </w:pPr>
      <w:r>
        <w:rPr>
          <w:rFonts w:hint="eastAsia"/>
          <w:lang w:val="en-US" w:eastAsia="zh-CN"/>
        </w:rPr>
        <w:t>2</w:t>
      </w:r>
      <w:r>
        <w:t>4. Oxford PV sets world record for perovskite solar cell, https://www.oxfordpv.com/news/oxford-pv-sets-world-record-perovskite-solarcell, (accessed: June 2018).</w:t>
      </w:r>
    </w:p>
    <w:p>
      <w:pPr>
        <w:spacing w:line="360" w:lineRule="auto"/>
        <w:jc w:val="both"/>
      </w:pPr>
      <w:r>
        <w:rPr>
          <w:rFonts w:hint="eastAsia"/>
          <w:lang w:val="en-US" w:eastAsia="zh-CN"/>
        </w:rPr>
        <w:t>2</w:t>
      </w:r>
      <w:r>
        <w:t>5. https://www.oxfordpv.com/news/oxford-pv-perovskite-solar-cellachieves-28-efficiency, (accessed: September 2019).</w:t>
      </w:r>
    </w:p>
    <w:p>
      <w:pPr>
        <w:spacing w:line="360" w:lineRule="auto"/>
        <w:jc w:val="both"/>
      </w:pPr>
      <w:r>
        <w:rPr>
          <w:rFonts w:hint="eastAsia"/>
          <w:lang w:val="en-US" w:eastAsia="zh-CN"/>
        </w:rPr>
        <w:t>2</w:t>
      </w:r>
      <w:r>
        <w:t xml:space="preserve">6. Mazzarella, L. </w:t>
      </w:r>
      <w:r>
        <w:rPr>
          <w:rFonts w:hint="eastAsia" w:eastAsia="宋体"/>
          <w:i/>
          <w:iCs/>
          <w:kern w:val="2"/>
          <w:szCs w:val="24"/>
          <w:lang w:val="en-US" w:eastAsia="zh-CN" w:bidi="ar"/>
        </w:rPr>
        <w:t>et al.</w:t>
      </w:r>
      <w:r>
        <w:rPr>
          <w:rFonts w:hint="eastAsia" w:eastAsia="宋体"/>
          <w:kern w:val="2"/>
          <w:szCs w:val="24"/>
          <w:lang w:val="en-US" w:eastAsia="zh-CN" w:bidi="ar"/>
        </w:rPr>
        <w:t xml:space="preserve"> </w:t>
      </w:r>
      <w:r>
        <w:t xml:space="preserve">Infrared light management using a nanocrystalline silicon oxide interlayer in monlithic perovskite/silicon heterojunction tandem solar cells with efficiency above 25%. </w:t>
      </w:r>
      <w:r>
        <w:rPr>
          <w:i/>
          <w:iCs/>
        </w:rPr>
        <w:t xml:space="preserve">Adv. Energy Mater. </w:t>
      </w:r>
      <w:r>
        <w:rPr>
          <w:b/>
          <w:bCs/>
        </w:rPr>
        <w:t>9</w:t>
      </w:r>
      <w:r>
        <w:t>, 1803241 (2019).</w:t>
      </w:r>
    </w:p>
    <w:p>
      <w:pPr>
        <w:spacing w:line="360" w:lineRule="auto"/>
        <w:jc w:val="both"/>
      </w:pPr>
      <w:r>
        <w:rPr>
          <w:rFonts w:hint="eastAsia"/>
          <w:lang w:val="en-US" w:eastAsia="zh-CN"/>
        </w:rPr>
        <w:t>2</w:t>
      </w:r>
      <w:r>
        <w:t xml:space="preserve">7. Nogay, G. </w:t>
      </w:r>
      <w:r>
        <w:rPr>
          <w:rFonts w:hint="eastAsia" w:eastAsia="宋体"/>
          <w:i/>
          <w:iCs/>
          <w:kern w:val="2"/>
          <w:szCs w:val="24"/>
          <w:lang w:val="en-US" w:eastAsia="zh-CN" w:bidi="ar"/>
        </w:rPr>
        <w:t>et al.</w:t>
      </w:r>
      <w:r>
        <w:rPr>
          <w:rFonts w:hint="eastAsia" w:eastAsia="宋体"/>
          <w:kern w:val="2"/>
          <w:szCs w:val="24"/>
          <w:lang w:val="en-US" w:eastAsia="zh-CN" w:bidi="ar"/>
        </w:rPr>
        <w:t xml:space="preserve"> </w:t>
      </w:r>
      <w:r>
        <w:t>25.1%-effic</w:t>
      </w:r>
      <w:r>
        <w:rPr>
          <w:rFonts w:hint="eastAsia"/>
          <w:lang w:eastAsia="zh-CN"/>
        </w:rPr>
        <w:t>i</w:t>
      </w:r>
      <w:r>
        <w:t xml:space="preserve">ent monolithic perovskite/silicon tandem solar cell based on a-p-type monocrystalline textured silicon wafer and high-temperature passivating contacts. </w:t>
      </w:r>
      <w:r>
        <w:rPr>
          <w:i/>
          <w:iCs/>
        </w:rPr>
        <w:t>ACS Energy Lett.</w:t>
      </w:r>
      <w:r>
        <w:t xml:space="preserve"> </w:t>
      </w:r>
      <w:r>
        <w:rPr>
          <w:b/>
          <w:bCs/>
        </w:rPr>
        <w:t>4</w:t>
      </w:r>
      <w:r>
        <w:t>, 844-845 (2019).</w:t>
      </w:r>
    </w:p>
    <w:p>
      <w:pPr>
        <w:spacing w:line="360" w:lineRule="auto"/>
        <w:jc w:val="both"/>
      </w:pPr>
      <w:r>
        <w:rPr>
          <w:rFonts w:hint="eastAsia"/>
          <w:lang w:val="en-US" w:eastAsia="zh-CN"/>
        </w:rPr>
        <w:t>2</w:t>
      </w:r>
      <w:r>
        <w:t xml:space="preserve">8. Köhnen, E. </w:t>
      </w:r>
      <w:r>
        <w:rPr>
          <w:rFonts w:hint="eastAsia" w:eastAsia="宋体"/>
          <w:i/>
          <w:iCs/>
          <w:kern w:val="2"/>
          <w:szCs w:val="24"/>
          <w:lang w:val="en-US" w:eastAsia="zh-CN" w:bidi="ar"/>
        </w:rPr>
        <w:t>et al.</w:t>
      </w:r>
      <w:r>
        <w:rPr>
          <w:rFonts w:hint="eastAsia" w:eastAsia="宋体"/>
          <w:kern w:val="2"/>
          <w:szCs w:val="24"/>
          <w:lang w:val="en-US" w:eastAsia="zh-CN" w:bidi="ar"/>
        </w:rPr>
        <w:t xml:space="preserve"> </w:t>
      </w:r>
      <w:r>
        <w:t xml:space="preserve">Highly efficient monolithic perovskite silicon tandem solar cells: analyzing the influence of current mismatch on device performance. </w:t>
      </w:r>
      <w:r>
        <w:rPr>
          <w:i/>
          <w:iCs/>
        </w:rPr>
        <w:t>Sustain. Energy Fuels</w:t>
      </w:r>
      <w:r>
        <w:t xml:space="preserve"> </w:t>
      </w:r>
      <w:r>
        <w:rPr>
          <w:b/>
          <w:bCs/>
        </w:rPr>
        <w:t>3</w:t>
      </w:r>
      <w:r>
        <w:t>, 1995-2005 (2019).</w:t>
      </w:r>
    </w:p>
    <w:p>
      <w:pPr>
        <w:spacing w:line="360" w:lineRule="auto"/>
        <w:jc w:val="both"/>
      </w:pPr>
      <w:r>
        <w:rPr>
          <w:rFonts w:hint="eastAsia"/>
          <w:lang w:val="en-US" w:eastAsia="zh-CN"/>
        </w:rPr>
        <w:t>2</w:t>
      </w:r>
      <w:r>
        <w:t xml:space="preserve">9. Xu, J. </w:t>
      </w:r>
      <w:r>
        <w:rPr>
          <w:rFonts w:hint="eastAsia" w:eastAsia="宋体"/>
          <w:i/>
          <w:iCs/>
          <w:kern w:val="2"/>
          <w:szCs w:val="24"/>
          <w:lang w:val="en-US" w:eastAsia="zh-CN" w:bidi="ar"/>
        </w:rPr>
        <w:t>et al.</w:t>
      </w:r>
      <w:r>
        <w:rPr>
          <w:rFonts w:hint="eastAsia" w:eastAsia="宋体"/>
          <w:kern w:val="2"/>
          <w:szCs w:val="24"/>
          <w:lang w:val="en-US" w:eastAsia="zh-CN" w:bidi="ar"/>
        </w:rPr>
        <w:t xml:space="preserve"> </w:t>
      </w:r>
      <w:r>
        <w:t xml:space="preserve">Triple-halide wide-band gap perovskites with suppressed phase segregation for efficient tandems. </w:t>
      </w:r>
      <w:r>
        <w:rPr>
          <w:i/>
          <w:iCs/>
        </w:rPr>
        <w:t>Science</w:t>
      </w:r>
      <w:r>
        <w:t xml:space="preserve"> </w:t>
      </w:r>
      <w:r>
        <w:rPr>
          <w:b/>
          <w:bCs/>
        </w:rPr>
        <w:t>367</w:t>
      </w:r>
      <w:r>
        <w:t>, 1097-1104 (2020).</w:t>
      </w:r>
    </w:p>
    <w:p>
      <w:pPr>
        <w:spacing w:line="360" w:lineRule="auto"/>
        <w:jc w:val="both"/>
      </w:pPr>
      <w:r>
        <w:rPr>
          <w:rFonts w:hint="eastAsia"/>
          <w:lang w:val="en-US" w:eastAsia="zh-CN"/>
        </w:rPr>
        <w:t>3</w:t>
      </w:r>
      <w:r>
        <w:t xml:space="preserve">0. Hou, Y. </w:t>
      </w:r>
      <w:r>
        <w:rPr>
          <w:rFonts w:hint="eastAsia" w:eastAsia="宋体"/>
          <w:i/>
          <w:iCs/>
          <w:kern w:val="2"/>
          <w:szCs w:val="24"/>
          <w:lang w:val="en-US" w:eastAsia="zh-CN" w:bidi="ar"/>
        </w:rPr>
        <w:t>et al.</w:t>
      </w:r>
      <w:r>
        <w:rPr>
          <w:rFonts w:hint="eastAsia" w:eastAsia="宋体"/>
          <w:kern w:val="2"/>
          <w:szCs w:val="24"/>
          <w:lang w:val="en-US" w:eastAsia="zh-CN" w:bidi="ar"/>
        </w:rPr>
        <w:t xml:space="preserve"> </w:t>
      </w:r>
      <w:r>
        <w:t xml:space="preserve">Sargent, Efficient tandem solar cells with solution-processed perovskite on textured crystalline silicon. </w:t>
      </w:r>
      <w:r>
        <w:rPr>
          <w:i/>
          <w:iCs/>
        </w:rPr>
        <w:t>Science</w:t>
      </w:r>
      <w:r>
        <w:t xml:space="preserve"> </w:t>
      </w:r>
      <w:r>
        <w:rPr>
          <w:b/>
          <w:bCs/>
        </w:rPr>
        <w:t>367</w:t>
      </w:r>
      <w:r>
        <w:t>, 1135-1140 (2020).</w:t>
      </w:r>
    </w:p>
    <w:p>
      <w:pPr>
        <w:spacing w:line="360" w:lineRule="auto"/>
        <w:jc w:val="both"/>
      </w:pPr>
      <w:r>
        <w:rPr>
          <w:rFonts w:hint="eastAsia"/>
          <w:lang w:val="en-US" w:eastAsia="zh-CN"/>
        </w:rPr>
        <w:t>3</w:t>
      </w:r>
      <w:r>
        <w:t xml:space="preserve">1. Kim, D. </w:t>
      </w:r>
      <w:r>
        <w:rPr>
          <w:rFonts w:hint="eastAsia" w:eastAsia="宋体"/>
          <w:i/>
          <w:iCs/>
          <w:kern w:val="2"/>
          <w:szCs w:val="24"/>
          <w:lang w:val="en-US" w:eastAsia="zh-CN" w:bidi="ar"/>
        </w:rPr>
        <w:t>et al.</w:t>
      </w:r>
      <w:r>
        <w:rPr>
          <w:rFonts w:hint="eastAsia" w:eastAsia="宋体"/>
          <w:kern w:val="2"/>
          <w:szCs w:val="24"/>
          <w:lang w:val="en-US" w:eastAsia="zh-CN" w:bidi="ar"/>
        </w:rPr>
        <w:t xml:space="preserve"> </w:t>
      </w:r>
      <w:r>
        <w:t xml:space="preserve">Efficient, stable silicon tandem cells tandem cells enabled by anion-engineered wide-bandgap perovskites. </w:t>
      </w:r>
      <w:r>
        <w:rPr>
          <w:i/>
          <w:iCs/>
        </w:rPr>
        <w:t>Science</w:t>
      </w:r>
      <w:r>
        <w:t xml:space="preserve"> </w:t>
      </w:r>
      <w:r>
        <w:rPr>
          <w:b/>
          <w:bCs/>
        </w:rPr>
        <w:t>368</w:t>
      </w:r>
      <w:r>
        <w:t>, 155-160 (2020).</w:t>
      </w:r>
    </w:p>
    <w:p>
      <w:pPr>
        <w:spacing w:line="360" w:lineRule="auto"/>
        <w:jc w:val="both"/>
      </w:pPr>
      <w:r>
        <w:rPr>
          <w:rFonts w:hint="eastAsia"/>
          <w:lang w:val="en-US" w:eastAsia="zh-CN"/>
        </w:rPr>
        <w:t>3</w:t>
      </w:r>
      <w:r>
        <w:t xml:space="preserve">2. Chen, B. </w:t>
      </w:r>
      <w:r>
        <w:rPr>
          <w:rFonts w:hint="eastAsia" w:eastAsia="宋体"/>
          <w:i/>
          <w:iCs/>
          <w:kern w:val="2"/>
          <w:szCs w:val="24"/>
          <w:lang w:val="en-US" w:eastAsia="zh-CN" w:bidi="ar"/>
        </w:rPr>
        <w:t>et al.</w:t>
      </w:r>
      <w:r>
        <w:rPr>
          <w:rFonts w:hint="eastAsia" w:eastAsia="宋体"/>
          <w:kern w:val="2"/>
          <w:szCs w:val="24"/>
          <w:lang w:val="en-US" w:eastAsia="zh-CN" w:bidi="ar"/>
        </w:rPr>
        <w:t xml:space="preserve"> </w:t>
      </w:r>
      <w:r>
        <w:t xml:space="preserve">Blade-coated perovskites on textured silicon for 26%-efficient monolithic perovskite/silicon tandem solar cells. </w:t>
      </w:r>
      <w:r>
        <w:rPr>
          <w:i/>
          <w:iCs/>
        </w:rPr>
        <w:t>Joule</w:t>
      </w:r>
      <w:r>
        <w:t xml:space="preserve"> </w:t>
      </w:r>
      <w:r>
        <w:rPr>
          <w:b/>
          <w:bCs/>
        </w:rPr>
        <w:t>4</w:t>
      </w:r>
      <w:r>
        <w:t>, 850-864 (2020).</w:t>
      </w:r>
    </w:p>
    <w:p>
      <w:pPr>
        <w:spacing w:line="360" w:lineRule="auto"/>
        <w:jc w:val="both"/>
      </w:pPr>
      <w:r>
        <w:rPr>
          <w:rFonts w:hint="eastAsia"/>
          <w:lang w:val="en-US" w:eastAsia="zh-CN"/>
        </w:rPr>
        <w:t>3</w:t>
      </w:r>
      <w:r>
        <w:t xml:space="preserve">3. Schulze, P. S. C. </w:t>
      </w:r>
      <w:r>
        <w:rPr>
          <w:rFonts w:hint="eastAsia" w:eastAsia="宋体"/>
          <w:i/>
          <w:iCs/>
          <w:kern w:val="2"/>
          <w:szCs w:val="24"/>
          <w:lang w:val="en-US" w:eastAsia="zh-CN" w:bidi="ar"/>
        </w:rPr>
        <w:t>et al.</w:t>
      </w:r>
      <w:r>
        <w:rPr>
          <w:rFonts w:hint="eastAsia" w:eastAsia="宋体"/>
          <w:kern w:val="2"/>
          <w:szCs w:val="24"/>
          <w:lang w:val="en-US" w:eastAsia="zh-CN" w:bidi="ar"/>
        </w:rPr>
        <w:t xml:space="preserve"> </w:t>
      </w:r>
      <w:r>
        <w:t xml:space="preserve">25.1% high-efficiency monolithic perovskite silicon tandem solar cell with a high bandgap perovskite absorber. </w:t>
      </w:r>
      <w:r>
        <w:rPr>
          <w:i/>
          <w:iCs/>
        </w:rPr>
        <w:t>Solar RRL</w:t>
      </w:r>
      <w:r>
        <w:t xml:space="preserve"> </w:t>
      </w:r>
      <w:r>
        <w:rPr>
          <w:b/>
          <w:bCs/>
        </w:rPr>
        <w:t>4,</w:t>
      </w:r>
      <w:r>
        <w:t xml:space="preserve"> 2000152 (2020).</w:t>
      </w:r>
    </w:p>
    <w:p>
      <w:pPr>
        <w:spacing w:line="360" w:lineRule="auto"/>
        <w:jc w:val="both"/>
        <w:rPr>
          <w:lang w:val="en-US"/>
        </w:rPr>
      </w:pPr>
      <w:r>
        <w:rPr>
          <w:rFonts w:hint="eastAsia"/>
          <w:lang w:val="en-US" w:eastAsia="zh-CN"/>
        </w:rPr>
        <w:t>3</w:t>
      </w:r>
      <w:r>
        <w:t xml:space="preserve">4. </w:t>
      </w:r>
      <w:r>
        <w:rPr>
          <w:lang w:val="en-US"/>
        </w:rPr>
        <w:t xml:space="preserve">Aydin, E. </w:t>
      </w:r>
      <w:r>
        <w:rPr>
          <w:rFonts w:hint="eastAsia" w:eastAsia="宋体"/>
          <w:i/>
          <w:iCs/>
          <w:kern w:val="2"/>
          <w:szCs w:val="24"/>
          <w:lang w:val="en-US" w:eastAsia="zh-CN" w:bidi="ar"/>
        </w:rPr>
        <w:t>et al.</w:t>
      </w:r>
      <w:r>
        <w:rPr>
          <w:rFonts w:hint="eastAsia" w:eastAsia="宋体"/>
          <w:kern w:val="2"/>
          <w:szCs w:val="24"/>
          <w:lang w:val="en-US" w:eastAsia="zh-CN" w:bidi="ar"/>
        </w:rPr>
        <w:t xml:space="preserve"> </w:t>
      </w:r>
      <w:r>
        <w:t xml:space="preserve">Interplay between temperature and bandgap energies on the outdoor performance of perovskite/silicon tandem solar cells. </w:t>
      </w:r>
      <w:r>
        <w:rPr>
          <w:i/>
          <w:iCs/>
          <w:lang w:val="en-US"/>
        </w:rPr>
        <w:t>Nat. Energy</w:t>
      </w:r>
      <w:r>
        <w:rPr>
          <w:lang w:val="en-US"/>
        </w:rPr>
        <w:t xml:space="preserve"> </w:t>
      </w:r>
      <w:r>
        <w:rPr>
          <w:b/>
          <w:bCs/>
          <w:lang w:val="en-US"/>
        </w:rPr>
        <w:t>5</w:t>
      </w:r>
      <w:r>
        <w:rPr>
          <w:lang w:val="en-US"/>
        </w:rPr>
        <w:t>, 851</w:t>
      </w:r>
      <w:r>
        <w:t>-859 (2020)</w:t>
      </w:r>
      <w:r>
        <w:rPr>
          <w:lang w:val="en-US"/>
        </w:rPr>
        <w:t>.</w:t>
      </w:r>
    </w:p>
    <w:p>
      <w:pPr>
        <w:spacing w:line="360" w:lineRule="auto"/>
        <w:jc w:val="both"/>
        <w:rPr>
          <w:lang w:val="en-US"/>
        </w:rPr>
      </w:pPr>
      <w:r>
        <w:rPr>
          <w:rFonts w:hint="eastAsia"/>
          <w:lang w:val="en-US" w:eastAsia="zh-CN"/>
        </w:rPr>
        <w:t>3</w:t>
      </w:r>
      <w:r>
        <w:t>5</w:t>
      </w:r>
      <w:r>
        <w:rPr>
          <w:lang w:val="en-US"/>
        </w:rPr>
        <w:t xml:space="preserve">. Al-Ashouri, A. </w:t>
      </w:r>
      <w:r>
        <w:rPr>
          <w:rFonts w:hint="eastAsia" w:eastAsia="宋体"/>
          <w:i/>
          <w:iCs/>
          <w:kern w:val="2"/>
          <w:szCs w:val="24"/>
          <w:lang w:val="en-US" w:eastAsia="zh-CN" w:bidi="ar"/>
        </w:rPr>
        <w:t>et al.</w:t>
      </w:r>
      <w:r>
        <w:rPr>
          <w:rFonts w:hint="eastAsia" w:eastAsia="宋体"/>
          <w:kern w:val="2"/>
          <w:szCs w:val="24"/>
          <w:lang w:val="en-US" w:eastAsia="zh-CN" w:bidi="ar"/>
        </w:rPr>
        <w:t xml:space="preserve"> </w:t>
      </w:r>
      <w:r>
        <w:t>Monolithic perovskite/silicon tandem solar cell with &gt;29% efficiency by enhanced hole extraction.</w:t>
      </w:r>
      <w:r>
        <w:rPr>
          <w:i/>
          <w:iCs/>
        </w:rPr>
        <w:t xml:space="preserve"> </w:t>
      </w:r>
      <w:r>
        <w:rPr>
          <w:i/>
          <w:iCs/>
          <w:lang w:val="en-US"/>
        </w:rPr>
        <w:t>Science</w:t>
      </w:r>
      <w:r>
        <w:rPr>
          <w:lang w:val="en-US"/>
        </w:rPr>
        <w:t xml:space="preserve"> </w:t>
      </w:r>
      <w:r>
        <w:rPr>
          <w:b/>
          <w:bCs/>
          <w:lang w:val="en-US"/>
        </w:rPr>
        <w:t>370</w:t>
      </w:r>
      <w:r>
        <w:rPr>
          <w:lang w:val="en-US"/>
        </w:rPr>
        <w:t>, 1300</w:t>
      </w:r>
      <w:r>
        <w:t>-1309 (2020)</w:t>
      </w:r>
      <w:r>
        <w:rPr>
          <w:lang w:val="en-US"/>
        </w:rPr>
        <w:t>.</w:t>
      </w:r>
    </w:p>
    <w:p>
      <w:pPr>
        <w:spacing w:line="360" w:lineRule="auto"/>
        <w:jc w:val="both"/>
      </w:pPr>
      <w:r>
        <w:rPr>
          <w:rFonts w:hint="eastAsia"/>
          <w:lang w:val="en-US" w:eastAsia="zh-CN"/>
        </w:rPr>
        <w:t>3</w:t>
      </w:r>
      <w:r>
        <w:t>6</w:t>
      </w:r>
      <w:r>
        <w:rPr>
          <w:lang w:val="en-US"/>
        </w:rPr>
        <w:t xml:space="preserve">. </w:t>
      </w:r>
      <w:r>
        <w:t xml:space="preserve">National renewble energy laboratory, (NREL) chart, </w:t>
      </w:r>
      <w:r>
        <w:fldChar w:fldCharType="begin"/>
      </w:r>
      <w:r>
        <w:instrText xml:space="preserve"> HYPERLINK "https://www.nrel.gov/pv/assets/pdfs/pvefficiency-chart.20200104.pdf," </w:instrText>
      </w:r>
      <w:r>
        <w:fldChar w:fldCharType="separate"/>
      </w:r>
      <w:r>
        <w:rPr>
          <w:rStyle w:val="99"/>
        </w:rPr>
        <w:t>https://www.nrel.gov/pv/assets/pdfs/pvefficiency-chart.20200104.pdf,</w:t>
      </w:r>
      <w:r>
        <w:rPr>
          <w:rStyle w:val="99"/>
        </w:rPr>
        <w:fldChar w:fldCharType="end"/>
      </w:r>
      <w:r>
        <w:t xml:space="preserve"> (2020).</w:t>
      </w:r>
    </w:p>
    <w:p>
      <w:pPr>
        <w:spacing w:line="360" w:lineRule="auto"/>
        <w:jc w:val="both"/>
        <w:rPr>
          <w:lang w:val="en-US"/>
        </w:rPr>
      </w:pPr>
      <w:r>
        <w:rPr>
          <w:rFonts w:hint="eastAsia"/>
          <w:lang w:val="en-US" w:eastAsia="zh-CN"/>
        </w:rPr>
        <w:t>3</w:t>
      </w:r>
      <w:r>
        <w:rPr>
          <w:lang w:val="en-US"/>
        </w:rPr>
        <w:t xml:space="preserve">7. Bastiani, M. D. </w:t>
      </w:r>
      <w:r>
        <w:rPr>
          <w:rFonts w:hint="eastAsia" w:eastAsia="宋体"/>
          <w:i/>
          <w:iCs/>
          <w:kern w:val="2"/>
          <w:szCs w:val="24"/>
          <w:lang w:val="en-US" w:eastAsia="zh-CN" w:bidi="ar"/>
        </w:rPr>
        <w:t>et al.</w:t>
      </w:r>
      <w:r>
        <w:rPr>
          <w:rFonts w:hint="eastAsia" w:eastAsia="宋体"/>
          <w:kern w:val="2"/>
          <w:szCs w:val="24"/>
          <w:lang w:val="en-US" w:eastAsia="zh-CN" w:bidi="ar"/>
        </w:rPr>
        <w:t xml:space="preserve"> </w:t>
      </w:r>
      <w:r>
        <w:t xml:space="preserve">Efficient bifacial monolithic perovskite/silicon tandem solar cells via bandgap engineering. </w:t>
      </w:r>
      <w:r>
        <w:rPr>
          <w:i/>
          <w:iCs/>
          <w:lang w:val="en-US"/>
        </w:rPr>
        <w:t>Nat. Energy</w:t>
      </w:r>
      <w:r>
        <w:rPr>
          <w:lang w:val="en-US"/>
        </w:rPr>
        <w:t xml:space="preserve"> </w:t>
      </w:r>
      <w:r>
        <w:rPr>
          <w:b/>
          <w:bCs/>
          <w:lang w:val="en-US"/>
        </w:rPr>
        <w:t>6</w:t>
      </w:r>
      <w:r>
        <w:rPr>
          <w:lang w:val="en-US"/>
        </w:rPr>
        <w:t>, 167</w:t>
      </w:r>
      <w:r>
        <w:t>-175 (2021)</w:t>
      </w:r>
      <w:r>
        <w:rPr>
          <w:lang w:val="en-US"/>
        </w:rPr>
        <w:t>.</w:t>
      </w:r>
    </w:p>
    <w:p>
      <w:pPr>
        <w:spacing w:line="360" w:lineRule="auto"/>
        <w:jc w:val="both"/>
        <w:rPr>
          <w:lang w:val="en-US"/>
        </w:rPr>
      </w:pPr>
      <w:r>
        <w:rPr>
          <w:rFonts w:hint="eastAsia"/>
          <w:lang w:val="en-US" w:eastAsia="zh-CN"/>
        </w:rPr>
        <w:t>3</w:t>
      </w:r>
      <w:r>
        <w:rPr>
          <w:lang w:val="en-US"/>
        </w:rPr>
        <w:t xml:space="preserve">8. Isikgor, F. H. </w:t>
      </w:r>
      <w:r>
        <w:rPr>
          <w:rFonts w:hint="eastAsia" w:eastAsia="宋体"/>
          <w:i/>
          <w:iCs/>
          <w:kern w:val="2"/>
          <w:szCs w:val="24"/>
          <w:lang w:val="en-US" w:eastAsia="zh-CN" w:bidi="ar"/>
        </w:rPr>
        <w:t>et al.</w:t>
      </w:r>
      <w:r>
        <w:rPr>
          <w:rFonts w:hint="eastAsia" w:eastAsia="宋体"/>
          <w:kern w:val="2"/>
          <w:szCs w:val="24"/>
          <w:lang w:val="en-US" w:eastAsia="zh-CN" w:bidi="ar"/>
        </w:rPr>
        <w:t xml:space="preserve"> </w:t>
      </w:r>
      <w:r>
        <w:t xml:space="preserve">Concurrent cationic and anionic perovskite defect passivation enables 27.4% perovskite/silicon tandems with suppression of halide segregation. </w:t>
      </w:r>
      <w:r>
        <w:rPr>
          <w:i/>
          <w:iCs/>
          <w:lang w:val="en-US"/>
        </w:rPr>
        <w:t>Joule</w:t>
      </w:r>
      <w:r>
        <w:rPr>
          <w:lang w:val="en-US"/>
        </w:rPr>
        <w:t xml:space="preserve"> </w:t>
      </w:r>
      <w:r>
        <w:rPr>
          <w:b/>
          <w:bCs/>
          <w:lang w:val="en-US"/>
        </w:rPr>
        <w:t>5</w:t>
      </w:r>
      <w:r>
        <w:rPr>
          <w:lang w:val="en-US"/>
        </w:rPr>
        <w:t>, P1566</w:t>
      </w:r>
      <w:r>
        <w:t xml:space="preserve"> (2021)</w:t>
      </w:r>
      <w:r>
        <w:rPr>
          <w:lang w:val="en-US"/>
        </w:rPr>
        <w:t>.</w:t>
      </w:r>
    </w:p>
    <w:p>
      <w:pPr>
        <w:spacing w:line="360" w:lineRule="auto"/>
        <w:jc w:val="both"/>
      </w:pPr>
      <w:r>
        <w:rPr>
          <w:rFonts w:hint="eastAsia"/>
          <w:lang w:val="en-US" w:eastAsia="zh-CN"/>
        </w:rPr>
        <w:t>3</w:t>
      </w:r>
      <w:r>
        <w:rPr>
          <w:lang w:val="en-US"/>
        </w:rPr>
        <w:t xml:space="preserve">9. Li, Y. C. </w:t>
      </w:r>
      <w:r>
        <w:rPr>
          <w:rFonts w:hint="eastAsia" w:eastAsia="宋体"/>
          <w:i/>
          <w:iCs/>
          <w:kern w:val="2"/>
          <w:szCs w:val="24"/>
          <w:lang w:val="en-US" w:eastAsia="zh-CN" w:bidi="ar"/>
        </w:rPr>
        <w:t>et al.</w:t>
      </w:r>
      <w:r>
        <w:rPr>
          <w:rFonts w:hint="eastAsia" w:eastAsia="宋体"/>
          <w:kern w:val="2"/>
          <w:szCs w:val="24"/>
          <w:lang w:val="en-US" w:eastAsia="zh-CN" w:bidi="ar"/>
        </w:rPr>
        <w:t xml:space="preserve"> </w:t>
      </w:r>
      <w:r>
        <w:t xml:space="preserve">Wide bandgap interface layer induced stabilized perovskite/silicon tandem solar cells with stability over ten thousand hours. </w:t>
      </w:r>
      <w:r>
        <w:rPr>
          <w:i/>
          <w:iCs/>
          <w:lang w:val="en-US"/>
        </w:rPr>
        <w:t xml:space="preserve">Adv. </w:t>
      </w:r>
      <w:r>
        <w:rPr>
          <w:i/>
          <w:iCs/>
        </w:rPr>
        <w:t>Energy Mater.</w:t>
      </w:r>
      <w:r>
        <w:t xml:space="preserve"> 2102046 (2021).</w:t>
      </w:r>
    </w:p>
    <w:p>
      <w:pPr>
        <w:spacing w:line="360" w:lineRule="auto"/>
        <w:jc w:val="both"/>
      </w:pPr>
      <w:r>
        <w:rPr>
          <w:rFonts w:hint="eastAsia"/>
          <w:lang w:val="en-US" w:eastAsia="zh-CN"/>
        </w:rPr>
        <w:t>4</w:t>
      </w:r>
      <w:r>
        <w:t xml:space="preserve">0. Zheng, J. h. </w:t>
      </w:r>
      <w:r>
        <w:rPr>
          <w:rFonts w:hint="eastAsia" w:eastAsia="宋体"/>
          <w:i/>
          <w:iCs/>
          <w:kern w:val="2"/>
          <w:szCs w:val="24"/>
          <w:lang w:val="en-US" w:eastAsia="zh-CN" w:bidi="ar"/>
        </w:rPr>
        <w:t>et al.</w:t>
      </w:r>
      <w:r>
        <w:rPr>
          <w:rFonts w:hint="eastAsia" w:eastAsia="宋体"/>
          <w:kern w:val="2"/>
          <w:szCs w:val="24"/>
          <w:lang w:val="en-US" w:eastAsia="zh-CN" w:bidi="ar"/>
        </w:rPr>
        <w:t xml:space="preserve"> </w:t>
      </w:r>
      <w:r>
        <w:t xml:space="preserve">Large area efficient interface layer free monolithic perovskite/homo-junction-silicon tandem solar cell with over 20% efficiency. </w:t>
      </w:r>
      <w:r>
        <w:rPr>
          <w:i/>
          <w:iCs/>
        </w:rPr>
        <w:t xml:space="preserve">Energy Environ. Sci. </w:t>
      </w:r>
      <w:r>
        <w:rPr>
          <w:b/>
          <w:bCs/>
        </w:rPr>
        <w:t>11</w:t>
      </w:r>
      <w:r>
        <w:t>, 2432 (2018).</w:t>
      </w:r>
    </w:p>
    <w:p>
      <w:pPr>
        <w:spacing w:line="360" w:lineRule="auto"/>
        <w:jc w:val="both"/>
        <w:rPr>
          <w:szCs w:val="24"/>
        </w:rPr>
      </w:pPr>
      <w:r>
        <w:rPr>
          <w:rFonts w:hint="eastAsia"/>
          <w:lang w:val="en-US" w:eastAsia="zh-CN"/>
        </w:rPr>
        <w:t>4</w:t>
      </w:r>
      <w:r>
        <w:t xml:space="preserve">1. Sahli, F. </w:t>
      </w:r>
      <w:r>
        <w:rPr>
          <w:rFonts w:hint="eastAsia" w:eastAsia="宋体"/>
          <w:i/>
          <w:iCs/>
          <w:kern w:val="2"/>
          <w:szCs w:val="24"/>
          <w:lang w:val="en-US" w:eastAsia="zh-CN" w:bidi="ar"/>
        </w:rPr>
        <w:t>et al.</w:t>
      </w:r>
      <w:r>
        <w:rPr>
          <w:rFonts w:hint="eastAsia" w:eastAsia="宋体"/>
          <w:kern w:val="2"/>
          <w:szCs w:val="24"/>
          <w:lang w:val="en-US" w:eastAsia="zh-CN" w:bidi="ar"/>
        </w:rPr>
        <w:t xml:space="preserve"> </w:t>
      </w:r>
      <w:r>
        <w:t xml:space="preserve">Improved </w:t>
      </w:r>
      <w:r>
        <w:rPr>
          <w:szCs w:val="24"/>
        </w:rPr>
        <w:t xml:space="preserve">optics in monolithic perovskite/silicon tandem solar cells with a nanocrystalline silicon recombination junction. </w:t>
      </w:r>
      <w:r>
        <w:rPr>
          <w:i/>
          <w:iCs/>
          <w:szCs w:val="24"/>
        </w:rPr>
        <w:t xml:space="preserve">Adv. Energy Mater. </w:t>
      </w:r>
      <w:r>
        <w:rPr>
          <w:b/>
          <w:bCs/>
          <w:szCs w:val="24"/>
        </w:rPr>
        <w:t>8</w:t>
      </w:r>
      <w:r>
        <w:rPr>
          <w:i/>
          <w:iCs/>
          <w:szCs w:val="24"/>
        </w:rPr>
        <w:t>,</w:t>
      </w:r>
      <w:r>
        <w:rPr>
          <w:szCs w:val="24"/>
        </w:rPr>
        <w:t xml:space="preserve"> 1701609 (2018).</w:t>
      </w:r>
    </w:p>
    <w:p>
      <w:pPr>
        <w:spacing w:line="360" w:lineRule="auto"/>
        <w:jc w:val="both"/>
        <w:rPr>
          <w:szCs w:val="24"/>
        </w:rPr>
      </w:pPr>
      <w:r>
        <w:rPr>
          <w:rFonts w:hint="eastAsia"/>
          <w:szCs w:val="24"/>
          <w:lang w:val="en-US" w:eastAsia="zh-CN"/>
        </w:rPr>
        <w:t>4</w:t>
      </w:r>
      <w:r>
        <w:rPr>
          <w:szCs w:val="24"/>
        </w:rPr>
        <w:t xml:space="preserve">2. Zheng, J. H. </w:t>
      </w:r>
      <w:r>
        <w:rPr>
          <w:rFonts w:hint="eastAsia" w:eastAsia="宋体"/>
          <w:i/>
          <w:iCs/>
          <w:kern w:val="2"/>
          <w:szCs w:val="24"/>
          <w:lang w:val="en-US" w:eastAsia="zh-CN" w:bidi="ar"/>
        </w:rPr>
        <w:t xml:space="preserve">et al. </w:t>
      </w:r>
      <w:r>
        <w:rPr>
          <w:szCs w:val="24"/>
        </w:rPr>
        <w:t>21.8% efficient monolithic perovskite/homo-junction-silicon tandem solar cell on 16 cm</w:t>
      </w:r>
      <w:r>
        <w:rPr>
          <w:szCs w:val="24"/>
          <w:vertAlign w:val="superscript"/>
        </w:rPr>
        <w:t>2</w:t>
      </w:r>
      <w:r>
        <w:rPr>
          <w:szCs w:val="24"/>
        </w:rPr>
        <w:t xml:space="preserve">. </w:t>
      </w:r>
      <w:r>
        <w:rPr>
          <w:i/>
          <w:iCs/>
          <w:szCs w:val="24"/>
        </w:rPr>
        <w:t>ACS Energy Lett.</w:t>
      </w:r>
      <w:r>
        <w:rPr>
          <w:szCs w:val="24"/>
        </w:rPr>
        <w:t xml:space="preserve"> </w:t>
      </w:r>
      <w:r>
        <w:rPr>
          <w:b/>
          <w:bCs/>
          <w:szCs w:val="24"/>
        </w:rPr>
        <w:t>3</w:t>
      </w:r>
      <w:r>
        <w:rPr>
          <w:szCs w:val="24"/>
        </w:rPr>
        <w:t>, 2299−2300 (2018).</w:t>
      </w:r>
    </w:p>
    <w:p>
      <w:pPr>
        <w:jc w:val="both"/>
        <w:rPr>
          <w:szCs w:val="24"/>
        </w:rPr>
      </w:pPr>
      <w:r>
        <w:rPr>
          <w:rFonts w:hint="eastAsia"/>
          <w:szCs w:val="24"/>
          <w:lang w:val="en-US" w:eastAsia="zh-CN"/>
        </w:rPr>
        <w:t>4</w:t>
      </w:r>
      <w:r>
        <w:rPr>
          <w:szCs w:val="24"/>
        </w:rPr>
        <w:t xml:space="preserve">3. Kamino, B. A. </w:t>
      </w:r>
      <w:r>
        <w:rPr>
          <w:rFonts w:hint="eastAsia" w:eastAsia="宋体"/>
          <w:i/>
          <w:iCs/>
          <w:kern w:val="2"/>
          <w:szCs w:val="24"/>
          <w:lang w:val="en-US" w:eastAsia="zh-CN" w:bidi="ar"/>
        </w:rPr>
        <w:t xml:space="preserve">et al. </w:t>
      </w:r>
      <w:r>
        <w:rPr>
          <w:szCs w:val="24"/>
        </w:rPr>
        <w:t xml:space="preserve">low-temperature screen-printed metallization for the scale-up of two-terminal perovskite−silicon tandems. </w:t>
      </w:r>
      <w:r>
        <w:rPr>
          <w:i/>
          <w:iCs/>
          <w:szCs w:val="24"/>
        </w:rPr>
        <w:t>ACS Appl. Energy Mater.</w:t>
      </w:r>
      <w:r>
        <w:rPr>
          <w:b/>
          <w:bCs/>
          <w:szCs w:val="24"/>
        </w:rPr>
        <w:t xml:space="preserve"> 2</w:t>
      </w:r>
      <w:r>
        <w:rPr>
          <w:szCs w:val="24"/>
        </w:rPr>
        <w:t>, 3815−3821 (2019).</w:t>
      </w:r>
    </w:p>
    <w:p>
      <w:pPr>
        <w:spacing w:line="360" w:lineRule="auto"/>
        <w:jc w:val="both"/>
        <w:rPr>
          <w:rFonts w:eastAsia="宋体"/>
          <w:kern w:val="2"/>
          <w:szCs w:val="24"/>
          <w:lang w:eastAsia="zh-CN" w:bidi="ar"/>
        </w:rPr>
      </w:pPr>
      <w:r>
        <w:rPr>
          <w:rFonts w:hint="eastAsia" w:eastAsia="宋体"/>
          <w:kern w:val="2"/>
          <w:szCs w:val="24"/>
          <w:lang w:val="en-US" w:eastAsia="zh-CN" w:bidi="ar"/>
        </w:rPr>
        <w:t>44</w:t>
      </w:r>
      <w:r>
        <w:rPr>
          <w:rFonts w:eastAsia="宋体"/>
          <w:kern w:val="2"/>
          <w:szCs w:val="24"/>
          <w:lang w:eastAsia="zh-CN" w:bidi="ar"/>
        </w:rPr>
        <w:t>.</w:t>
      </w:r>
      <w:r>
        <w:rPr>
          <w:rFonts w:eastAsia="宋体"/>
          <w:kern w:val="2"/>
          <w:szCs w:val="24"/>
          <w:lang w:eastAsia="zh-CN" w:bidi="ar"/>
        </w:rPr>
        <w:tab/>
      </w:r>
      <w:r>
        <w:rPr>
          <w:rFonts w:eastAsia="宋体"/>
          <w:kern w:val="2"/>
          <w:szCs w:val="24"/>
          <w:lang w:eastAsia="zh-CN" w:bidi="ar"/>
        </w:rPr>
        <w:t xml:space="preserve">Jenkins, H. Thakur, K. Reappraisal of thermochemical radii for complex ions. </w:t>
      </w:r>
      <w:r>
        <w:rPr>
          <w:rFonts w:eastAsia="宋体"/>
          <w:i/>
          <w:iCs/>
          <w:kern w:val="2"/>
          <w:szCs w:val="24"/>
          <w:lang w:eastAsia="zh-CN" w:bidi="ar"/>
        </w:rPr>
        <w:t>J. Chem. Educ.</w:t>
      </w:r>
      <w:r>
        <w:rPr>
          <w:rFonts w:eastAsia="宋体"/>
          <w:kern w:val="2"/>
          <w:szCs w:val="24"/>
          <w:lang w:eastAsia="zh-CN" w:bidi="ar"/>
        </w:rPr>
        <w:t xml:space="preserve"> </w:t>
      </w:r>
      <w:r>
        <w:rPr>
          <w:rFonts w:eastAsia="宋体"/>
          <w:b/>
          <w:bCs/>
          <w:kern w:val="2"/>
          <w:szCs w:val="24"/>
          <w:lang w:eastAsia="zh-CN" w:bidi="ar"/>
        </w:rPr>
        <w:t>56</w:t>
      </w:r>
      <w:r>
        <w:rPr>
          <w:rFonts w:eastAsia="宋体"/>
          <w:kern w:val="2"/>
          <w:szCs w:val="24"/>
          <w:lang w:eastAsia="zh-CN" w:bidi="ar"/>
        </w:rPr>
        <w:t>, 576 (1979).</w:t>
      </w:r>
    </w:p>
    <w:p>
      <w:pPr>
        <w:widowControl w:val="0"/>
        <w:spacing w:line="360" w:lineRule="auto"/>
        <w:jc w:val="both"/>
        <w:rPr>
          <w:b/>
        </w:rPr>
      </w:pPr>
      <w:r>
        <w:rPr>
          <w:rFonts w:hint="eastAsia" w:eastAsia="宋体"/>
          <w:kern w:val="2"/>
          <w:szCs w:val="24"/>
          <w:lang w:val="en-US" w:eastAsia="zh-CN" w:bidi="ar"/>
        </w:rPr>
        <w:t>45</w:t>
      </w:r>
      <w:r>
        <w:rPr>
          <w:rFonts w:eastAsia="宋体"/>
          <w:kern w:val="2"/>
          <w:szCs w:val="24"/>
          <w:lang w:eastAsia="zh-CN" w:bidi="ar"/>
        </w:rPr>
        <w:t>.</w:t>
      </w:r>
      <w:r>
        <w:rPr>
          <w:rFonts w:eastAsia="宋体"/>
          <w:kern w:val="2"/>
          <w:szCs w:val="24"/>
          <w:lang w:eastAsia="zh-CN" w:bidi="ar"/>
        </w:rPr>
        <w:tab/>
      </w:r>
      <w:r>
        <w:rPr>
          <w:rFonts w:eastAsia="宋体"/>
          <w:kern w:val="2"/>
          <w:szCs w:val="24"/>
          <w:lang w:eastAsia="zh-CN" w:bidi="ar"/>
        </w:rPr>
        <w:t xml:space="preserve">Jeong, J. </w:t>
      </w:r>
      <w:r>
        <w:rPr>
          <w:rFonts w:hint="eastAsia" w:eastAsia="宋体"/>
          <w:i/>
          <w:iCs/>
          <w:kern w:val="2"/>
          <w:szCs w:val="24"/>
          <w:lang w:val="en-US" w:eastAsia="zh-CN" w:bidi="ar"/>
        </w:rPr>
        <w:t>et al.</w:t>
      </w:r>
      <w:r>
        <w:rPr>
          <w:rFonts w:hint="eastAsia" w:eastAsia="宋体"/>
          <w:kern w:val="2"/>
          <w:szCs w:val="24"/>
          <w:lang w:val="en-US" w:eastAsia="zh-CN" w:bidi="ar"/>
        </w:rPr>
        <w:t xml:space="preserve"> </w:t>
      </w:r>
      <w:r>
        <w:rPr>
          <w:rFonts w:eastAsia="宋体"/>
          <w:kern w:val="2"/>
          <w:szCs w:val="24"/>
          <w:lang w:eastAsia="zh-CN" w:bidi="ar"/>
        </w:rPr>
        <w:t>Pseudo-halide anion engineering for α-FAPbI</w:t>
      </w:r>
      <w:r>
        <w:rPr>
          <w:rFonts w:eastAsia="宋体"/>
          <w:kern w:val="2"/>
          <w:szCs w:val="24"/>
          <w:vertAlign w:val="subscript"/>
          <w:lang w:eastAsia="zh-CN" w:bidi="ar"/>
        </w:rPr>
        <w:t>3</w:t>
      </w:r>
      <w:r>
        <w:rPr>
          <w:rFonts w:eastAsia="宋体"/>
          <w:kern w:val="2"/>
          <w:szCs w:val="24"/>
          <w:lang w:eastAsia="zh-CN" w:bidi="ar"/>
        </w:rPr>
        <w:t xml:space="preserve"> perovskite solar cells. </w:t>
      </w:r>
      <w:r>
        <w:rPr>
          <w:rFonts w:eastAsia="宋体"/>
          <w:i/>
          <w:iCs/>
          <w:kern w:val="2"/>
          <w:szCs w:val="24"/>
          <w:lang w:eastAsia="zh-CN" w:bidi="ar"/>
        </w:rPr>
        <w:t>Nature</w:t>
      </w:r>
      <w:r>
        <w:rPr>
          <w:rFonts w:eastAsia="宋体"/>
          <w:kern w:val="2"/>
          <w:szCs w:val="24"/>
          <w:lang w:eastAsia="zh-CN" w:bidi="ar"/>
        </w:rPr>
        <w:t xml:space="preserve"> </w:t>
      </w:r>
      <w:r>
        <w:rPr>
          <w:rFonts w:eastAsia="宋体"/>
          <w:b/>
          <w:bCs/>
          <w:kern w:val="2"/>
          <w:szCs w:val="24"/>
          <w:lang w:eastAsia="zh-CN" w:bidi="ar"/>
        </w:rPr>
        <w:t>592</w:t>
      </w:r>
      <w:r>
        <w:rPr>
          <w:rFonts w:eastAsia="宋体"/>
          <w:kern w:val="2"/>
          <w:szCs w:val="24"/>
          <w:lang w:eastAsia="zh-CN" w:bidi="ar"/>
        </w:rPr>
        <w:t>, 381-385 (2021).</w:t>
      </w:r>
    </w:p>
    <w:p>
      <w:pPr>
        <w:jc w:val="both"/>
        <w:rPr>
          <w:szCs w:val="24"/>
        </w:rPr>
      </w:pPr>
    </w:p>
    <w:p>
      <w:pPr>
        <w:jc w:val="both"/>
        <w:rPr>
          <w:b/>
        </w:rPr>
      </w:pPr>
    </w:p>
    <w:p>
      <w:pPr>
        <w:jc w:val="both"/>
        <w:rPr>
          <w:b/>
        </w:rPr>
      </w:pPr>
    </w:p>
    <w:p>
      <w:pPr>
        <w:jc w:val="both"/>
        <w:rPr>
          <w:b/>
        </w:rPr>
      </w:pPr>
    </w:p>
    <w:p>
      <w:pPr>
        <w:jc w:val="both"/>
        <w:rPr>
          <w:b/>
        </w:rPr>
      </w:pPr>
    </w:p>
    <w:p>
      <w:pPr>
        <w:jc w:val="both"/>
        <w:rPr>
          <w:b/>
        </w:rPr>
      </w:pPr>
    </w:p>
    <w:p>
      <w:pPr>
        <w:jc w:val="both"/>
        <w:rPr>
          <w:b/>
        </w:rPr>
      </w:pPr>
    </w:p>
    <w:p>
      <w:pPr>
        <w:jc w:val="both"/>
        <w:rPr>
          <w:b/>
        </w:rPr>
      </w:pPr>
    </w:p>
    <w:p>
      <w:pPr>
        <w:jc w:val="both"/>
        <w:rPr>
          <w:b/>
        </w:rPr>
      </w:pPr>
    </w:p>
    <w:p>
      <w:pPr>
        <w:jc w:val="both"/>
        <w:rPr>
          <w:b/>
        </w:rPr>
      </w:pPr>
    </w:p>
    <w:p>
      <w:pPr>
        <w:jc w:val="both"/>
        <w:rPr>
          <w:b/>
        </w:rPr>
      </w:pPr>
    </w:p>
    <w:p>
      <w:pPr>
        <w:jc w:val="both"/>
        <w:rPr>
          <w:b/>
        </w:rPr>
      </w:pPr>
    </w:p>
    <w:p>
      <w:pPr>
        <w:jc w:val="both"/>
        <w:rPr>
          <w:b/>
        </w:rPr>
      </w:pPr>
    </w:p>
    <w:p>
      <w:pPr>
        <w:jc w:val="both"/>
        <w:rPr>
          <w:b/>
        </w:rPr>
      </w:pPr>
    </w:p>
    <w:p>
      <w:pPr>
        <w:jc w:val="both"/>
        <w:rPr>
          <w:b/>
        </w:rPr>
      </w:pPr>
    </w:p>
    <w:p>
      <w:pPr>
        <w:jc w:val="both"/>
        <w:rPr>
          <w:b/>
        </w:rPr>
      </w:pPr>
    </w:p>
    <w:p>
      <w:pPr>
        <w:jc w:val="both"/>
        <w:rPr>
          <w:b/>
        </w:rPr>
      </w:pPr>
    </w:p>
    <w:p>
      <w:pPr>
        <w:jc w:val="both"/>
        <w:rPr>
          <w:b/>
        </w:rPr>
      </w:pPr>
    </w:p>
    <w:p>
      <w:pPr>
        <w:jc w:val="both"/>
        <w:rPr>
          <w:b/>
        </w:rPr>
      </w:pPr>
    </w:p>
    <w:p>
      <w:pPr>
        <w:jc w:val="both"/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Times">
    <w:altName w:val="Times New Roman"/>
    <w:panose1 w:val="02020603050405020304"/>
    <w:charset w:val="00"/>
    <w:family w:val="auto"/>
    <w:pitch w:val="default"/>
    <w:sig w:usb0="00000000" w:usb1="00000000" w:usb2="00000000" w:usb3="00000000" w:csb0="0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System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MS Mincho">
    <w:panose1 w:val="02020609040205080304"/>
    <w:charset w:val="80"/>
    <w:family w:val="modern"/>
    <w:pitch w:val="default"/>
    <w:sig w:usb0="A00002BF" w:usb1="68C7FCFB" w:usb2="00000010" w:usb3="00000000" w:csb0="4002009F" w:csb1="DFD70000"/>
  </w:font>
  <w:font w:name="Batang">
    <w:altName w:val="Malgun Gothic"/>
    <w:panose1 w:val="02030600000101010101"/>
    <w:charset w:val="81"/>
    <w:family w:val="roman"/>
    <w:pitch w:val="default"/>
    <w:sig w:usb0="00000000" w:usb1="00000000" w:usb2="00000030" w:usb3="00000000" w:csb0="0008009F" w:csb1="00000000"/>
  </w:font>
  <w:font w:name="Helv">
    <w:altName w:val="Segoe Print"/>
    <w:panose1 w:val="020B0604020202030204"/>
    <w:charset w:val="00"/>
    <w:family w:val="swiss"/>
    <w:pitch w:val="default"/>
    <w:sig w:usb0="00000000" w:usb1="00000000" w:usb2="00000000" w:usb3="00000000" w:csb0="00000001" w:csb1="00000000"/>
  </w:font>
  <w:font w:name="PMingLiU">
    <w:altName w:val="Microsoft JhengHei UI"/>
    <w:panose1 w:val="02010601000101010101"/>
    <w:charset w:val="88"/>
    <w:family w:val="roman"/>
    <w:pitch w:val="default"/>
    <w:sig w:usb0="00000000" w:usb1="00000000" w:usb2="00000016" w:usb3="00000000" w:csb0="00100001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Dotum">
    <w:altName w:val="Malgun Gothic"/>
    <w:panose1 w:val="020B0600000101010101"/>
    <w:charset w:val="81"/>
    <w:family w:val="swiss"/>
    <w:pitch w:val="default"/>
    <w:sig w:usb0="00000000" w:usb1="00000000" w:usb2="00000030" w:usb3="00000000" w:csb0="0008009F" w:csb1="00000000"/>
  </w:font>
  <w:font w:name="MingLiU">
    <w:altName w:val="PMingLiU-ExtB"/>
    <w:panose1 w:val="02010609000101010101"/>
    <w:charset w:val="88"/>
    <w:family w:val="modern"/>
    <w:pitch w:val="default"/>
    <w:sig w:usb0="00000000" w:usb1="00000000" w:usb2="00000016" w:usb3="00000000" w:csb0="0010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dvGulliv-R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Microsoft JhengHei U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7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t>22</w:t>
    </w:r>
    <w:r>
      <w:fldChar w:fldCharType="end"/>
    </w:r>
  </w:p>
  <w:p>
    <w:pPr>
      <w:pStyle w:val="57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right"/>
      <w:rPr>
        <w:sz w:val="20"/>
      </w:rPr>
    </w:pPr>
  </w:p>
  <w:p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FFFFFF7C"/>
    <w:lvl w:ilvl="0" w:tentative="0">
      <w:start w:val="1"/>
      <w:numFmt w:val="decimal"/>
      <w:pStyle w:val="68"/>
      <w:lvlText w:val="%1."/>
      <w:lvlJc w:val="left"/>
      <w:pPr>
        <w:tabs>
          <w:tab w:val="left" w:pos="1800"/>
        </w:tabs>
        <w:ind w:left="1800" w:hanging="360"/>
      </w:pPr>
    </w:lvl>
  </w:abstractNum>
  <w:abstractNum w:abstractNumId="1">
    <w:nsid w:val="FFFFFF7D"/>
    <w:multiLevelType w:val="singleLevel"/>
    <w:tmpl w:val="FFFFFF7D"/>
    <w:lvl w:ilvl="0" w:tentative="0">
      <w:start w:val="1"/>
      <w:numFmt w:val="decimal"/>
      <w:pStyle w:val="49"/>
      <w:lvlText w:val="%1."/>
      <w:lvlJc w:val="left"/>
      <w:pPr>
        <w:tabs>
          <w:tab w:val="left" w:pos="1440"/>
        </w:tabs>
        <w:ind w:left="1440" w:hanging="360"/>
      </w:pPr>
    </w:lvl>
  </w:abstractNum>
  <w:abstractNum w:abstractNumId="2">
    <w:nsid w:val="FFFFFF7E"/>
    <w:multiLevelType w:val="singleLevel"/>
    <w:tmpl w:val="FFFFFF7E"/>
    <w:lvl w:ilvl="0" w:tentative="0">
      <w:start w:val="1"/>
      <w:numFmt w:val="decimal"/>
      <w:pStyle w:val="38"/>
      <w:lvlText w:val="%1."/>
      <w:lvlJc w:val="left"/>
      <w:pPr>
        <w:tabs>
          <w:tab w:val="left" w:pos="1080"/>
        </w:tabs>
        <w:ind w:left="1080" w:hanging="360"/>
      </w:pPr>
    </w:lvl>
  </w:abstractNum>
  <w:abstractNum w:abstractNumId="3">
    <w:nsid w:val="FFFFFF7F"/>
    <w:multiLevelType w:val="singleLevel"/>
    <w:tmpl w:val="FFFFFF7F"/>
    <w:lvl w:ilvl="0" w:tentative="0">
      <w:start w:val="1"/>
      <w:numFmt w:val="decimal"/>
      <w:pStyle w:val="17"/>
      <w:lvlText w:val="%1."/>
      <w:lvlJc w:val="left"/>
      <w:pPr>
        <w:tabs>
          <w:tab w:val="left" w:pos="720"/>
        </w:tabs>
        <w:ind w:left="720" w:hanging="360"/>
      </w:pPr>
    </w:lvl>
  </w:abstractNum>
  <w:abstractNum w:abstractNumId="4">
    <w:nsid w:val="FFFFFF80"/>
    <w:multiLevelType w:val="singleLevel"/>
    <w:tmpl w:val="FFFFFF80"/>
    <w:lvl w:ilvl="0" w:tentative="0">
      <w:start w:val="1"/>
      <w:numFmt w:val="bullet"/>
      <w:pStyle w:val="48"/>
      <w:lvlText w:val=""/>
      <w:lvlJc w:val="left"/>
      <w:pPr>
        <w:tabs>
          <w:tab w:val="left" w:pos="1800"/>
        </w:tabs>
        <w:ind w:left="1800" w:hanging="360"/>
      </w:pPr>
      <w:rPr>
        <w:rFonts w:hint="default" w:ascii="Symbol" w:hAnsi="Symbol"/>
      </w:rPr>
    </w:lvl>
  </w:abstractNum>
  <w:abstractNum w:abstractNumId="5">
    <w:nsid w:val="FFFFFF81"/>
    <w:multiLevelType w:val="singleLevel"/>
    <w:tmpl w:val="FFFFFF81"/>
    <w:lvl w:ilvl="0" w:tentative="0">
      <w:start w:val="1"/>
      <w:numFmt w:val="bullet"/>
      <w:pStyle w:val="21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/>
      </w:rPr>
    </w:lvl>
  </w:abstractNum>
  <w:abstractNum w:abstractNumId="6">
    <w:nsid w:val="FFFFFF82"/>
    <w:multiLevelType w:val="singleLevel"/>
    <w:tmpl w:val="FFFFFF82"/>
    <w:lvl w:ilvl="0" w:tentative="0">
      <w:start w:val="1"/>
      <w:numFmt w:val="bullet"/>
      <w:pStyle w:val="36"/>
      <w:lvlText w:val=""/>
      <w:lvlJc w:val="left"/>
      <w:pPr>
        <w:tabs>
          <w:tab w:val="left" w:pos="1080"/>
        </w:tabs>
        <w:ind w:left="1080" w:hanging="360"/>
      </w:pPr>
      <w:rPr>
        <w:rFonts w:hint="default" w:ascii="Symbol" w:hAnsi="Symbol"/>
      </w:rPr>
    </w:lvl>
  </w:abstractNum>
  <w:abstractNum w:abstractNumId="7">
    <w:nsid w:val="FFFFFF83"/>
    <w:multiLevelType w:val="singleLevel"/>
    <w:tmpl w:val="FFFFFF83"/>
    <w:lvl w:ilvl="0" w:tentative="0">
      <w:start w:val="1"/>
      <w:numFmt w:val="bullet"/>
      <w:pStyle w:val="42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</w:rPr>
    </w:lvl>
  </w:abstractNum>
  <w:abstractNum w:abstractNumId="8">
    <w:nsid w:val="FFFFFF88"/>
    <w:multiLevelType w:val="singleLevel"/>
    <w:tmpl w:val="FFFFFF88"/>
    <w:lvl w:ilvl="0" w:tentative="0">
      <w:start w:val="1"/>
      <w:numFmt w:val="decimal"/>
      <w:pStyle w:val="24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>
    <w:nsid w:val="FFFFFF89"/>
    <w:multiLevelType w:val="singleLevel"/>
    <w:tmpl w:val="FFFFFF89"/>
    <w:lvl w:ilvl="0" w:tentative="0">
      <w:start w:val="1"/>
      <w:numFmt w:val="bullet"/>
      <w:pStyle w:val="28"/>
      <w:lvlText w:val=""/>
      <w:lvlJc w:val="left"/>
      <w:pPr>
        <w:tabs>
          <w:tab w:val="left" w:pos="360"/>
        </w:tabs>
        <w:ind w:left="360" w:hanging="360"/>
      </w:pPr>
      <w:rPr>
        <w:rFonts w:hint="default" w:ascii="Symbol" w:hAnsi="Symbol"/>
      </w:rPr>
    </w:lvl>
  </w:abstractNum>
  <w:num w:numId="1">
    <w:abstractNumId w:val="3"/>
  </w:num>
  <w:num w:numId="2">
    <w:abstractNumId w:val="5"/>
  </w:num>
  <w:num w:numId="3">
    <w:abstractNumId w:val="8"/>
  </w:num>
  <w:num w:numId="4">
    <w:abstractNumId w:val="9"/>
  </w:num>
  <w:num w:numId="5">
    <w:abstractNumId w:val="6"/>
  </w:num>
  <w:num w:numId="6">
    <w:abstractNumId w:val="2"/>
  </w:num>
  <w:num w:numId="7">
    <w:abstractNumId w:val="7"/>
  </w:num>
  <w:num w:numId="8">
    <w:abstractNumId w:val="4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stylePaneFormatFilter w:val="7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1" w:alternateStyleNames="0"/>
  <w:trackRevisions w:val="1"/>
  <w:documentProtection w:enforcement="0"/>
  <w:defaultTabStop w:val="720"/>
  <w:drawingGridHorizontalSpacing w:val="120"/>
  <w:drawingGridVerticalSpacing w:val="163"/>
  <w:displayHorizontalDrawingGridEvery w:val="0"/>
  <w:displayVerticalDrawingGridEvery w:val="2"/>
  <w:characterSpacingControl w:val="doNotCompress"/>
  <w:compat>
    <w:balanceSingleByteDoubleByteWidth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ayMDK0NDA0s7SwMDExNTBQ0lEKTi0uzszPAykwqgUAIrIHhCwAAAA="/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Science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f0r5sw9t922d04etxe25zppkxrazvee2eea9&quot;&gt;EPFL-2020&lt;record-ids&gt;&lt;item&gt;2&lt;/item&gt;&lt;item&gt;5&lt;/item&gt;&lt;item&gt;66&lt;/item&gt;&lt;item&gt;76&lt;/item&gt;&lt;item&gt;85&lt;/item&gt;&lt;item&gt;92&lt;/item&gt;&lt;item&gt;96&lt;/item&gt;&lt;item&gt;118&lt;/item&gt;&lt;item&gt;124&lt;/item&gt;&lt;item&gt;125&lt;/item&gt;&lt;item&gt;220&lt;/item&gt;&lt;item&gt;225&lt;/item&gt;&lt;item&gt;226&lt;/item&gt;&lt;item&gt;227&lt;/item&gt;&lt;item&gt;228&lt;/item&gt;&lt;item&gt;229&lt;/item&gt;&lt;item&gt;230&lt;/item&gt;&lt;item&gt;231&lt;/item&gt;&lt;item&gt;232&lt;/item&gt;&lt;item&gt;233&lt;/item&gt;&lt;item&gt;234&lt;/item&gt;&lt;item&gt;235&lt;/item&gt;&lt;item&gt;236&lt;/item&gt;&lt;item&gt;237&lt;/item&gt;&lt;item&gt;238&lt;/item&gt;&lt;item&gt;239&lt;/item&gt;&lt;/record-ids&gt;&lt;/item&gt;&lt;/Libraries&gt;"/>
  </w:docVars>
  <w:rsids>
    <w:rsidRoot w:val="002C030F"/>
    <w:rsid w:val="00000BDD"/>
    <w:rsid w:val="00001588"/>
    <w:rsid w:val="00015F74"/>
    <w:rsid w:val="00021AD7"/>
    <w:rsid w:val="0004071D"/>
    <w:rsid w:val="00042B4F"/>
    <w:rsid w:val="00045E3D"/>
    <w:rsid w:val="00055215"/>
    <w:rsid w:val="00065EBD"/>
    <w:rsid w:val="00076A2D"/>
    <w:rsid w:val="0007752D"/>
    <w:rsid w:val="000826A3"/>
    <w:rsid w:val="00083B44"/>
    <w:rsid w:val="000850DC"/>
    <w:rsid w:val="00095236"/>
    <w:rsid w:val="000A78D6"/>
    <w:rsid w:val="000B386A"/>
    <w:rsid w:val="000C2771"/>
    <w:rsid w:val="000C6969"/>
    <w:rsid w:val="000C7AEB"/>
    <w:rsid w:val="000D46F4"/>
    <w:rsid w:val="000D6D05"/>
    <w:rsid w:val="000E64CF"/>
    <w:rsid w:val="000F0DCE"/>
    <w:rsid w:val="000F60A3"/>
    <w:rsid w:val="000F6BE3"/>
    <w:rsid w:val="0010033A"/>
    <w:rsid w:val="001061AE"/>
    <w:rsid w:val="001062CE"/>
    <w:rsid w:val="00112C5B"/>
    <w:rsid w:val="00112CE8"/>
    <w:rsid w:val="00114193"/>
    <w:rsid w:val="0011553C"/>
    <w:rsid w:val="00115A38"/>
    <w:rsid w:val="0011687B"/>
    <w:rsid w:val="00122C16"/>
    <w:rsid w:val="00124F82"/>
    <w:rsid w:val="0014296F"/>
    <w:rsid w:val="0016337A"/>
    <w:rsid w:val="00164269"/>
    <w:rsid w:val="00173221"/>
    <w:rsid w:val="001849C6"/>
    <w:rsid w:val="00192B19"/>
    <w:rsid w:val="00196DB7"/>
    <w:rsid w:val="001A0F82"/>
    <w:rsid w:val="001A1BDE"/>
    <w:rsid w:val="001A4E0B"/>
    <w:rsid w:val="001A63F2"/>
    <w:rsid w:val="001B3B62"/>
    <w:rsid w:val="001B7CB4"/>
    <w:rsid w:val="001D1568"/>
    <w:rsid w:val="001D5937"/>
    <w:rsid w:val="001D6119"/>
    <w:rsid w:val="001F0876"/>
    <w:rsid w:val="001F167C"/>
    <w:rsid w:val="001F5E91"/>
    <w:rsid w:val="002077B9"/>
    <w:rsid w:val="00217C84"/>
    <w:rsid w:val="00221349"/>
    <w:rsid w:val="00222597"/>
    <w:rsid w:val="00226BC7"/>
    <w:rsid w:val="002313E4"/>
    <w:rsid w:val="00231543"/>
    <w:rsid w:val="00231CBD"/>
    <w:rsid w:val="00236AC6"/>
    <w:rsid w:val="002372D0"/>
    <w:rsid w:val="00244F54"/>
    <w:rsid w:val="0025111C"/>
    <w:rsid w:val="00262D72"/>
    <w:rsid w:val="00270973"/>
    <w:rsid w:val="00277F21"/>
    <w:rsid w:val="00294FBB"/>
    <w:rsid w:val="002A0490"/>
    <w:rsid w:val="002A33C4"/>
    <w:rsid w:val="002A565C"/>
    <w:rsid w:val="002A639E"/>
    <w:rsid w:val="002C030F"/>
    <w:rsid w:val="002C51B7"/>
    <w:rsid w:val="002D4793"/>
    <w:rsid w:val="002D4F32"/>
    <w:rsid w:val="002E1518"/>
    <w:rsid w:val="002E2958"/>
    <w:rsid w:val="002E7C67"/>
    <w:rsid w:val="002F55F4"/>
    <w:rsid w:val="002F5E81"/>
    <w:rsid w:val="00301796"/>
    <w:rsid w:val="00314887"/>
    <w:rsid w:val="0032439D"/>
    <w:rsid w:val="00325025"/>
    <w:rsid w:val="00331D75"/>
    <w:rsid w:val="0033442C"/>
    <w:rsid w:val="003405E1"/>
    <w:rsid w:val="00341FCB"/>
    <w:rsid w:val="00355362"/>
    <w:rsid w:val="00355BCF"/>
    <w:rsid w:val="00357354"/>
    <w:rsid w:val="00363E44"/>
    <w:rsid w:val="00395E86"/>
    <w:rsid w:val="003A2FD8"/>
    <w:rsid w:val="003B40E6"/>
    <w:rsid w:val="003C3696"/>
    <w:rsid w:val="003C4398"/>
    <w:rsid w:val="003C54EB"/>
    <w:rsid w:val="003E5FAA"/>
    <w:rsid w:val="003E74FB"/>
    <w:rsid w:val="003F6E14"/>
    <w:rsid w:val="00405336"/>
    <w:rsid w:val="004100AB"/>
    <w:rsid w:val="00410BA2"/>
    <w:rsid w:val="00423283"/>
    <w:rsid w:val="00434111"/>
    <w:rsid w:val="004423EB"/>
    <w:rsid w:val="00450958"/>
    <w:rsid w:val="00456D63"/>
    <w:rsid w:val="004571D5"/>
    <w:rsid w:val="00461D81"/>
    <w:rsid w:val="0046201D"/>
    <w:rsid w:val="0046356B"/>
    <w:rsid w:val="0046566C"/>
    <w:rsid w:val="00477182"/>
    <w:rsid w:val="004779CB"/>
    <w:rsid w:val="0048459B"/>
    <w:rsid w:val="00493C3D"/>
    <w:rsid w:val="004A585C"/>
    <w:rsid w:val="004A76DB"/>
    <w:rsid w:val="004B31AA"/>
    <w:rsid w:val="004B4F30"/>
    <w:rsid w:val="004D08CD"/>
    <w:rsid w:val="004D4016"/>
    <w:rsid w:val="004D5249"/>
    <w:rsid w:val="004E42D8"/>
    <w:rsid w:val="004E7BA2"/>
    <w:rsid w:val="004F3821"/>
    <w:rsid w:val="004F7EDF"/>
    <w:rsid w:val="005001AC"/>
    <w:rsid w:val="005009BC"/>
    <w:rsid w:val="00506834"/>
    <w:rsid w:val="0052538A"/>
    <w:rsid w:val="00527D71"/>
    <w:rsid w:val="00531A1B"/>
    <w:rsid w:val="0053356B"/>
    <w:rsid w:val="00535DAA"/>
    <w:rsid w:val="00540AFE"/>
    <w:rsid w:val="005520A8"/>
    <w:rsid w:val="0055312C"/>
    <w:rsid w:val="00557820"/>
    <w:rsid w:val="005607DD"/>
    <w:rsid w:val="00563658"/>
    <w:rsid w:val="00570FC6"/>
    <w:rsid w:val="00571739"/>
    <w:rsid w:val="005751DD"/>
    <w:rsid w:val="005753AB"/>
    <w:rsid w:val="0058709F"/>
    <w:rsid w:val="00590FDA"/>
    <w:rsid w:val="005920C9"/>
    <w:rsid w:val="005A558C"/>
    <w:rsid w:val="005B6AF0"/>
    <w:rsid w:val="005C4423"/>
    <w:rsid w:val="005C4800"/>
    <w:rsid w:val="005E2581"/>
    <w:rsid w:val="005E28F8"/>
    <w:rsid w:val="005E636B"/>
    <w:rsid w:val="005E6513"/>
    <w:rsid w:val="005F4061"/>
    <w:rsid w:val="005F4309"/>
    <w:rsid w:val="006039DC"/>
    <w:rsid w:val="00611E84"/>
    <w:rsid w:val="00613990"/>
    <w:rsid w:val="00643543"/>
    <w:rsid w:val="00645F35"/>
    <w:rsid w:val="00651114"/>
    <w:rsid w:val="006542B2"/>
    <w:rsid w:val="00657158"/>
    <w:rsid w:val="00664560"/>
    <w:rsid w:val="00667658"/>
    <w:rsid w:val="00667F94"/>
    <w:rsid w:val="00670299"/>
    <w:rsid w:val="006730F2"/>
    <w:rsid w:val="00681FC4"/>
    <w:rsid w:val="0068493A"/>
    <w:rsid w:val="00691985"/>
    <w:rsid w:val="006A1B64"/>
    <w:rsid w:val="006A67E9"/>
    <w:rsid w:val="006B2DC0"/>
    <w:rsid w:val="006B497C"/>
    <w:rsid w:val="006C7FDF"/>
    <w:rsid w:val="006E75A0"/>
    <w:rsid w:val="006F1EE5"/>
    <w:rsid w:val="006F28FE"/>
    <w:rsid w:val="007057A8"/>
    <w:rsid w:val="007108F5"/>
    <w:rsid w:val="00713E5B"/>
    <w:rsid w:val="007141CC"/>
    <w:rsid w:val="007218A4"/>
    <w:rsid w:val="00723D44"/>
    <w:rsid w:val="0073381C"/>
    <w:rsid w:val="007358A9"/>
    <w:rsid w:val="007402FC"/>
    <w:rsid w:val="007411A1"/>
    <w:rsid w:val="007449BB"/>
    <w:rsid w:val="0075010E"/>
    <w:rsid w:val="00751DEC"/>
    <w:rsid w:val="0077559A"/>
    <w:rsid w:val="00792AC7"/>
    <w:rsid w:val="00793072"/>
    <w:rsid w:val="007B5F5D"/>
    <w:rsid w:val="007D7A9B"/>
    <w:rsid w:val="007E0156"/>
    <w:rsid w:val="007E670F"/>
    <w:rsid w:val="007F176E"/>
    <w:rsid w:val="007F5398"/>
    <w:rsid w:val="007F6726"/>
    <w:rsid w:val="00807D35"/>
    <w:rsid w:val="00815AE9"/>
    <w:rsid w:val="008218C4"/>
    <w:rsid w:val="008244F1"/>
    <w:rsid w:val="00836A1C"/>
    <w:rsid w:val="00843B89"/>
    <w:rsid w:val="00847A6F"/>
    <w:rsid w:val="00847CA0"/>
    <w:rsid w:val="00852161"/>
    <w:rsid w:val="0085782D"/>
    <w:rsid w:val="00866C90"/>
    <w:rsid w:val="00867A98"/>
    <w:rsid w:val="00870867"/>
    <w:rsid w:val="00872B1D"/>
    <w:rsid w:val="008750C2"/>
    <w:rsid w:val="00885C9B"/>
    <w:rsid w:val="008908F5"/>
    <w:rsid w:val="00894E2B"/>
    <w:rsid w:val="008A78EC"/>
    <w:rsid w:val="008B4431"/>
    <w:rsid w:val="008B6862"/>
    <w:rsid w:val="008D5D2A"/>
    <w:rsid w:val="00901BD4"/>
    <w:rsid w:val="009032A1"/>
    <w:rsid w:val="00914B63"/>
    <w:rsid w:val="00923140"/>
    <w:rsid w:val="0092556E"/>
    <w:rsid w:val="00925A34"/>
    <w:rsid w:val="0093235B"/>
    <w:rsid w:val="009354F3"/>
    <w:rsid w:val="009447DC"/>
    <w:rsid w:val="00961BA5"/>
    <w:rsid w:val="00967F31"/>
    <w:rsid w:val="009743A9"/>
    <w:rsid w:val="00975FB5"/>
    <w:rsid w:val="009857DF"/>
    <w:rsid w:val="00987C8B"/>
    <w:rsid w:val="009A2E5D"/>
    <w:rsid w:val="009A3237"/>
    <w:rsid w:val="009A5287"/>
    <w:rsid w:val="009B2AC5"/>
    <w:rsid w:val="009B5279"/>
    <w:rsid w:val="009B7984"/>
    <w:rsid w:val="009C436C"/>
    <w:rsid w:val="009E497B"/>
    <w:rsid w:val="009E5135"/>
    <w:rsid w:val="009F1EFB"/>
    <w:rsid w:val="009F4BED"/>
    <w:rsid w:val="009F7D93"/>
    <w:rsid w:val="00A01E19"/>
    <w:rsid w:val="00A051C8"/>
    <w:rsid w:val="00A16BE5"/>
    <w:rsid w:val="00A3081C"/>
    <w:rsid w:val="00A3097B"/>
    <w:rsid w:val="00A3403B"/>
    <w:rsid w:val="00A349C6"/>
    <w:rsid w:val="00A374FA"/>
    <w:rsid w:val="00A379F2"/>
    <w:rsid w:val="00A40DBC"/>
    <w:rsid w:val="00A44B9B"/>
    <w:rsid w:val="00A50730"/>
    <w:rsid w:val="00A51A12"/>
    <w:rsid w:val="00A527F4"/>
    <w:rsid w:val="00A627D4"/>
    <w:rsid w:val="00A67172"/>
    <w:rsid w:val="00A736EB"/>
    <w:rsid w:val="00A74071"/>
    <w:rsid w:val="00A74DA2"/>
    <w:rsid w:val="00A829A6"/>
    <w:rsid w:val="00A856B9"/>
    <w:rsid w:val="00A93D69"/>
    <w:rsid w:val="00AA05EB"/>
    <w:rsid w:val="00AA0A42"/>
    <w:rsid w:val="00AA56E7"/>
    <w:rsid w:val="00AB399E"/>
    <w:rsid w:val="00AB7996"/>
    <w:rsid w:val="00AC59D0"/>
    <w:rsid w:val="00AD16B1"/>
    <w:rsid w:val="00AD499C"/>
    <w:rsid w:val="00AE4279"/>
    <w:rsid w:val="00AE6E59"/>
    <w:rsid w:val="00B02DB1"/>
    <w:rsid w:val="00B12C13"/>
    <w:rsid w:val="00B2114F"/>
    <w:rsid w:val="00B2384C"/>
    <w:rsid w:val="00B24F9C"/>
    <w:rsid w:val="00B321E4"/>
    <w:rsid w:val="00B354BA"/>
    <w:rsid w:val="00B36869"/>
    <w:rsid w:val="00B41589"/>
    <w:rsid w:val="00B43B31"/>
    <w:rsid w:val="00B47CFA"/>
    <w:rsid w:val="00B5330F"/>
    <w:rsid w:val="00B57F00"/>
    <w:rsid w:val="00B71EBD"/>
    <w:rsid w:val="00B77B2A"/>
    <w:rsid w:val="00B82C22"/>
    <w:rsid w:val="00B93807"/>
    <w:rsid w:val="00B93DBA"/>
    <w:rsid w:val="00B9440A"/>
    <w:rsid w:val="00BB2D2A"/>
    <w:rsid w:val="00BC0028"/>
    <w:rsid w:val="00BC126E"/>
    <w:rsid w:val="00BC18A4"/>
    <w:rsid w:val="00BC3E04"/>
    <w:rsid w:val="00BC48EC"/>
    <w:rsid w:val="00BC4925"/>
    <w:rsid w:val="00BD58CF"/>
    <w:rsid w:val="00BF0C92"/>
    <w:rsid w:val="00BF16B0"/>
    <w:rsid w:val="00BF7C01"/>
    <w:rsid w:val="00C039BD"/>
    <w:rsid w:val="00C04CC1"/>
    <w:rsid w:val="00C14B34"/>
    <w:rsid w:val="00C16171"/>
    <w:rsid w:val="00C2104B"/>
    <w:rsid w:val="00C4096C"/>
    <w:rsid w:val="00C4147A"/>
    <w:rsid w:val="00C42D7B"/>
    <w:rsid w:val="00C45B3B"/>
    <w:rsid w:val="00C50C6D"/>
    <w:rsid w:val="00C556E4"/>
    <w:rsid w:val="00C57ADE"/>
    <w:rsid w:val="00C600D9"/>
    <w:rsid w:val="00C908F0"/>
    <w:rsid w:val="00C91701"/>
    <w:rsid w:val="00C92B22"/>
    <w:rsid w:val="00C95740"/>
    <w:rsid w:val="00CB5EEC"/>
    <w:rsid w:val="00CB60C7"/>
    <w:rsid w:val="00CC1384"/>
    <w:rsid w:val="00CC2E61"/>
    <w:rsid w:val="00CD3720"/>
    <w:rsid w:val="00CE5576"/>
    <w:rsid w:val="00CE6088"/>
    <w:rsid w:val="00CF1848"/>
    <w:rsid w:val="00CF2430"/>
    <w:rsid w:val="00CF5C2F"/>
    <w:rsid w:val="00D04BCF"/>
    <w:rsid w:val="00D139D2"/>
    <w:rsid w:val="00D143D9"/>
    <w:rsid w:val="00D223F9"/>
    <w:rsid w:val="00D3265F"/>
    <w:rsid w:val="00D40DA7"/>
    <w:rsid w:val="00D43985"/>
    <w:rsid w:val="00D4717A"/>
    <w:rsid w:val="00D5511B"/>
    <w:rsid w:val="00D56092"/>
    <w:rsid w:val="00D63363"/>
    <w:rsid w:val="00D64AA5"/>
    <w:rsid w:val="00D6610D"/>
    <w:rsid w:val="00D741BF"/>
    <w:rsid w:val="00D766F1"/>
    <w:rsid w:val="00D7684A"/>
    <w:rsid w:val="00D768E0"/>
    <w:rsid w:val="00D77E21"/>
    <w:rsid w:val="00D910AD"/>
    <w:rsid w:val="00DA2110"/>
    <w:rsid w:val="00DB3DFE"/>
    <w:rsid w:val="00DB698F"/>
    <w:rsid w:val="00DC3874"/>
    <w:rsid w:val="00DD6A67"/>
    <w:rsid w:val="00DD7BCE"/>
    <w:rsid w:val="00E022CD"/>
    <w:rsid w:val="00E04428"/>
    <w:rsid w:val="00E05FF5"/>
    <w:rsid w:val="00E17FF2"/>
    <w:rsid w:val="00E210BE"/>
    <w:rsid w:val="00E257C8"/>
    <w:rsid w:val="00E27427"/>
    <w:rsid w:val="00E27CDB"/>
    <w:rsid w:val="00E41512"/>
    <w:rsid w:val="00E41B35"/>
    <w:rsid w:val="00E4519A"/>
    <w:rsid w:val="00E50A68"/>
    <w:rsid w:val="00E522A0"/>
    <w:rsid w:val="00E550DF"/>
    <w:rsid w:val="00E63AA7"/>
    <w:rsid w:val="00E65931"/>
    <w:rsid w:val="00E716DB"/>
    <w:rsid w:val="00E747D6"/>
    <w:rsid w:val="00E853D5"/>
    <w:rsid w:val="00E91322"/>
    <w:rsid w:val="00E96B36"/>
    <w:rsid w:val="00E971A1"/>
    <w:rsid w:val="00E9773B"/>
    <w:rsid w:val="00E97C86"/>
    <w:rsid w:val="00EA42CA"/>
    <w:rsid w:val="00EA48DE"/>
    <w:rsid w:val="00EA6503"/>
    <w:rsid w:val="00EA6F42"/>
    <w:rsid w:val="00EB3F01"/>
    <w:rsid w:val="00EB5695"/>
    <w:rsid w:val="00EC03E5"/>
    <w:rsid w:val="00EC13A3"/>
    <w:rsid w:val="00EC7C85"/>
    <w:rsid w:val="00ED5E41"/>
    <w:rsid w:val="00EE6294"/>
    <w:rsid w:val="00EE6C8C"/>
    <w:rsid w:val="00EF2A35"/>
    <w:rsid w:val="00EF4112"/>
    <w:rsid w:val="00F02D39"/>
    <w:rsid w:val="00F1159B"/>
    <w:rsid w:val="00F125EE"/>
    <w:rsid w:val="00F12E98"/>
    <w:rsid w:val="00F133F3"/>
    <w:rsid w:val="00F204CC"/>
    <w:rsid w:val="00F22029"/>
    <w:rsid w:val="00F24A24"/>
    <w:rsid w:val="00F30CBB"/>
    <w:rsid w:val="00F34664"/>
    <w:rsid w:val="00F515FB"/>
    <w:rsid w:val="00F52E3F"/>
    <w:rsid w:val="00F56EE6"/>
    <w:rsid w:val="00F630EA"/>
    <w:rsid w:val="00F63FF4"/>
    <w:rsid w:val="00F65E7D"/>
    <w:rsid w:val="00F7007E"/>
    <w:rsid w:val="00F73193"/>
    <w:rsid w:val="00F74F95"/>
    <w:rsid w:val="00F80705"/>
    <w:rsid w:val="00F83584"/>
    <w:rsid w:val="00F91FB0"/>
    <w:rsid w:val="00FA1481"/>
    <w:rsid w:val="00FA582E"/>
    <w:rsid w:val="00FA5D22"/>
    <w:rsid w:val="00FC5859"/>
    <w:rsid w:val="00FD12FD"/>
    <w:rsid w:val="00FD2764"/>
    <w:rsid w:val="00FF04E3"/>
    <w:rsid w:val="00FF284C"/>
    <w:rsid w:val="01522E56"/>
    <w:rsid w:val="02620047"/>
    <w:rsid w:val="02925082"/>
    <w:rsid w:val="04C73B26"/>
    <w:rsid w:val="07D60B4F"/>
    <w:rsid w:val="081E39DD"/>
    <w:rsid w:val="08530DEF"/>
    <w:rsid w:val="08C11E47"/>
    <w:rsid w:val="09C95523"/>
    <w:rsid w:val="09DC03F8"/>
    <w:rsid w:val="0B102229"/>
    <w:rsid w:val="0B536958"/>
    <w:rsid w:val="0B675EA4"/>
    <w:rsid w:val="0BB47696"/>
    <w:rsid w:val="0D647416"/>
    <w:rsid w:val="0DD20469"/>
    <w:rsid w:val="0EA91AC3"/>
    <w:rsid w:val="0F1917D8"/>
    <w:rsid w:val="0F916BF1"/>
    <w:rsid w:val="0FED09ED"/>
    <w:rsid w:val="102B5134"/>
    <w:rsid w:val="1083719D"/>
    <w:rsid w:val="10FD32CE"/>
    <w:rsid w:val="11FE4E26"/>
    <w:rsid w:val="12A10256"/>
    <w:rsid w:val="12AA697B"/>
    <w:rsid w:val="12CD3DA1"/>
    <w:rsid w:val="13464153"/>
    <w:rsid w:val="13DC5CB9"/>
    <w:rsid w:val="143D06E3"/>
    <w:rsid w:val="14F9513F"/>
    <w:rsid w:val="155A0A7D"/>
    <w:rsid w:val="159662A2"/>
    <w:rsid w:val="15A44D1C"/>
    <w:rsid w:val="16340306"/>
    <w:rsid w:val="1686524A"/>
    <w:rsid w:val="16866E05"/>
    <w:rsid w:val="17C86DD0"/>
    <w:rsid w:val="17FF360F"/>
    <w:rsid w:val="1A6D5AD3"/>
    <w:rsid w:val="1B2B3973"/>
    <w:rsid w:val="1B4F204D"/>
    <w:rsid w:val="1BA27E27"/>
    <w:rsid w:val="1BBF2D5A"/>
    <w:rsid w:val="1C0C77F5"/>
    <w:rsid w:val="1C922112"/>
    <w:rsid w:val="1DA22ADF"/>
    <w:rsid w:val="1DE254E2"/>
    <w:rsid w:val="1E9E2DCB"/>
    <w:rsid w:val="1EC127BB"/>
    <w:rsid w:val="1F060E63"/>
    <w:rsid w:val="1F3153B6"/>
    <w:rsid w:val="1F5C08D5"/>
    <w:rsid w:val="1FB855AD"/>
    <w:rsid w:val="2027607A"/>
    <w:rsid w:val="207E7090"/>
    <w:rsid w:val="207F5F73"/>
    <w:rsid w:val="210D5FED"/>
    <w:rsid w:val="211234EA"/>
    <w:rsid w:val="212F5444"/>
    <w:rsid w:val="225A762E"/>
    <w:rsid w:val="23343134"/>
    <w:rsid w:val="23CE4EC4"/>
    <w:rsid w:val="252C40E8"/>
    <w:rsid w:val="2531749D"/>
    <w:rsid w:val="25C70CF7"/>
    <w:rsid w:val="25D455AC"/>
    <w:rsid w:val="27241BAD"/>
    <w:rsid w:val="276F303C"/>
    <w:rsid w:val="27B93700"/>
    <w:rsid w:val="289142FB"/>
    <w:rsid w:val="28CE24AC"/>
    <w:rsid w:val="29204B8B"/>
    <w:rsid w:val="298D2512"/>
    <w:rsid w:val="29AB28BB"/>
    <w:rsid w:val="2A297BCE"/>
    <w:rsid w:val="2A807B06"/>
    <w:rsid w:val="2A866602"/>
    <w:rsid w:val="2A8C0A6C"/>
    <w:rsid w:val="2BF179AC"/>
    <w:rsid w:val="2BF74E71"/>
    <w:rsid w:val="2C632EEB"/>
    <w:rsid w:val="2C637E41"/>
    <w:rsid w:val="2D461A4C"/>
    <w:rsid w:val="2D4E1782"/>
    <w:rsid w:val="2DBE0922"/>
    <w:rsid w:val="2ED22E59"/>
    <w:rsid w:val="2F234184"/>
    <w:rsid w:val="2F527F81"/>
    <w:rsid w:val="2FA54EC7"/>
    <w:rsid w:val="2FAB1D54"/>
    <w:rsid w:val="3037467B"/>
    <w:rsid w:val="30916F2F"/>
    <w:rsid w:val="31AD7BA7"/>
    <w:rsid w:val="32E41B9E"/>
    <w:rsid w:val="334F25BC"/>
    <w:rsid w:val="33EC3C76"/>
    <w:rsid w:val="3479144E"/>
    <w:rsid w:val="34814266"/>
    <w:rsid w:val="34E00C55"/>
    <w:rsid w:val="353F1CD7"/>
    <w:rsid w:val="355B01A0"/>
    <w:rsid w:val="35710E3B"/>
    <w:rsid w:val="35F92DDC"/>
    <w:rsid w:val="361D58CE"/>
    <w:rsid w:val="37381805"/>
    <w:rsid w:val="376C4B2D"/>
    <w:rsid w:val="37D321C3"/>
    <w:rsid w:val="37FC504D"/>
    <w:rsid w:val="389D1A58"/>
    <w:rsid w:val="397559B7"/>
    <w:rsid w:val="3A2E62E9"/>
    <w:rsid w:val="3A8B44FE"/>
    <w:rsid w:val="3AC46A8A"/>
    <w:rsid w:val="3BE61DCE"/>
    <w:rsid w:val="3C5E63E0"/>
    <w:rsid w:val="3CE13FAC"/>
    <w:rsid w:val="3CFB78D2"/>
    <w:rsid w:val="3D9A5C85"/>
    <w:rsid w:val="3DB47216"/>
    <w:rsid w:val="3DC22D75"/>
    <w:rsid w:val="3E42388D"/>
    <w:rsid w:val="3EDA19EC"/>
    <w:rsid w:val="3EDD35C1"/>
    <w:rsid w:val="3EEE79FF"/>
    <w:rsid w:val="3F30518D"/>
    <w:rsid w:val="3FC93A81"/>
    <w:rsid w:val="40EA287D"/>
    <w:rsid w:val="41206B8F"/>
    <w:rsid w:val="415338B0"/>
    <w:rsid w:val="4157683C"/>
    <w:rsid w:val="41AA55C0"/>
    <w:rsid w:val="41FA6418"/>
    <w:rsid w:val="42951894"/>
    <w:rsid w:val="436152F3"/>
    <w:rsid w:val="44D87C86"/>
    <w:rsid w:val="44E44599"/>
    <w:rsid w:val="459C4189"/>
    <w:rsid w:val="45A57012"/>
    <w:rsid w:val="46122433"/>
    <w:rsid w:val="46DE7ACF"/>
    <w:rsid w:val="47D33A12"/>
    <w:rsid w:val="48205BFD"/>
    <w:rsid w:val="48235826"/>
    <w:rsid w:val="48717993"/>
    <w:rsid w:val="48E85CA3"/>
    <w:rsid w:val="4988108B"/>
    <w:rsid w:val="49BD2E9B"/>
    <w:rsid w:val="4A40588C"/>
    <w:rsid w:val="4AF4419E"/>
    <w:rsid w:val="4B007AA5"/>
    <w:rsid w:val="4B2F0AC7"/>
    <w:rsid w:val="4BC60CC6"/>
    <w:rsid w:val="4BEC631E"/>
    <w:rsid w:val="4BF26FAF"/>
    <w:rsid w:val="4CCE3CFC"/>
    <w:rsid w:val="4D2806A0"/>
    <w:rsid w:val="4D4F5271"/>
    <w:rsid w:val="4D5119C6"/>
    <w:rsid w:val="4DFA6093"/>
    <w:rsid w:val="4FAD341D"/>
    <w:rsid w:val="503B6BEE"/>
    <w:rsid w:val="50425BE1"/>
    <w:rsid w:val="506F07FE"/>
    <w:rsid w:val="50C1449B"/>
    <w:rsid w:val="51A51357"/>
    <w:rsid w:val="5220342B"/>
    <w:rsid w:val="52535F41"/>
    <w:rsid w:val="52570CCC"/>
    <w:rsid w:val="52962169"/>
    <w:rsid w:val="52B25D78"/>
    <w:rsid w:val="52BD2FA7"/>
    <w:rsid w:val="52C3664B"/>
    <w:rsid w:val="52F87CBB"/>
    <w:rsid w:val="535131C0"/>
    <w:rsid w:val="539105C0"/>
    <w:rsid w:val="54E96B6E"/>
    <w:rsid w:val="55031116"/>
    <w:rsid w:val="55365F31"/>
    <w:rsid w:val="561812AD"/>
    <w:rsid w:val="5640472E"/>
    <w:rsid w:val="56540F9D"/>
    <w:rsid w:val="56F43E5E"/>
    <w:rsid w:val="57AE3CF2"/>
    <w:rsid w:val="57C869C4"/>
    <w:rsid w:val="584B031A"/>
    <w:rsid w:val="585924CA"/>
    <w:rsid w:val="586C5434"/>
    <w:rsid w:val="58FE5A21"/>
    <w:rsid w:val="59BC3A92"/>
    <w:rsid w:val="59E01818"/>
    <w:rsid w:val="5ACB37A0"/>
    <w:rsid w:val="5AE80F82"/>
    <w:rsid w:val="5BD25B28"/>
    <w:rsid w:val="5C2B2E35"/>
    <w:rsid w:val="5C2D3268"/>
    <w:rsid w:val="5C387BD4"/>
    <w:rsid w:val="5CB53896"/>
    <w:rsid w:val="5CB772EC"/>
    <w:rsid w:val="5D007169"/>
    <w:rsid w:val="5D2F78CE"/>
    <w:rsid w:val="5E0F252B"/>
    <w:rsid w:val="5E2B2947"/>
    <w:rsid w:val="606046C9"/>
    <w:rsid w:val="62724CF3"/>
    <w:rsid w:val="62CB535F"/>
    <w:rsid w:val="62F11319"/>
    <w:rsid w:val="632165C9"/>
    <w:rsid w:val="632E0246"/>
    <w:rsid w:val="63D17790"/>
    <w:rsid w:val="63D40679"/>
    <w:rsid w:val="63DA526F"/>
    <w:rsid w:val="6407577E"/>
    <w:rsid w:val="650A7A2A"/>
    <w:rsid w:val="664A68FB"/>
    <w:rsid w:val="667979FF"/>
    <w:rsid w:val="66BD2E38"/>
    <w:rsid w:val="67AB4081"/>
    <w:rsid w:val="69415A4E"/>
    <w:rsid w:val="697E2919"/>
    <w:rsid w:val="69B751A6"/>
    <w:rsid w:val="69C5776E"/>
    <w:rsid w:val="6A2356FB"/>
    <w:rsid w:val="6A62638D"/>
    <w:rsid w:val="6BBB61C9"/>
    <w:rsid w:val="6C0C041F"/>
    <w:rsid w:val="6CB21FAB"/>
    <w:rsid w:val="6DAB21CC"/>
    <w:rsid w:val="6DFC7098"/>
    <w:rsid w:val="6E0D4C8B"/>
    <w:rsid w:val="6F887973"/>
    <w:rsid w:val="6FD737D3"/>
    <w:rsid w:val="70A355AC"/>
    <w:rsid w:val="71155456"/>
    <w:rsid w:val="724E6F5B"/>
    <w:rsid w:val="72DD7D82"/>
    <w:rsid w:val="72E00F17"/>
    <w:rsid w:val="72F8278A"/>
    <w:rsid w:val="73AA45DA"/>
    <w:rsid w:val="73C31F18"/>
    <w:rsid w:val="73C673FA"/>
    <w:rsid w:val="747B51E6"/>
    <w:rsid w:val="75C4574D"/>
    <w:rsid w:val="75C71014"/>
    <w:rsid w:val="760C7136"/>
    <w:rsid w:val="7613566D"/>
    <w:rsid w:val="76B47EA9"/>
    <w:rsid w:val="76D65D9E"/>
    <w:rsid w:val="770122D0"/>
    <w:rsid w:val="77F269F1"/>
    <w:rsid w:val="77F614B4"/>
    <w:rsid w:val="78047D12"/>
    <w:rsid w:val="7878216D"/>
    <w:rsid w:val="788E4CC8"/>
    <w:rsid w:val="7A052CB9"/>
    <w:rsid w:val="7A337023"/>
    <w:rsid w:val="7A372805"/>
    <w:rsid w:val="7A7A391C"/>
    <w:rsid w:val="7B11316B"/>
    <w:rsid w:val="7B1C298F"/>
    <w:rsid w:val="7B2049C2"/>
    <w:rsid w:val="7B3E4A4B"/>
    <w:rsid w:val="7C8D386B"/>
    <w:rsid w:val="7C981A01"/>
    <w:rsid w:val="7D3C3539"/>
    <w:rsid w:val="7E3932D4"/>
    <w:rsid w:val="7EA21277"/>
    <w:rsid w:val="7F921A87"/>
    <w:rsid w:val="7FB965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Theme="minorEastAsia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name="heading 1"/>
    <w:lsdException w:qFormat="1" w:unhideWhenUsed="0" w:uiPriority="0" w:name="heading 2"/>
    <w:lsdException w:qFormat="1" w:unhideWhenUsed="0" w:uiPriority="0" w:name="heading 3"/>
    <w:lsdException w:qFormat="1" w:unhideWhenUsed="0" w:uiPriority="0" w:name="heading 4"/>
    <w:lsdException w:qFormat="1" w:unhideWhenUsed="0" w:uiPriority="0" w:name="heading 5"/>
    <w:lsdException w:qFormat="1" w:unhideWhenUsed="0" w:uiPriority="0" w:name="heading 6"/>
    <w:lsdException w:qFormat="1" w:unhideWhenUsed="0" w:uiPriority="0" w:name="heading 7"/>
    <w:lsdException w:qFormat="1" w:unhideWhenUsed="0" w:uiPriority="0" w:name="heading 8"/>
    <w:lsdException w:qFormat="1" w:unhideWhenUsed="0" w:uiPriority="0" w:name="heading 9"/>
    <w:lsdException w:qFormat="1" w:unhideWhenUsed="0" w:uiPriority="0" w:name="index 1"/>
    <w:lsdException w:qFormat="1" w:unhideWhenUsed="0" w:uiPriority="0" w:name="index 2"/>
    <w:lsdException w:qFormat="1" w:unhideWhenUsed="0" w:uiPriority="0" w:name="index 3"/>
    <w:lsdException w:qFormat="1" w:unhideWhenUsed="0" w:uiPriority="0" w:name="index 4"/>
    <w:lsdException w:qFormat="1" w:unhideWhenUsed="0" w:uiPriority="0" w:name="index 5"/>
    <w:lsdException w:qFormat="1" w:unhideWhenUsed="0" w:uiPriority="0" w:name="index 6"/>
    <w:lsdException w:qFormat="1" w:unhideWhenUsed="0" w:uiPriority="0" w:name="index 7"/>
    <w:lsdException w:qFormat="1" w:unhideWhenUsed="0" w:uiPriority="0" w:name="index 8"/>
    <w:lsdException w:qFormat="1" w:unhideWhenUsed="0" w:uiPriority="0" w:name="index 9"/>
    <w:lsdException w:qFormat="1" w:unhideWhenUsed="0" w:uiPriority="0" w:name="toc 1"/>
    <w:lsdException w:qFormat="1" w:unhideWhenUsed="0" w:uiPriority="0" w:name="toc 2"/>
    <w:lsdException w:qFormat="1" w:unhideWhenUsed="0" w:uiPriority="0" w:name="toc 3"/>
    <w:lsdException w:qFormat="1" w:unhideWhenUsed="0" w:uiPriority="0" w:name="toc 4"/>
    <w:lsdException w:qFormat="1" w:unhideWhenUsed="0" w:uiPriority="0" w:name="toc 5"/>
    <w:lsdException w:qFormat="1" w:unhideWhenUsed="0" w:uiPriority="0" w:name="toc 6"/>
    <w:lsdException w:qFormat="1" w:unhideWhenUsed="0" w:uiPriority="0" w:name="toc 7"/>
    <w:lsdException w:qFormat="1" w:unhideWhenUsed="0" w:uiPriority="0" w:name="toc 8"/>
    <w:lsdException w:qFormat="1" w:unhideWhenUsed="0" w:uiPriority="0" w:name="toc 9"/>
    <w:lsdException w:qFormat="1" w:unhideWhenUsed="0" w:uiPriority="0" w:name="Normal Indent"/>
    <w:lsdException w:qFormat="1" w:unhideWhenUsed="0" w:uiPriority="99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qFormat="1" w:unhideWhenUsed="0" w:uiPriority="0" w:name="index heading"/>
    <w:lsdException w:qFormat="1" w:unhideWhenUsed="0" w:uiPriority="35" w:semiHidden="0" w:name="caption"/>
    <w:lsdException w:qFormat="1" w:unhideWhenUsed="0" w:uiPriority="0" w:name="table of figures"/>
    <w:lsdException w:qFormat="1" w:unhideWhenUsed="0" w:uiPriority="0" w:name="envelope address"/>
    <w:lsdException w:qFormat="1" w:unhideWhenUsed="0" w:uiPriority="0" w:name="envelope return"/>
    <w:lsdException w:qFormat="1" w:unhideWhenUsed="0" w:uiPriority="0" w:name="footnote reference"/>
    <w:lsdException w:qFormat="1" w:uiPriority="0" w:semiHidden="0" w:name="annotation reference"/>
    <w:lsdException w:qFormat="1" w:unhideWhenUsed="0" w:uiPriority="0" w:semiHidden="0" w:name="line number"/>
    <w:lsdException w:qFormat="1" w:unhideWhenUsed="0" w:uiPriority="0" w:semiHidden="0" w:name="page number"/>
    <w:lsdException w:qFormat="1" w:unhideWhenUsed="0" w:uiPriority="0" w:name="endnote reference"/>
    <w:lsdException w:qFormat="1" w:unhideWhenUsed="0" w:uiPriority="0" w:name="endnote text"/>
    <w:lsdException w:qFormat="1" w:unhideWhenUsed="0" w:uiPriority="0" w:name="table of authorities"/>
    <w:lsdException w:qFormat="1" w:unhideWhenUsed="0" w:uiPriority="0" w:name="macro"/>
    <w:lsdException w:qFormat="1" w:unhideWhenUsed="0" w:uiPriority="0" w:name="toa heading"/>
    <w:lsdException w:qFormat="1" w:unhideWhenUsed="0" w:uiPriority="0" w:name="List"/>
    <w:lsdException w:qFormat="1" w:unhideWhenUsed="0" w:uiPriority="0" w:name="List Bullet"/>
    <w:lsdException w:qFormat="1" w:unhideWhenUsed="0" w:uiPriority="0" w:name="List Number"/>
    <w:lsdException w:qFormat="1" w:unhideWhenUsed="0" w:uiPriority="0" w:name="List 2"/>
    <w:lsdException w:qFormat="1" w:unhideWhenUsed="0" w:uiPriority="0" w:name="List 3"/>
    <w:lsdException w:qFormat="1" w:unhideWhenUsed="0" w:uiPriority="0" w:name="List 4"/>
    <w:lsdException w:qFormat="1" w:unhideWhenUsed="0" w:uiPriority="0" w:name="List 5"/>
    <w:lsdException w:qFormat="1" w:unhideWhenUsed="0" w:uiPriority="0" w:name="List Bullet 2"/>
    <w:lsdException w:qFormat="1" w:unhideWhenUsed="0" w:uiPriority="0" w:name="List Bullet 3"/>
    <w:lsdException w:qFormat="1" w:unhideWhenUsed="0" w:uiPriority="0" w:name="List Bullet 4"/>
    <w:lsdException w:qFormat="1" w:unhideWhenUsed="0" w:uiPriority="0" w:name="List Bullet 5"/>
    <w:lsdException w:qFormat="1" w:unhideWhenUsed="0" w:uiPriority="0" w:name="List Number 2"/>
    <w:lsdException w:qFormat="1" w:unhideWhenUsed="0" w:uiPriority="0" w:name="List Number 3"/>
    <w:lsdException w:qFormat="1" w:unhideWhenUsed="0" w:uiPriority="0" w:name="List Number 4"/>
    <w:lsdException w:qFormat="1" w:unhideWhenUsed="0" w:uiPriority="0" w:name="List Number 5"/>
    <w:lsdException w:qFormat="1" w:unhideWhenUsed="0" w:uiPriority="0" w:name="Title"/>
    <w:lsdException w:qFormat="1" w:unhideWhenUsed="0" w:uiPriority="0" w:name="Closing"/>
    <w:lsdException w:qFormat="1" w:unhideWhenUsed="0" w:uiPriority="0" w:name="Signature"/>
    <w:lsdException w:qFormat="1" w:uiPriority="1" w:name="Default Paragraph Font"/>
    <w:lsdException w:qFormat="1" w:unhideWhenUsed="0" w:uiPriority="0" w:name="Body Text"/>
    <w:lsdException w:qFormat="1" w:unhideWhenUsed="0" w:uiPriority="0" w:name="Body Text Indent"/>
    <w:lsdException w:qFormat="1" w:unhideWhenUsed="0" w:uiPriority="0" w:name="List Continue"/>
    <w:lsdException w:qFormat="1" w:unhideWhenUsed="0" w:uiPriority="0" w:name="List Continue 2"/>
    <w:lsdException w:qFormat="1" w:unhideWhenUsed="0" w:uiPriority="0" w:name="List Continue 3"/>
    <w:lsdException w:qFormat="1" w:unhideWhenUsed="0" w:uiPriority="0" w:name="List Continue 4"/>
    <w:lsdException w:qFormat="1" w:unhideWhenUsed="0" w:uiPriority="0" w:name="List Continue 5"/>
    <w:lsdException w:qFormat="1" w:unhideWhenUsed="0" w:uiPriority="0" w:name="Message Header"/>
    <w:lsdException w:qFormat="1" w:unhideWhenUsed="0" w:uiPriority="0" w:name="Subtitle"/>
    <w:lsdException w:qFormat="1" w:unhideWhenUsed="0" w:uiPriority="0" w:name="Salutation"/>
    <w:lsdException w:qFormat="1" w:unhideWhenUsed="0" w:uiPriority="0" w:name="Date"/>
    <w:lsdException w:qFormat="1" w:unhideWhenUsed="0" w:uiPriority="0" w:name="Body Text First Indent"/>
    <w:lsdException w:qFormat="1" w:unhideWhenUsed="0" w:uiPriority="0" w:name="Body Text First Indent 2"/>
    <w:lsdException w:qFormat="1" w:unhideWhenUsed="0" w:uiPriority="0" w:name="Note Heading"/>
    <w:lsdException w:qFormat="1" w:unhideWhenUsed="0" w:uiPriority="0" w:name="Body Text 2"/>
    <w:lsdException w:qFormat="1" w:unhideWhenUsed="0" w:uiPriority="0" w:name="Body Text 3"/>
    <w:lsdException w:qFormat="1" w:unhideWhenUsed="0" w:uiPriority="0" w:name="Body Text Indent 2"/>
    <w:lsdException w:qFormat="1" w:unhideWhenUsed="0" w:uiPriority="0" w:name="Body Text Indent 3"/>
    <w:lsdException w:qFormat="1" w:unhideWhenUsed="0" w:uiPriority="0" w:name="Block Text"/>
    <w:lsdException w:qFormat="1" w:unhideWhenUsed="0" w:uiPriority="99" w:semiHidden="0" w:name="Hyperlink"/>
    <w:lsdException w:qFormat="1" w:uiPriority="0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nhideWhenUsed="0" w:uiPriority="0" w:name="Document Map"/>
    <w:lsdException w:qFormat="1" w:unhideWhenUsed="0" w:uiPriority="0" w:name="Plain Text"/>
    <w:lsdException w:qFormat="1" w:unhideWhenUsed="0" w:uiPriority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qFormat="1" w:unhideWhenUsed="0" w:uiPriority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qFormat="1" w:unhideWhenUsed="0" w:uiPriority="0" w:semiHidden="0" w:name="HTML Preformatted"/>
    <w:lsdException w:qFormat="1" w:unhideWhenUsed="0" w:uiPriority="0" w:semiHidden="0" w:name="HTML Sample"/>
    <w:lsdException w:qFormat="1" w:unhideWhenUsed="0" w:uiPriority="0" w:semiHidden="0" w:name="HTML Typewriter"/>
    <w:lsdException w:qFormat="1"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nhideWhenUsed="0" w:uiPriority="0" w:semiHidden="0" w:name="Table Subtle 1"/>
    <w:lsdException w:uiPriority="0" w:name="Table Subtle 2"/>
    <w:lsdException w:uiPriority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39" w:semiHidden="0" w:name="Table Grid"/>
    <w:lsdException w:uiPriority="0" w:name="Table Theme"/>
    <w:lsdException w:qFormat="1" w:unhideWhenUsed="0" w:uiPriority="99" w:name="Placeholder Text"/>
    <w:lsdException w:qFormat="1" w:unhideWhenUsed="0" w:uiPriority="1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name="Quote"/>
    <w:lsdException w:qFormat="1" w:unhideWhenUsed="0" w:uiPriority="3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cs="Times New Roman" w:eastAsiaTheme="minorEastAsia"/>
      <w:sz w:val="24"/>
      <w:lang w:val="en-US" w:eastAsia="en-US" w:bidi="ar-SA"/>
    </w:rPr>
  </w:style>
  <w:style w:type="paragraph" w:styleId="2">
    <w:name w:val="heading 1"/>
    <w:basedOn w:val="1"/>
    <w:next w:val="1"/>
    <w:link w:val="108"/>
    <w:semiHidden/>
    <w:qFormat/>
    <w:uiPriority w:val="0"/>
    <w:pPr>
      <w:keepNext/>
      <w:spacing w:before="240" w:after="60"/>
      <w:outlineLvl w:val="0"/>
    </w:pPr>
    <w:rPr>
      <w:b/>
      <w:bCs/>
      <w:kern w:val="32"/>
      <w:szCs w:val="24"/>
    </w:rPr>
  </w:style>
  <w:style w:type="paragraph" w:styleId="3">
    <w:name w:val="heading 2"/>
    <w:basedOn w:val="1"/>
    <w:next w:val="1"/>
    <w:link w:val="109"/>
    <w:semiHidden/>
    <w:qFormat/>
    <w:uiPriority w:val="0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4">
    <w:name w:val="heading 3"/>
    <w:basedOn w:val="1"/>
    <w:next w:val="1"/>
    <w:semiHidden/>
    <w:qFormat/>
    <w:uiPriority w:val="0"/>
    <w:pPr>
      <w:keepNext/>
      <w:spacing w:line="480" w:lineRule="auto"/>
      <w:outlineLvl w:val="2"/>
    </w:pPr>
    <w:rPr>
      <w:rFonts w:ascii="Times" w:hAnsi="Times" w:eastAsia="Times"/>
      <w:b/>
    </w:rPr>
  </w:style>
  <w:style w:type="paragraph" w:styleId="5">
    <w:name w:val="heading 4"/>
    <w:basedOn w:val="1"/>
    <w:next w:val="1"/>
    <w:semiHidden/>
    <w:qFormat/>
    <w:uiPriority w:val="0"/>
    <w:pPr>
      <w:keepNext/>
      <w:spacing w:line="480" w:lineRule="auto"/>
      <w:outlineLvl w:val="3"/>
    </w:pPr>
    <w:rPr>
      <w:rFonts w:ascii="Times" w:hAnsi="Times"/>
      <w:b/>
      <w:color w:val="0000FF"/>
      <w:sz w:val="44"/>
    </w:rPr>
  </w:style>
  <w:style w:type="paragraph" w:styleId="6">
    <w:name w:val="heading 5"/>
    <w:basedOn w:val="1"/>
    <w:next w:val="1"/>
    <w:link w:val="110"/>
    <w:semiHidden/>
    <w:qFormat/>
    <w:uiPriority w:val="0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7">
    <w:name w:val="heading 6"/>
    <w:basedOn w:val="1"/>
    <w:next w:val="1"/>
    <w:link w:val="111"/>
    <w:semiHidden/>
    <w:qFormat/>
    <w:uiPriority w:val="0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8">
    <w:name w:val="heading 7"/>
    <w:basedOn w:val="1"/>
    <w:next w:val="1"/>
    <w:link w:val="112"/>
    <w:semiHidden/>
    <w:qFormat/>
    <w:uiPriority w:val="0"/>
    <w:pPr>
      <w:spacing w:before="240" w:after="60"/>
      <w:outlineLvl w:val="6"/>
    </w:pPr>
    <w:rPr>
      <w:rFonts w:ascii="Calibri" w:hAnsi="Calibri"/>
      <w:szCs w:val="24"/>
    </w:rPr>
  </w:style>
  <w:style w:type="paragraph" w:styleId="9">
    <w:name w:val="heading 8"/>
    <w:basedOn w:val="1"/>
    <w:next w:val="1"/>
    <w:link w:val="113"/>
    <w:semiHidden/>
    <w:qFormat/>
    <w:uiPriority w:val="0"/>
    <w:pPr>
      <w:spacing w:before="240" w:after="60"/>
      <w:outlineLvl w:val="7"/>
    </w:pPr>
    <w:rPr>
      <w:rFonts w:ascii="Calibri" w:hAnsi="Calibri"/>
      <w:i/>
      <w:iCs/>
      <w:szCs w:val="24"/>
    </w:rPr>
  </w:style>
  <w:style w:type="paragraph" w:styleId="10">
    <w:name w:val="heading 9"/>
    <w:basedOn w:val="1"/>
    <w:next w:val="1"/>
    <w:link w:val="114"/>
    <w:semiHidden/>
    <w:qFormat/>
    <w:uiPriority w:val="0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88">
    <w:name w:val="Default Paragraph Font"/>
    <w:semiHidden/>
    <w:unhideWhenUsed/>
    <w:qFormat/>
    <w:uiPriority w:val="1"/>
  </w:style>
  <w:style w:type="table" w:default="1" w:styleId="10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List 3"/>
    <w:basedOn w:val="1"/>
    <w:semiHidden/>
    <w:qFormat/>
    <w:uiPriority w:val="0"/>
    <w:pPr>
      <w:ind w:left="1080" w:hanging="360"/>
      <w:contextualSpacing/>
    </w:pPr>
  </w:style>
  <w:style w:type="paragraph" w:styleId="12">
    <w:name w:val="annotation subject"/>
    <w:basedOn w:val="13"/>
    <w:next w:val="13"/>
    <w:link w:val="131"/>
    <w:qFormat/>
    <w:uiPriority w:val="0"/>
    <w:rPr>
      <w:b/>
      <w:bCs/>
    </w:rPr>
  </w:style>
  <w:style w:type="paragraph" w:styleId="13">
    <w:name w:val="annotation text"/>
    <w:basedOn w:val="1"/>
    <w:link w:val="130"/>
    <w:qFormat/>
    <w:uiPriority w:val="0"/>
    <w:rPr>
      <w:sz w:val="20"/>
    </w:rPr>
  </w:style>
  <w:style w:type="paragraph" w:styleId="14">
    <w:name w:val="toc 7"/>
    <w:basedOn w:val="1"/>
    <w:next w:val="1"/>
    <w:semiHidden/>
    <w:qFormat/>
    <w:uiPriority w:val="0"/>
    <w:pPr>
      <w:ind w:left="1440"/>
    </w:pPr>
  </w:style>
  <w:style w:type="paragraph" w:styleId="15">
    <w:name w:val="Body Text First Indent"/>
    <w:basedOn w:val="16"/>
    <w:link w:val="124"/>
    <w:semiHidden/>
    <w:qFormat/>
    <w:uiPriority w:val="0"/>
    <w:pPr>
      <w:ind w:firstLine="210"/>
    </w:pPr>
  </w:style>
  <w:style w:type="paragraph" w:styleId="16">
    <w:name w:val="Body Text"/>
    <w:basedOn w:val="1"/>
    <w:link w:val="121"/>
    <w:semiHidden/>
    <w:qFormat/>
    <w:uiPriority w:val="0"/>
    <w:pPr>
      <w:spacing w:after="120"/>
    </w:pPr>
  </w:style>
  <w:style w:type="paragraph" w:styleId="17">
    <w:name w:val="List Number 2"/>
    <w:basedOn w:val="1"/>
    <w:semiHidden/>
    <w:qFormat/>
    <w:uiPriority w:val="0"/>
    <w:pPr>
      <w:numPr>
        <w:ilvl w:val="0"/>
        <w:numId w:val="1"/>
      </w:numPr>
      <w:tabs>
        <w:tab w:val="left" w:pos="360"/>
        <w:tab w:val="clear" w:pos="720"/>
      </w:tabs>
      <w:ind w:left="0" w:firstLine="0"/>
      <w:contextualSpacing/>
    </w:pPr>
  </w:style>
  <w:style w:type="paragraph" w:styleId="18">
    <w:name w:val="table of authorities"/>
    <w:basedOn w:val="1"/>
    <w:next w:val="1"/>
    <w:semiHidden/>
    <w:qFormat/>
    <w:uiPriority w:val="0"/>
    <w:pPr>
      <w:ind w:left="240" w:hanging="240"/>
    </w:pPr>
  </w:style>
  <w:style w:type="paragraph" w:styleId="19">
    <w:name w:val="macro"/>
    <w:link w:val="144"/>
    <w:semiHidden/>
    <w:qFormat/>
    <w:uiPriority w:val="0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hAnsi="Courier New" w:cs="Courier New" w:eastAsiaTheme="minorEastAsia"/>
      <w:lang w:val="en-US" w:eastAsia="en-US" w:bidi="ar-SA"/>
    </w:rPr>
  </w:style>
  <w:style w:type="paragraph" w:styleId="20">
    <w:name w:val="Note Heading"/>
    <w:basedOn w:val="1"/>
    <w:next w:val="1"/>
    <w:link w:val="147"/>
    <w:semiHidden/>
    <w:qFormat/>
    <w:uiPriority w:val="0"/>
  </w:style>
  <w:style w:type="paragraph" w:styleId="21">
    <w:name w:val="List Bullet 4"/>
    <w:basedOn w:val="1"/>
    <w:semiHidden/>
    <w:qFormat/>
    <w:uiPriority w:val="0"/>
    <w:pPr>
      <w:numPr>
        <w:ilvl w:val="0"/>
        <w:numId w:val="2"/>
      </w:numPr>
      <w:tabs>
        <w:tab w:val="left" w:pos="360"/>
        <w:tab w:val="clear" w:pos="1440"/>
      </w:tabs>
      <w:ind w:left="0" w:firstLine="0"/>
      <w:contextualSpacing/>
    </w:pPr>
  </w:style>
  <w:style w:type="paragraph" w:styleId="22">
    <w:name w:val="index 8"/>
    <w:basedOn w:val="1"/>
    <w:next w:val="1"/>
    <w:semiHidden/>
    <w:qFormat/>
    <w:uiPriority w:val="0"/>
    <w:pPr>
      <w:ind w:left="1920" w:hanging="240"/>
    </w:pPr>
  </w:style>
  <w:style w:type="paragraph" w:styleId="23">
    <w:name w:val="E-mail Signature"/>
    <w:basedOn w:val="1"/>
    <w:link w:val="134"/>
    <w:semiHidden/>
    <w:qFormat/>
    <w:uiPriority w:val="0"/>
  </w:style>
  <w:style w:type="paragraph" w:styleId="24">
    <w:name w:val="List Number"/>
    <w:basedOn w:val="1"/>
    <w:semiHidden/>
    <w:qFormat/>
    <w:uiPriority w:val="0"/>
    <w:pPr>
      <w:numPr>
        <w:ilvl w:val="0"/>
        <w:numId w:val="3"/>
      </w:numPr>
      <w:contextualSpacing/>
    </w:pPr>
  </w:style>
  <w:style w:type="paragraph" w:styleId="25">
    <w:name w:val="Normal Indent"/>
    <w:basedOn w:val="1"/>
    <w:semiHidden/>
    <w:qFormat/>
    <w:uiPriority w:val="0"/>
    <w:pPr>
      <w:ind w:left="720"/>
    </w:pPr>
  </w:style>
  <w:style w:type="paragraph" w:styleId="26">
    <w:name w:val="caption"/>
    <w:basedOn w:val="1"/>
    <w:next w:val="1"/>
    <w:qFormat/>
    <w:uiPriority w:val="35"/>
    <w:rPr>
      <w:b/>
      <w:bCs/>
      <w:sz w:val="20"/>
    </w:rPr>
  </w:style>
  <w:style w:type="paragraph" w:styleId="27">
    <w:name w:val="index 5"/>
    <w:basedOn w:val="1"/>
    <w:next w:val="1"/>
    <w:semiHidden/>
    <w:qFormat/>
    <w:uiPriority w:val="0"/>
    <w:pPr>
      <w:ind w:left="1200" w:hanging="240"/>
    </w:pPr>
  </w:style>
  <w:style w:type="paragraph" w:styleId="28">
    <w:name w:val="List Bullet"/>
    <w:basedOn w:val="1"/>
    <w:semiHidden/>
    <w:qFormat/>
    <w:uiPriority w:val="0"/>
    <w:pPr>
      <w:numPr>
        <w:ilvl w:val="0"/>
        <w:numId w:val="4"/>
      </w:numPr>
      <w:contextualSpacing/>
    </w:pPr>
  </w:style>
  <w:style w:type="paragraph" w:styleId="29">
    <w:name w:val="envelope address"/>
    <w:basedOn w:val="1"/>
    <w:semiHidden/>
    <w:qFormat/>
    <w:uiPriority w:val="0"/>
    <w:pPr>
      <w:framePr w:w="7920" w:h="1980" w:hRule="exact" w:hSpace="180" w:wrap="around" w:vAnchor="margin" w:hAnchor="page" w:xAlign="center" w:yAlign="bottom"/>
      <w:ind w:left="2880"/>
    </w:pPr>
    <w:rPr>
      <w:rFonts w:ascii="Cambria" w:hAnsi="Cambria"/>
      <w:szCs w:val="24"/>
    </w:rPr>
  </w:style>
  <w:style w:type="paragraph" w:styleId="30">
    <w:name w:val="Document Map"/>
    <w:basedOn w:val="1"/>
    <w:link w:val="133"/>
    <w:semiHidden/>
    <w:qFormat/>
    <w:uiPriority w:val="0"/>
    <w:rPr>
      <w:rFonts w:ascii="Tahoma" w:hAnsi="Tahoma" w:cs="Tahoma"/>
      <w:sz w:val="16"/>
      <w:szCs w:val="16"/>
    </w:rPr>
  </w:style>
  <w:style w:type="paragraph" w:styleId="31">
    <w:name w:val="toa heading"/>
    <w:basedOn w:val="1"/>
    <w:next w:val="1"/>
    <w:semiHidden/>
    <w:qFormat/>
    <w:uiPriority w:val="0"/>
    <w:pPr>
      <w:spacing w:before="120"/>
    </w:pPr>
    <w:rPr>
      <w:rFonts w:ascii="Cambria" w:hAnsi="Cambria"/>
      <w:b/>
      <w:bCs/>
      <w:szCs w:val="24"/>
    </w:rPr>
  </w:style>
  <w:style w:type="paragraph" w:styleId="32">
    <w:name w:val="index 6"/>
    <w:basedOn w:val="1"/>
    <w:next w:val="1"/>
    <w:semiHidden/>
    <w:qFormat/>
    <w:uiPriority w:val="0"/>
    <w:pPr>
      <w:ind w:left="1440" w:hanging="240"/>
    </w:pPr>
  </w:style>
  <w:style w:type="paragraph" w:styleId="33">
    <w:name w:val="Salutation"/>
    <w:basedOn w:val="1"/>
    <w:next w:val="1"/>
    <w:link w:val="151"/>
    <w:semiHidden/>
    <w:qFormat/>
    <w:uiPriority w:val="0"/>
  </w:style>
  <w:style w:type="paragraph" w:styleId="34">
    <w:name w:val="Body Text 3"/>
    <w:basedOn w:val="1"/>
    <w:link w:val="123"/>
    <w:semiHidden/>
    <w:qFormat/>
    <w:uiPriority w:val="0"/>
    <w:pPr>
      <w:spacing w:after="120"/>
    </w:pPr>
    <w:rPr>
      <w:sz w:val="16"/>
      <w:szCs w:val="16"/>
    </w:rPr>
  </w:style>
  <w:style w:type="paragraph" w:styleId="35">
    <w:name w:val="Closing"/>
    <w:basedOn w:val="1"/>
    <w:link w:val="129"/>
    <w:semiHidden/>
    <w:qFormat/>
    <w:uiPriority w:val="0"/>
    <w:pPr>
      <w:ind w:left="4320"/>
    </w:pPr>
  </w:style>
  <w:style w:type="paragraph" w:styleId="36">
    <w:name w:val="List Bullet 3"/>
    <w:basedOn w:val="1"/>
    <w:semiHidden/>
    <w:qFormat/>
    <w:uiPriority w:val="0"/>
    <w:pPr>
      <w:numPr>
        <w:ilvl w:val="0"/>
        <w:numId w:val="5"/>
      </w:numPr>
      <w:contextualSpacing/>
    </w:pPr>
  </w:style>
  <w:style w:type="paragraph" w:styleId="37">
    <w:name w:val="Body Text Indent"/>
    <w:basedOn w:val="1"/>
    <w:link w:val="125"/>
    <w:semiHidden/>
    <w:qFormat/>
    <w:uiPriority w:val="0"/>
    <w:pPr>
      <w:spacing w:after="120"/>
      <w:ind w:left="360"/>
    </w:pPr>
  </w:style>
  <w:style w:type="paragraph" w:styleId="38">
    <w:name w:val="List Number 3"/>
    <w:basedOn w:val="1"/>
    <w:semiHidden/>
    <w:qFormat/>
    <w:uiPriority w:val="0"/>
    <w:pPr>
      <w:numPr>
        <w:ilvl w:val="0"/>
        <w:numId w:val="6"/>
      </w:numPr>
      <w:contextualSpacing/>
    </w:pPr>
  </w:style>
  <w:style w:type="paragraph" w:styleId="39">
    <w:name w:val="List 2"/>
    <w:basedOn w:val="1"/>
    <w:semiHidden/>
    <w:qFormat/>
    <w:uiPriority w:val="0"/>
    <w:pPr>
      <w:ind w:left="720" w:hanging="360"/>
      <w:contextualSpacing/>
    </w:pPr>
  </w:style>
  <w:style w:type="paragraph" w:styleId="40">
    <w:name w:val="List Continue"/>
    <w:basedOn w:val="1"/>
    <w:semiHidden/>
    <w:qFormat/>
    <w:uiPriority w:val="0"/>
    <w:pPr>
      <w:spacing w:after="120"/>
      <w:ind w:left="360"/>
      <w:contextualSpacing/>
    </w:pPr>
  </w:style>
  <w:style w:type="paragraph" w:styleId="41">
    <w:name w:val="Block Text"/>
    <w:basedOn w:val="1"/>
    <w:semiHidden/>
    <w:qFormat/>
    <w:uiPriority w:val="0"/>
    <w:pPr>
      <w:spacing w:after="120"/>
      <w:ind w:left="1440" w:right="1440"/>
    </w:pPr>
  </w:style>
  <w:style w:type="paragraph" w:styleId="42">
    <w:name w:val="List Bullet 2"/>
    <w:basedOn w:val="1"/>
    <w:semiHidden/>
    <w:qFormat/>
    <w:uiPriority w:val="0"/>
    <w:pPr>
      <w:numPr>
        <w:ilvl w:val="0"/>
        <w:numId w:val="7"/>
      </w:numPr>
      <w:contextualSpacing/>
    </w:pPr>
  </w:style>
  <w:style w:type="paragraph" w:styleId="43">
    <w:name w:val="HTML Address"/>
    <w:basedOn w:val="1"/>
    <w:link w:val="139"/>
    <w:semiHidden/>
    <w:qFormat/>
    <w:uiPriority w:val="0"/>
    <w:rPr>
      <w:i/>
      <w:iCs/>
    </w:rPr>
  </w:style>
  <w:style w:type="paragraph" w:styleId="44">
    <w:name w:val="index 4"/>
    <w:basedOn w:val="1"/>
    <w:next w:val="1"/>
    <w:semiHidden/>
    <w:qFormat/>
    <w:uiPriority w:val="0"/>
    <w:pPr>
      <w:ind w:left="960" w:hanging="240"/>
    </w:pPr>
  </w:style>
  <w:style w:type="paragraph" w:styleId="45">
    <w:name w:val="toc 5"/>
    <w:basedOn w:val="1"/>
    <w:next w:val="1"/>
    <w:semiHidden/>
    <w:qFormat/>
    <w:uiPriority w:val="0"/>
    <w:pPr>
      <w:ind w:left="960"/>
    </w:pPr>
  </w:style>
  <w:style w:type="paragraph" w:styleId="46">
    <w:name w:val="toc 3"/>
    <w:basedOn w:val="1"/>
    <w:next w:val="1"/>
    <w:semiHidden/>
    <w:qFormat/>
    <w:uiPriority w:val="0"/>
    <w:pPr>
      <w:ind w:left="480"/>
    </w:pPr>
  </w:style>
  <w:style w:type="paragraph" w:styleId="47">
    <w:name w:val="Plain Text"/>
    <w:basedOn w:val="1"/>
    <w:link w:val="148"/>
    <w:semiHidden/>
    <w:qFormat/>
    <w:uiPriority w:val="0"/>
    <w:rPr>
      <w:rFonts w:ascii="Courier New" w:hAnsi="Courier New" w:cs="Courier New"/>
      <w:sz w:val="20"/>
    </w:rPr>
  </w:style>
  <w:style w:type="paragraph" w:styleId="48">
    <w:name w:val="List Bullet 5"/>
    <w:basedOn w:val="1"/>
    <w:semiHidden/>
    <w:qFormat/>
    <w:uiPriority w:val="0"/>
    <w:pPr>
      <w:numPr>
        <w:ilvl w:val="0"/>
        <w:numId w:val="8"/>
      </w:numPr>
      <w:contextualSpacing/>
    </w:pPr>
  </w:style>
  <w:style w:type="paragraph" w:styleId="49">
    <w:name w:val="List Number 4"/>
    <w:basedOn w:val="1"/>
    <w:semiHidden/>
    <w:qFormat/>
    <w:uiPriority w:val="0"/>
    <w:pPr>
      <w:numPr>
        <w:ilvl w:val="0"/>
        <w:numId w:val="9"/>
      </w:numPr>
      <w:contextualSpacing/>
    </w:pPr>
  </w:style>
  <w:style w:type="paragraph" w:styleId="50">
    <w:name w:val="toc 8"/>
    <w:basedOn w:val="1"/>
    <w:next w:val="1"/>
    <w:semiHidden/>
    <w:qFormat/>
    <w:uiPriority w:val="0"/>
    <w:pPr>
      <w:ind w:left="1680"/>
    </w:pPr>
  </w:style>
  <w:style w:type="paragraph" w:styleId="51">
    <w:name w:val="index 3"/>
    <w:basedOn w:val="1"/>
    <w:next w:val="1"/>
    <w:semiHidden/>
    <w:qFormat/>
    <w:uiPriority w:val="0"/>
    <w:pPr>
      <w:ind w:left="720" w:hanging="240"/>
    </w:pPr>
  </w:style>
  <w:style w:type="paragraph" w:styleId="52">
    <w:name w:val="Date"/>
    <w:basedOn w:val="1"/>
    <w:next w:val="1"/>
    <w:link w:val="132"/>
    <w:semiHidden/>
    <w:qFormat/>
    <w:uiPriority w:val="0"/>
  </w:style>
  <w:style w:type="paragraph" w:styleId="53">
    <w:name w:val="Body Text Indent 2"/>
    <w:basedOn w:val="1"/>
    <w:link w:val="127"/>
    <w:semiHidden/>
    <w:qFormat/>
    <w:uiPriority w:val="0"/>
    <w:pPr>
      <w:spacing w:after="120" w:line="480" w:lineRule="auto"/>
      <w:ind w:left="360"/>
    </w:pPr>
  </w:style>
  <w:style w:type="paragraph" w:styleId="54">
    <w:name w:val="endnote text"/>
    <w:basedOn w:val="1"/>
    <w:link w:val="135"/>
    <w:semiHidden/>
    <w:qFormat/>
    <w:uiPriority w:val="0"/>
    <w:rPr>
      <w:sz w:val="20"/>
    </w:rPr>
  </w:style>
  <w:style w:type="paragraph" w:styleId="55">
    <w:name w:val="List Continue 5"/>
    <w:basedOn w:val="1"/>
    <w:semiHidden/>
    <w:qFormat/>
    <w:uiPriority w:val="0"/>
    <w:pPr>
      <w:spacing w:after="120"/>
      <w:ind w:left="1800"/>
      <w:contextualSpacing/>
    </w:pPr>
  </w:style>
  <w:style w:type="paragraph" w:styleId="56">
    <w:name w:val="Balloon Text"/>
    <w:basedOn w:val="1"/>
    <w:link w:val="119"/>
    <w:qFormat/>
    <w:uiPriority w:val="0"/>
    <w:rPr>
      <w:rFonts w:ascii="Tahoma" w:hAnsi="Tahoma" w:cs="Tahoma"/>
      <w:sz w:val="16"/>
      <w:szCs w:val="16"/>
    </w:rPr>
  </w:style>
  <w:style w:type="paragraph" w:styleId="57">
    <w:name w:val="footer"/>
    <w:basedOn w:val="1"/>
    <w:link w:val="136"/>
    <w:qFormat/>
    <w:uiPriority w:val="0"/>
    <w:pPr>
      <w:tabs>
        <w:tab w:val="center" w:pos="4680"/>
        <w:tab w:val="right" w:pos="9360"/>
      </w:tabs>
    </w:pPr>
  </w:style>
  <w:style w:type="paragraph" w:styleId="58">
    <w:name w:val="envelope return"/>
    <w:basedOn w:val="1"/>
    <w:semiHidden/>
    <w:qFormat/>
    <w:uiPriority w:val="0"/>
    <w:rPr>
      <w:rFonts w:ascii="Cambria" w:hAnsi="Cambria"/>
      <w:sz w:val="20"/>
    </w:rPr>
  </w:style>
  <w:style w:type="paragraph" w:styleId="59">
    <w:name w:val="Body Text First Indent 2"/>
    <w:basedOn w:val="37"/>
    <w:link w:val="126"/>
    <w:semiHidden/>
    <w:qFormat/>
    <w:uiPriority w:val="0"/>
    <w:pPr>
      <w:ind w:firstLine="210"/>
    </w:pPr>
  </w:style>
  <w:style w:type="paragraph" w:styleId="60">
    <w:name w:val="header"/>
    <w:basedOn w:val="1"/>
    <w:link w:val="138"/>
    <w:qFormat/>
    <w:uiPriority w:val="0"/>
    <w:pPr>
      <w:tabs>
        <w:tab w:val="center" w:pos="4680"/>
        <w:tab w:val="right" w:pos="9360"/>
      </w:tabs>
    </w:pPr>
  </w:style>
  <w:style w:type="paragraph" w:styleId="61">
    <w:name w:val="Signature"/>
    <w:basedOn w:val="1"/>
    <w:link w:val="152"/>
    <w:semiHidden/>
    <w:qFormat/>
    <w:uiPriority w:val="0"/>
    <w:pPr>
      <w:ind w:left="4320"/>
    </w:pPr>
  </w:style>
  <w:style w:type="paragraph" w:styleId="62">
    <w:name w:val="toc 1"/>
    <w:basedOn w:val="1"/>
    <w:next w:val="1"/>
    <w:semiHidden/>
    <w:qFormat/>
    <w:uiPriority w:val="0"/>
  </w:style>
  <w:style w:type="paragraph" w:styleId="63">
    <w:name w:val="List Continue 4"/>
    <w:basedOn w:val="1"/>
    <w:semiHidden/>
    <w:qFormat/>
    <w:uiPriority w:val="0"/>
    <w:pPr>
      <w:spacing w:after="120"/>
      <w:ind w:left="1440"/>
      <w:contextualSpacing/>
    </w:pPr>
  </w:style>
  <w:style w:type="paragraph" w:styleId="64">
    <w:name w:val="toc 4"/>
    <w:basedOn w:val="1"/>
    <w:next w:val="1"/>
    <w:semiHidden/>
    <w:qFormat/>
    <w:uiPriority w:val="0"/>
    <w:pPr>
      <w:ind w:left="720"/>
    </w:pPr>
  </w:style>
  <w:style w:type="paragraph" w:styleId="65">
    <w:name w:val="index heading"/>
    <w:basedOn w:val="1"/>
    <w:next w:val="66"/>
    <w:semiHidden/>
    <w:qFormat/>
    <w:uiPriority w:val="0"/>
    <w:rPr>
      <w:rFonts w:ascii="Cambria" w:hAnsi="Cambria"/>
      <w:b/>
      <w:bCs/>
    </w:rPr>
  </w:style>
  <w:style w:type="paragraph" w:styleId="66">
    <w:name w:val="index 1"/>
    <w:basedOn w:val="1"/>
    <w:next w:val="1"/>
    <w:semiHidden/>
    <w:qFormat/>
    <w:uiPriority w:val="0"/>
    <w:pPr>
      <w:ind w:left="240" w:hanging="240"/>
    </w:pPr>
  </w:style>
  <w:style w:type="paragraph" w:styleId="67">
    <w:name w:val="Subtitle"/>
    <w:basedOn w:val="1"/>
    <w:next w:val="1"/>
    <w:link w:val="153"/>
    <w:semiHidden/>
    <w:qFormat/>
    <w:uiPriority w:val="0"/>
    <w:pPr>
      <w:spacing w:after="60"/>
      <w:jc w:val="center"/>
      <w:outlineLvl w:val="1"/>
    </w:pPr>
    <w:rPr>
      <w:rFonts w:ascii="Cambria" w:hAnsi="Cambria"/>
      <w:szCs w:val="24"/>
    </w:rPr>
  </w:style>
  <w:style w:type="paragraph" w:styleId="68">
    <w:name w:val="List Number 5"/>
    <w:basedOn w:val="1"/>
    <w:semiHidden/>
    <w:qFormat/>
    <w:uiPriority w:val="0"/>
    <w:pPr>
      <w:numPr>
        <w:ilvl w:val="0"/>
        <w:numId w:val="10"/>
      </w:numPr>
      <w:contextualSpacing/>
    </w:pPr>
  </w:style>
  <w:style w:type="paragraph" w:styleId="69">
    <w:name w:val="List"/>
    <w:basedOn w:val="1"/>
    <w:semiHidden/>
    <w:qFormat/>
    <w:uiPriority w:val="0"/>
    <w:pPr>
      <w:ind w:left="360" w:hanging="360"/>
      <w:contextualSpacing/>
    </w:pPr>
  </w:style>
  <w:style w:type="paragraph" w:styleId="70">
    <w:name w:val="footnote text"/>
    <w:basedOn w:val="1"/>
    <w:link w:val="137"/>
    <w:qFormat/>
    <w:uiPriority w:val="99"/>
    <w:rPr>
      <w:sz w:val="20"/>
    </w:rPr>
  </w:style>
  <w:style w:type="paragraph" w:styleId="71">
    <w:name w:val="toc 6"/>
    <w:basedOn w:val="1"/>
    <w:next w:val="1"/>
    <w:semiHidden/>
    <w:qFormat/>
    <w:uiPriority w:val="0"/>
    <w:pPr>
      <w:ind w:left="1200"/>
    </w:pPr>
  </w:style>
  <w:style w:type="paragraph" w:styleId="72">
    <w:name w:val="List 5"/>
    <w:basedOn w:val="1"/>
    <w:semiHidden/>
    <w:qFormat/>
    <w:uiPriority w:val="0"/>
    <w:pPr>
      <w:ind w:left="1800" w:hanging="360"/>
      <w:contextualSpacing/>
    </w:pPr>
  </w:style>
  <w:style w:type="paragraph" w:styleId="73">
    <w:name w:val="Body Text Indent 3"/>
    <w:basedOn w:val="1"/>
    <w:link w:val="128"/>
    <w:semiHidden/>
    <w:qFormat/>
    <w:uiPriority w:val="0"/>
    <w:pPr>
      <w:spacing w:after="120"/>
      <w:ind w:left="360"/>
    </w:pPr>
    <w:rPr>
      <w:sz w:val="16"/>
      <w:szCs w:val="16"/>
    </w:rPr>
  </w:style>
  <w:style w:type="paragraph" w:styleId="74">
    <w:name w:val="index 7"/>
    <w:basedOn w:val="1"/>
    <w:next w:val="1"/>
    <w:semiHidden/>
    <w:qFormat/>
    <w:uiPriority w:val="0"/>
    <w:pPr>
      <w:ind w:left="1680" w:hanging="240"/>
    </w:pPr>
  </w:style>
  <w:style w:type="paragraph" w:styleId="75">
    <w:name w:val="index 9"/>
    <w:basedOn w:val="1"/>
    <w:next w:val="1"/>
    <w:semiHidden/>
    <w:qFormat/>
    <w:uiPriority w:val="0"/>
    <w:pPr>
      <w:ind w:left="2160" w:hanging="240"/>
    </w:pPr>
  </w:style>
  <w:style w:type="paragraph" w:styleId="76">
    <w:name w:val="table of figures"/>
    <w:basedOn w:val="1"/>
    <w:next w:val="1"/>
    <w:semiHidden/>
    <w:qFormat/>
    <w:uiPriority w:val="0"/>
  </w:style>
  <w:style w:type="paragraph" w:styleId="77">
    <w:name w:val="toc 2"/>
    <w:basedOn w:val="1"/>
    <w:next w:val="1"/>
    <w:semiHidden/>
    <w:qFormat/>
    <w:uiPriority w:val="0"/>
    <w:pPr>
      <w:ind w:left="240"/>
    </w:pPr>
  </w:style>
  <w:style w:type="paragraph" w:styleId="78">
    <w:name w:val="toc 9"/>
    <w:basedOn w:val="1"/>
    <w:next w:val="1"/>
    <w:semiHidden/>
    <w:qFormat/>
    <w:uiPriority w:val="0"/>
    <w:pPr>
      <w:ind w:left="1920"/>
    </w:pPr>
  </w:style>
  <w:style w:type="paragraph" w:styleId="79">
    <w:name w:val="Body Text 2"/>
    <w:basedOn w:val="1"/>
    <w:link w:val="122"/>
    <w:semiHidden/>
    <w:qFormat/>
    <w:uiPriority w:val="0"/>
    <w:pPr>
      <w:spacing w:after="120" w:line="480" w:lineRule="auto"/>
    </w:pPr>
  </w:style>
  <w:style w:type="paragraph" w:styleId="80">
    <w:name w:val="List 4"/>
    <w:basedOn w:val="1"/>
    <w:semiHidden/>
    <w:qFormat/>
    <w:uiPriority w:val="0"/>
    <w:pPr>
      <w:ind w:left="1440" w:hanging="360"/>
      <w:contextualSpacing/>
    </w:pPr>
  </w:style>
  <w:style w:type="paragraph" w:styleId="81">
    <w:name w:val="List Continue 2"/>
    <w:basedOn w:val="1"/>
    <w:semiHidden/>
    <w:qFormat/>
    <w:uiPriority w:val="0"/>
    <w:pPr>
      <w:spacing w:after="120"/>
      <w:ind w:left="720"/>
      <w:contextualSpacing/>
    </w:pPr>
  </w:style>
  <w:style w:type="paragraph" w:styleId="82">
    <w:name w:val="Message Header"/>
    <w:basedOn w:val="1"/>
    <w:link w:val="145"/>
    <w:semiHidden/>
    <w:qFormat/>
    <w:uiPriority w:val="0"/>
    <w:pPr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pct20" w:color="auto" w:fill="auto"/>
      <w:ind w:left="1080" w:hanging="1080"/>
    </w:pPr>
    <w:rPr>
      <w:rFonts w:ascii="Cambria" w:hAnsi="Cambria"/>
      <w:szCs w:val="24"/>
    </w:rPr>
  </w:style>
  <w:style w:type="paragraph" w:styleId="83">
    <w:name w:val="HTML Preformatted"/>
    <w:basedOn w:val="1"/>
    <w:link w:val="140"/>
    <w:qFormat/>
    <w:uiPriority w:val="0"/>
    <w:rPr>
      <w:rFonts w:ascii="Courier New" w:hAnsi="Courier New" w:cs="Courier New"/>
      <w:sz w:val="20"/>
    </w:rPr>
  </w:style>
  <w:style w:type="paragraph" w:styleId="84">
    <w:name w:val="Normal (Web)"/>
    <w:basedOn w:val="1"/>
    <w:qFormat/>
    <w:uiPriority w:val="0"/>
    <w:rPr>
      <w:szCs w:val="24"/>
    </w:rPr>
  </w:style>
  <w:style w:type="paragraph" w:styleId="85">
    <w:name w:val="List Continue 3"/>
    <w:basedOn w:val="1"/>
    <w:semiHidden/>
    <w:qFormat/>
    <w:uiPriority w:val="0"/>
    <w:pPr>
      <w:spacing w:after="120"/>
      <w:ind w:left="1080"/>
      <w:contextualSpacing/>
    </w:pPr>
  </w:style>
  <w:style w:type="paragraph" w:styleId="86">
    <w:name w:val="index 2"/>
    <w:basedOn w:val="1"/>
    <w:next w:val="1"/>
    <w:semiHidden/>
    <w:qFormat/>
    <w:uiPriority w:val="0"/>
    <w:pPr>
      <w:ind w:left="480" w:hanging="240"/>
    </w:pPr>
  </w:style>
  <w:style w:type="paragraph" w:styleId="87">
    <w:name w:val="Title"/>
    <w:basedOn w:val="1"/>
    <w:next w:val="1"/>
    <w:link w:val="154"/>
    <w:semiHidden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styleId="89">
    <w:name w:val="Strong"/>
    <w:qFormat/>
    <w:uiPriority w:val="22"/>
    <w:rPr>
      <w:b/>
      <w:bCs/>
    </w:rPr>
  </w:style>
  <w:style w:type="character" w:styleId="90">
    <w:name w:val="endnote reference"/>
    <w:semiHidden/>
    <w:qFormat/>
    <w:uiPriority w:val="0"/>
    <w:rPr>
      <w:vertAlign w:val="superscript"/>
    </w:rPr>
  </w:style>
  <w:style w:type="character" w:styleId="91">
    <w:name w:val="page number"/>
    <w:basedOn w:val="88"/>
    <w:qFormat/>
    <w:uiPriority w:val="0"/>
  </w:style>
  <w:style w:type="character" w:styleId="92">
    <w:name w:val="FollowedHyperlink"/>
    <w:unhideWhenUsed/>
    <w:qFormat/>
    <w:uiPriority w:val="0"/>
    <w:rPr>
      <w:color w:val="800080"/>
      <w:u w:val="single"/>
    </w:rPr>
  </w:style>
  <w:style w:type="character" w:styleId="93">
    <w:name w:val="Emphasis"/>
    <w:qFormat/>
    <w:uiPriority w:val="20"/>
    <w:rPr>
      <w:i/>
      <w:iCs/>
    </w:rPr>
  </w:style>
  <w:style w:type="character" w:styleId="94">
    <w:name w:val="line number"/>
    <w:basedOn w:val="88"/>
    <w:qFormat/>
    <w:uiPriority w:val="0"/>
  </w:style>
  <w:style w:type="character" w:styleId="95">
    <w:name w:val="HTML Definition"/>
    <w:qFormat/>
    <w:uiPriority w:val="0"/>
    <w:rPr>
      <w:i/>
      <w:iCs/>
    </w:rPr>
  </w:style>
  <w:style w:type="character" w:styleId="96">
    <w:name w:val="HTML Typewriter"/>
    <w:qFormat/>
    <w:uiPriority w:val="0"/>
    <w:rPr>
      <w:rFonts w:ascii="Helvetica" w:hAnsi="Helvetica" w:cs="Helvetica"/>
      <w:sz w:val="20"/>
      <w:szCs w:val="20"/>
    </w:rPr>
  </w:style>
  <w:style w:type="character" w:styleId="97">
    <w:name w:val="HTML Acronym"/>
    <w:basedOn w:val="88"/>
    <w:qFormat/>
    <w:uiPriority w:val="0"/>
  </w:style>
  <w:style w:type="character" w:styleId="98">
    <w:name w:val="HTML Variable"/>
    <w:qFormat/>
    <w:uiPriority w:val="0"/>
    <w:rPr>
      <w:i/>
      <w:iCs/>
    </w:rPr>
  </w:style>
  <w:style w:type="character" w:styleId="99">
    <w:name w:val="Hyperlink"/>
    <w:qFormat/>
    <w:uiPriority w:val="99"/>
    <w:rPr>
      <w:color w:val="0000FF"/>
      <w:u w:val="single"/>
    </w:rPr>
  </w:style>
  <w:style w:type="character" w:styleId="100">
    <w:name w:val="HTML Code"/>
    <w:qFormat/>
    <w:uiPriority w:val="0"/>
    <w:rPr>
      <w:rFonts w:ascii="Helvetica" w:hAnsi="Helvetica" w:cs="Helvetica"/>
      <w:sz w:val="20"/>
      <w:szCs w:val="20"/>
    </w:rPr>
  </w:style>
  <w:style w:type="character" w:styleId="101">
    <w:name w:val="annotation reference"/>
    <w:unhideWhenUsed/>
    <w:qFormat/>
    <w:uiPriority w:val="0"/>
    <w:rPr>
      <w:sz w:val="16"/>
      <w:szCs w:val="16"/>
    </w:rPr>
  </w:style>
  <w:style w:type="character" w:styleId="102">
    <w:name w:val="HTML Cite"/>
    <w:qFormat/>
    <w:uiPriority w:val="0"/>
    <w:rPr>
      <w:i/>
      <w:iCs/>
    </w:rPr>
  </w:style>
  <w:style w:type="character" w:styleId="103">
    <w:name w:val="footnote reference"/>
    <w:semiHidden/>
    <w:qFormat/>
    <w:uiPriority w:val="0"/>
    <w:rPr>
      <w:vertAlign w:val="superscript"/>
    </w:rPr>
  </w:style>
  <w:style w:type="character" w:styleId="104">
    <w:name w:val="HTML Keyboard"/>
    <w:qFormat/>
    <w:uiPriority w:val="0"/>
    <w:rPr>
      <w:rFonts w:ascii="Helvetica" w:hAnsi="Helvetica" w:cs="Helvetica"/>
      <w:sz w:val="20"/>
      <w:szCs w:val="20"/>
    </w:rPr>
  </w:style>
  <w:style w:type="character" w:styleId="105">
    <w:name w:val="HTML Sample"/>
    <w:qFormat/>
    <w:uiPriority w:val="0"/>
    <w:rPr>
      <w:rFonts w:ascii="Helvetica" w:hAnsi="Helvetica" w:cs="Helvetica"/>
    </w:rPr>
  </w:style>
  <w:style w:type="table" w:styleId="107">
    <w:name w:val="Table Grid"/>
    <w:basedOn w:val="106"/>
    <w:qFormat/>
    <w:uiPriority w:val="39"/>
    <w:pPr>
      <w:widowControl w:val="0"/>
      <w:jc w:val="both"/>
    </w:pPr>
    <w:rPr>
      <w:lang w:val="en-CA" w:eastAsia="en-CA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108">
    <w:name w:val="Heading 1 Char"/>
    <w:link w:val="2"/>
    <w:semiHidden/>
    <w:qFormat/>
    <w:uiPriority w:val="0"/>
    <w:rPr>
      <w:b/>
      <w:bCs/>
      <w:kern w:val="32"/>
      <w:sz w:val="24"/>
      <w:szCs w:val="24"/>
    </w:rPr>
  </w:style>
  <w:style w:type="character" w:customStyle="1" w:styleId="109">
    <w:name w:val="Heading 2 Char"/>
    <w:link w:val="3"/>
    <w:semiHidden/>
    <w:qFormat/>
    <w:uiPriority w:val="0"/>
    <w:rPr>
      <w:rFonts w:ascii="Cambria" w:hAnsi="Cambria"/>
      <w:b/>
      <w:bCs/>
      <w:i/>
      <w:iCs/>
      <w:sz w:val="28"/>
      <w:szCs w:val="28"/>
    </w:rPr>
  </w:style>
  <w:style w:type="character" w:customStyle="1" w:styleId="110">
    <w:name w:val="Heading 5 Char"/>
    <w:link w:val="6"/>
    <w:semiHidden/>
    <w:qFormat/>
    <w:uiPriority w:val="0"/>
    <w:rPr>
      <w:rFonts w:ascii="Calibri" w:hAnsi="Calibri"/>
      <w:b/>
      <w:bCs/>
      <w:i/>
      <w:iCs/>
      <w:sz w:val="26"/>
      <w:szCs w:val="26"/>
    </w:rPr>
  </w:style>
  <w:style w:type="character" w:customStyle="1" w:styleId="111">
    <w:name w:val="Heading 6 Char"/>
    <w:link w:val="7"/>
    <w:semiHidden/>
    <w:qFormat/>
    <w:uiPriority w:val="0"/>
    <w:rPr>
      <w:rFonts w:ascii="Calibri" w:hAnsi="Calibri"/>
      <w:b/>
      <w:bCs/>
      <w:sz w:val="22"/>
      <w:szCs w:val="22"/>
    </w:rPr>
  </w:style>
  <w:style w:type="character" w:customStyle="1" w:styleId="112">
    <w:name w:val="Heading 7 Char"/>
    <w:link w:val="8"/>
    <w:semiHidden/>
    <w:qFormat/>
    <w:uiPriority w:val="0"/>
    <w:rPr>
      <w:rFonts w:ascii="Calibri" w:hAnsi="Calibri"/>
      <w:sz w:val="24"/>
      <w:szCs w:val="24"/>
    </w:rPr>
  </w:style>
  <w:style w:type="character" w:customStyle="1" w:styleId="113">
    <w:name w:val="Heading 8 Char"/>
    <w:link w:val="9"/>
    <w:semiHidden/>
    <w:qFormat/>
    <w:uiPriority w:val="0"/>
    <w:rPr>
      <w:rFonts w:ascii="Calibri" w:hAnsi="Calibri"/>
      <w:i/>
      <w:iCs/>
      <w:sz w:val="24"/>
      <w:szCs w:val="24"/>
    </w:rPr>
  </w:style>
  <w:style w:type="character" w:customStyle="1" w:styleId="114">
    <w:name w:val="Heading 9 Char"/>
    <w:link w:val="10"/>
    <w:semiHidden/>
    <w:qFormat/>
    <w:uiPriority w:val="0"/>
    <w:rPr>
      <w:rFonts w:ascii="Cambria" w:hAnsi="Cambria"/>
      <w:sz w:val="22"/>
      <w:szCs w:val="22"/>
    </w:rPr>
  </w:style>
  <w:style w:type="paragraph" w:customStyle="1" w:styleId="115">
    <w:name w:val="SM Heading"/>
    <w:basedOn w:val="2"/>
    <w:qFormat/>
    <w:uiPriority w:val="0"/>
  </w:style>
  <w:style w:type="paragraph" w:customStyle="1" w:styleId="116">
    <w:name w:val="SM Subheading"/>
    <w:basedOn w:val="1"/>
    <w:qFormat/>
    <w:uiPriority w:val="0"/>
    <w:rPr>
      <w:u w:val="words"/>
    </w:rPr>
  </w:style>
  <w:style w:type="paragraph" w:customStyle="1" w:styleId="117">
    <w:name w:val="SM Text"/>
    <w:basedOn w:val="1"/>
    <w:qFormat/>
    <w:uiPriority w:val="0"/>
    <w:pPr>
      <w:ind w:firstLine="480"/>
    </w:pPr>
  </w:style>
  <w:style w:type="paragraph" w:customStyle="1" w:styleId="118">
    <w:name w:val="SM caption"/>
    <w:basedOn w:val="117"/>
    <w:qFormat/>
    <w:uiPriority w:val="0"/>
    <w:pPr>
      <w:ind w:firstLine="0"/>
    </w:pPr>
  </w:style>
  <w:style w:type="character" w:customStyle="1" w:styleId="119">
    <w:name w:val="Balloon Text Char"/>
    <w:link w:val="56"/>
    <w:qFormat/>
    <w:uiPriority w:val="0"/>
    <w:rPr>
      <w:rFonts w:ascii="Tahoma" w:hAnsi="Tahoma" w:cs="Tahoma"/>
      <w:sz w:val="16"/>
      <w:szCs w:val="16"/>
    </w:rPr>
  </w:style>
  <w:style w:type="paragraph" w:customStyle="1" w:styleId="120">
    <w:name w:val="Bibliography1"/>
    <w:basedOn w:val="1"/>
    <w:next w:val="1"/>
    <w:semiHidden/>
    <w:qFormat/>
    <w:uiPriority w:val="37"/>
  </w:style>
  <w:style w:type="character" w:customStyle="1" w:styleId="121">
    <w:name w:val="Body Text Char"/>
    <w:link w:val="16"/>
    <w:semiHidden/>
    <w:qFormat/>
    <w:uiPriority w:val="0"/>
    <w:rPr>
      <w:sz w:val="24"/>
    </w:rPr>
  </w:style>
  <w:style w:type="character" w:customStyle="1" w:styleId="122">
    <w:name w:val="Body Text 2 Char"/>
    <w:link w:val="79"/>
    <w:semiHidden/>
    <w:qFormat/>
    <w:uiPriority w:val="0"/>
    <w:rPr>
      <w:sz w:val="24"/>
    </w:rPr>
  </w:style>
  <w:style w:type="character" w:customStyle="1" w:styleId="123">
    <w:name w:val="Body Text 3 Char"/>
    <w:link w:val="34"/>
    <w:semiHidden/>
    <w:qFormat/>
    <w:uiPriority w:val="0"/>
    <w:rPr>
      <w:sz w:val="16"/>
      <w:szCs w:val="16"/>
    </w:rPr>
  </w:style>
  <w:style w:type="character" w:customStyle="1" w:styleId="124">
    <w:name w:val="Body Text First Indent Char"/>
    <w:link w:val="15"/>
    <w:semiHidden/>
    <w:qFormat/>
    <w:uiPriority w:val="0"/>
    <w:rPr>
      <w:sz w:val="24"/>
    </w:rPr>
  </w:style>
  <w:style w:type="character" w:customStyle="1" w:styleId="125">
    <w:name w:val="Body Text Indent Char"/>
    <w:link w:val="37"/>
    <w:semiHidden/>
    <w:qFormat/>
    <w:uiPriority w:val="0"/>
    <w:rPr>
      <w:sz w:val="24"/>
    </w:rPr>
  </w:style>
  <w:style w:type="character" w:customStyle="1" w:styleId="126">
    <w:name w:val="Body Text First Indent 2 Char"/>
    <w:link w:val="59"/>
    <w:semiHidden/>
    <w:qFormat/>
    <w:uiPriority w:val="0"/>
    <w:rPr>
      <w:sz w:val="24"/>
    </w:rPr>
  </w:style>
  <w:style w:type="character" w:customStyle="1" w:styleId="127">
    <w:name w:val="Body Text Indent 2 Char"/>
    <w:link w:val="53"/>
    <w:semiHidden/>
    <w:qFormat/>
    <w:uiPriority w:val="0"/>
    <w:rPr>
      <w:sz w:val="24"/>
    </w:rPr>
  </w:style>
  <w:style w:type="character" w:customStyle="1" w:styleId="128">
    <w:name w:val="Body Text Indent 3 Char"/>
    <w:link w:val="73"/>
    <w:semiHidden/>
    <w:qFormat/>
    <w:uiPriority w:val="0"/>
    <w:rPr>
      <w:sz w:val="16"/>
      <w:szCs w:val="16"/>
    </w:rPr>
  </w:style>
  <w:style w:type="character" w:customStyle="1" w:styleId="129">
    <w:name w:val="Closing Char"/>
    <w:link w:val="35"/>
    <w:semiHidden/>
    <w:qFormat/>
    <w:uiPriority w:val="0"/>
    <w:rPr>
      <w:sz w:val="24"/>
    </w:rPr>
  </w:style>
  <w:style w:type="character" w:customStyle="1" w:styleId="130">
    <w:name w:val="Comment Text Char"/>
    <w:basedOn w:val="88"/>
    <w:link w:val="13"/>
    <w:qFormat/>
    <w:uiPriority w:val="0"/>
  </w:style>
  <w:style w:type="character" w:customStyle="1" w:styleId="131">
    <w:name w:val="Comment Subject Char"/>
    <w:link w:val="12"/>
    <w:qFormat/>
    <w:uiPriority w:val="0"/>
    <w:rPr>
      <w:b/>
      <w:bCs/>
    </w:rPr>
  </w:style>
  <w:style w:type="character" w:customStyle="1" w:styleId="132">
    <w:name w:val="Date Char"/>
    <w:link w:val="52"/>
    <w:semiHidden/>
    <w:qFormat/>
    <w:uiPriority w:val="0"/>
    <w:rPr>
      <w:sz w:val="24"/>
    </w:rPr>
  </w:style>
  <w:style w:type="character" w:customStyle="1" w:styleId="133">
    <w:name w:val="Document Map Char"/>
    <w:link w:val="30"/>
    <w:semiHidden/>
    <w:qFormat/>
    <w:uiPriority w:val="0"/>
    <w:rPr>
      <w:rFonts w:ascii="Tahoma" w:hAnsi="Tahoma" w:cs="Tahoma"/>
      <w:sz w:val="16"/>
      <w:szCs w:val="16"/>
    </w:rPr>
  </w:style>
  <w:style w:type="character" w:customStyle="1" w:styleId="134">
    <w:name w:val="E-mail Signature Char"/>
    <w:link w:val="23"/>
    <w:semiHidden/>
    <w:qFormat/>
    <w:uiPriority w:val="0"/>
    <w:rPr>
      <w:sz w:val="24"/>
    </w:rPr>
  </w:style>
  <w:style w:type="character" w:customStyle="1" w:styleId="135">
    <w:name w:val="Endnote Text Char"/>
    <w:basedOn w:val="88"/>
    <w:link w:val="54"/>
    <w:semiHidden/>
    <w:qFormat/>
    <w:uiPriority w:val="0"/>
  </w:style>
  <w:style w:type="character" w:customStyle="1" w:styleId="136">
    <w:name w:val="Footer Char"/>
    <w:link w:val="57"/>
    <w:qFormat/>
    <w:uiPriority w:val="0"/>
    <w:rPr>
      <w:sz w:val="24"/>
    </w:rPr>
  </w:style>
  <w:style w:type="character" w:customStyle="1" w:styleId="137">
    <w:name w:val="Footnote Text Char"/>
    <w:basedOn w:val="88"/>
    <w:link w:val="70"/>
    <w:qFormat/>
    <w:uiPriority w:val="99"/>
  </w:style>
  <w:style w:type="character" w:customStyle="1" w:styleId="138">
    <w:name w:val="Header Char"/>
    <w:link w:val="60"/>
    <w:qFormat/>
    <w:uiPriority w:val="0"/>
    <w:rPr>
      <w:sz w:val="24"/>
    </w:rPr>
  </w:style>
  <w:style w:type="character" w:customStyle="1" w:styleId="139">
    <w:name w:val="HTML Address Char"/>
    <w:link w:val="43"/>
    <w:semiHidden/>
    <w:qFormat/>
    <w:uiPriority w:val="0"/>
    <w:rPr>
      <w:i/>
      <w:iCs/>
      <w:sz w:val="24"/>
    </w:rPr>
  </w:style>
  <w:style w:type="character" w:customStyle="1" w:styleId="140">
    <w:name w:val="HTML Preformatted Char"/>
    <w:link w:val="83"/>
    <w:qFormat/>
    <w:uiPriority w:val="0"/>
    <w:rPr>
      <w:rFonts w:ascii="Courier New" w:hAnsi="Courier New" w:cs="Courier New"/>
    </w:rPr>
  </w:style>
  <w:style w:type="paragraph" w:styleId="141">
    <w:name w:val="Intense Quote"/>
    <w:basedOn w:val="1"/>
    <w:next w:val="1"/>
    <w:link w:val="142"/>
    <w:semiHidden/>
    <w:qFormat/>
    <w:uiPriority w:val="30"/>
    <w:pPr>
      <w:pBdr>
        <w:bottom w:val="single" w:color="4F81BD" w:sz="4" w:space="4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142">
    <w:name w:val="Intense Quote Char"/>
    <w:link w:val="141"/>
    <w:semiHidden/>
    <w:qFormat/>
    <w:uiPriority w:val="30"/>
    <w:rPr>
      <w:b/>
      <w:bCs/>
      <w:i/>
      <w:iCs/>
      <w:color w:val="4F81BD"/>
      <w:sz w:val="24"/>
    </w:rPr>
  </w:style>
  <w:style w:type="paragraph" w:styleId="143">
    <w:name w:val="List Paragraph"/>
    <w:basedOn w:val="1"/>
    <w:qFormat/>
    <w:uiPriority w:val="34"/>
    <w:pPr>
      <w:ind w:left="720"/>
    </w:pPr>
  </w:style>
  <w:style w:type="character" w:customStyle="1" w:styleId="144">
    <w:name w:val="Macro Text Char"/>
    <w:link w:val="19"/>
    <w:semiHidden/>
    <w:qFormat/>
    <w:uiPriority w:val="0"/>
    <w:rPr>
      <w:rFonts w:ascii="Courier New" w:hAnsi="Courier New" w:cs="Courier New"/>
      <w:lang w:val="en-US" w:eastAsia="en-US" w:bidi="ar-SA"/>
    </w:rPr>
  </w:style>
  <w:style w:type="character" w:customStyle="1" w:styleId="145">
    <w:name w:val="Message Header Char"/>
    <w:link w:val="82"/>
    <w:semiHidden/>
    <w:qFormat/>
    <w:uiPriority w:val="0"/>
    <w:rPr>
      <w:rFonts w:ascii="Cambria" w:hAnsi="Cambria"/>
      <w:sz w:val="24"/>
      <w:szCs w:val="24"/>
      <w:shd w:val="pct20" w:color="auto" w:fill="auto"/>
    </w:rPr>
  </w:style>
  <w:style w:type="paragraph" w:styleId="146">
    <w:name w:val="No Spacing"/>
    <w:semiHidden/>
    <w:qFormat/>
    <w:uiPriority w:val="1"/>
    <w:rPr>
      <w:rFonts w:ascii="Times New Roman" w:hAnsi="Times New Roman" w:cs="Times New Roman" w:eastAsiaTheme="minorEastAsia"/>
      <w:sz w:val="24"/>
      <w:lang w:val="en-US" w:eastAsia="en-US" w:bidi="ar-SA"/>
    </w:rPr>
  </w:style>
  <w:style w:type="character" w:customStyle="1" w:styleId="147">
    <w:name w:val="Note Heading Char"/>
    <w:link w:val="20"/>
    <w:semiHidden/>
    <w:qFormat/>
    <w:uiPriority w:val="0"/>
    <w:rPr>
      <w:sz w:val="24"/>
    </w:rPr>
  </w:style>
  <w:style w:type="character" w:customStyle="1" w:styleId="148">
    <w:name w:val="Plain Text Char"/>
    <w:link w:val="47"/>
    <w:semiHidden/>
    <w:qFormat/>
    <w:uiPriority w:val="0"/>
    <w:rPr>
      <w:rFonts w:ascii="Courier New" w:hAnsi="Courier New" w:cs="Courier New"/>
    </w:rPr>
  </w:style>
  <w:style w:type="paragraph" w:styleId="149">
    <w:name w:val="Quote"/>
    <w:basedOn w:val="1"/>
    <w:next w:val="1"/>
    <w:link w:val="150"/>
    <w:semiHidden/>
    <w:qFormat/>
    <w:uiPriority w:val="29"/>
    <w:rPr>
      <w:i/>
      <w:iCs/>
      <w:color w:val="000000"/>
    </w:rPr>
  </w:style>
  <w:style w:type="character" w:customStyle="1" w:styleId="150">
    <w:name w:val="Quote Char"/>
    <w:link w:val="149"/>
    <w:semiHidden/>
    <w:qFormat/>
    <w:uiPriority w:val="29"/>
    <w:rPr>
      <w:i/>
      <w:iCs/>
      <w:color w:val="000000"/>
      <w:sz w:val="24"/>
    </w:rPr>
  </w:style>
  <w:style w:type="character" w:customStyle="1" w:styleId="151">
    <w:name w:val="Salutation Char"/>
    <w:link w:val="33"/>
    <w:semiHidden/>
    <w:qFormat/>
    <w:uiPriority w:val="0"/>
    <w:rPr>
      <w:sz w:val="24"/>
    </w:rPr>
  </w:style>
  <w:style w:type="character" w:customStyle="1" w:styleId="152">
    <w:name w:val="Signature Char"/>
    <w:link w:val="61"/>
    <w:semiHidden/>
    <w:qFormat/>
    <w:uiPriority w:val="0"/>
    <w:rPr>
      <w:sz w:val="24"/>
    </w:rPr>
  </w:style>
  <w:style w:type="character" w:customStyle="1" w:styleId="153">
    <w:name w:val="Subtitle Char"/>
    <w:link w:val="67"/>
    <w:semiHidden/>
    <w:qFormat/>
    <w:uiPriority w:val="0"/>
    <w:rPr>
      <w:rFonts w:ascii="Cambria" w:hAnsi="Cambria"/>
      <w:sz w:val="24"/>
      <w:szCs w:val="24"/>
    </w:rPr>
  </w:style>
  <w:style w:type="character" w:customStyle="1" w:styleId="154">
    <w:name w:val="Title Char"/>
    <w:link w:val="87"/>
    <w:semiHidden/>
    <w:qFormat/>
    <w:uiPriority w:val="0"/>
    <w:rPr>
      <w:rFonts w:ascii="Cambria" w:hAnsi="Cambria"/>
      <w:b/>
      <w:bCs/>
      <w:kern w:val="28"/>
      <w:sz w:val="32"/>
      <w:szCs w:val="32"/>
    </w:rPr>
  </w:style>
  <w:style w:type="paragraph" w:customStyle="1" w:styleId="155">
    <w:name w:val="TOC Heading1"/>
    <w:basedOn w:val="2"/>
    <w:next w:val="1"/>
    <w:semiHidden/>
    <w:unhideWhenUsed/>
    <w:qFormat/>
    <w:uiPriority w:val="39"/>
    <w:pPr>
      <w:outlineLvl w:val="9"/>
    </w:pPr>
    <w:rPr>
      <w:rFonts w:ascii="Cambria" w:hAnsi="Cambria"/>
      <w:sz w:val="32"/>
      <w:szCs w:val="32"/>
    </w:rPr>
  </w:style>
  <w:style w:type="character" w:customStyle="1" w:styleId="156">
    <w:name w:val="Unresolved Mention1"/>
    <w:basedOn w:val="88"/>
    <w:semiHidden/>
    <w:unhideWhenUsed/>
    <w:qFormat/>
    <w:uiPriority w:val="99"/>
    <w:rPr>
      <w:color w:val="808080"/>
      <w:shd w:val="clear" w:color="auto" w:fill="E6E6E6"/>
    </w:rPr>
  </w:style>
  <w:style w:type="paragraph" w:customStyle="1" w:styleId="157">
    <w:name w:val="Base_Text"/>
    <w:qFormat/>
    <w:uiPriority w:val="0"/>
    <w:pPr>
      <w:spacing w:before="120"/>
    </w:pPr>
    <w:rPr>
      <w:rFonts w:ascii="Times New Roman" w:hAnsi="Times New Roman" w:cs="Times New Roman" w:eastAsiaTheme="minorEastAsia"/>
      <w:sz w:val="24"/>
      <w:szCs w:val="24"/>
      <w:lang w:val="en-US" w:eastAsia="en-US" w:bidi="ar-SA"/>
    </w:rPr>
  </w:style>
  <w:style w:type="paragraph" w:customStyle="1" w:styleId="158">
    <w:name w:val="1st para text"/>
    <w:basedOn w:val="157"/>
    <w:qFormat/>
    <w:uiPriority w:val="0"/>
  </w:style>
  <w:style w:type="paragraph" w:customStyle="1" w:styleId="159">
    <w:name w:val="Base_Heading"/>
    <w:qFormat/>
    <w:uiPriority w:val="0"/>
    <w:pPr>
      <w:keepNext/>
      <w:spacing w:before="240"/>
      <w:outlineLvl w:val="0"/>
    </w:pPr>
    <w:rPr>
      <w:rFonts w:ascii="Times New Roman" w:hAnsi="Times New Roman" w:cs="Times New Roman" w:eastAsiaTheme="minorEastAsia"/>
      <w:kern w:val="28"/>
      <w:sz w:val="28"/>
      <w:szCs w:val="28"/>
      <w:lang w:val="en-US" w:eastAsia="en-US" w:bidi="ar-SA"/>
    </w:rPr>
  </w:style>
  <w:style w:type="paragraph" w:customStyle="1" w:styleId="160">
    <w:name w:val="Abstract Head"/>
    <w:basedOn w:val="159"/>
    <w:qFormat/>
    <w:uiPriority w:val="0"/>
  </w:style>
  <w:style w:type="paragraph" w:customStyle="1" w:styleId="161">
    <w:name w:val="Abstract/Summary"/>
    <w:basedOn w:val="157"/>
    <w:qFormat/>
    <w:uiPriority w:val="0"/>
  </w:style>
  <w:style w:type="paragraph" w:customStyle="1" w:styleId="162">
    <w:name w:val="References and notes"/>
    <w:basedOn w:val="157"/>
    <w:qFormat/>
    <w:uiPriority w:val="0"/>
    <w:pPr>
      <w:ind w:left="720" w:hanging="720"/>
    </w:pPr>
  </w:style>
  <w:style w:type="paragraph" w:customStyle="1" w:styleId="163">
    <w:name w:val="Acknowledgement"/>
    <w:basedOn w:val="162"/>
    <w:qFormat/>
    <w:uiPriority w:val="0"/>
  </w:style>
  <w:style w:type="paragraph" w:customStyle="1" w:styleId="164">
    <w:name w:val="Subhead"/>
    <w:basedOn w:val="159"/>
    <w:qFormat/>
    <w:uiPriority w:val="0"/>
  </w:style>
  <w:style w:type="paragraph" w:customStyle="1" w:styleId="165">
    <w:name w:val="AppendixHead"/>
    <w:basedOn w:val="164"/>
    <w:qFormat/>
    <w:uiPriority w:val="0"/>
  </w:style>
  <w:style w:type="paragraph" w:customStyle="1" w:styleId="166">
    <w:name w:val="AppendixSubhead"/>
    <w:basedOn w:val="164"/>
    <w:qFormat/>
    <w:uiPriority w:val="0"/>
  </w:style>
  <w:style w:type="paragraph" w:customStyle="1" w:styleId="167">
    <w:name w:val="Article type"/>
    <w:basedOn w:val="157"/>
    <w:qFormat/>
    <w:uiPriority w:val="0"/>
  </w:style>
  <w:style w:type="character" w:customStyle="1" w:styleId="168">
    <w:name w:val="au_base"/>
    <w:qFormat/>
    <w:uiPriority w:val="0"/>
    <w:rPr>
      <w:sz w:val="24"/>
    </w:rPr>
  </w:style>
  <w:style w:type="character" w:customStyle="1" w:styleId="169">
    <w:name w:val="au_collab"/>
    <w:qFormat/>
    <w:uiPriority w:val="0"/>
    <w:rPr>
      <w:sz w:val="24"/>
      <w:shd w:val="clear" w:color="auto" w:fill="C0C0C0"/>
    </w:rPr>
  </w:style>
  <w:style w:type="character" w:customStyle="1" w:styleId="170">
    <w:name w:val="au_deg"/>
    <w:qFormat/>
    <w:uiPriority w:val="0"/>
    <w:rPr>
      <w:sz w:val="24"/>
      <w:shd w:val="clear" w:color="auto" w:fill="FFFF00"/>
    </w:rPr>
  </w:style>
  <w:style w:type="character" w:customStyle="1" w:styleId="171">
    <w:name w:val="au_fname"/>
    <w:qFormat/>
    <w:uiPriority w:val="0"/>
    <w:rPr>
      <w:sz w:val="24"/>
      <w:shd w:val="clear" w:color="auto" w:fill="00FFFF"/>
    </w:rPr>
  </w:style>
  <w:style w:type="character" w:customStyle="1" w:styleId="172">
    <w:name w:val="au_role"/>
    <w:qFormat/>
    <w:uiPriority w:val="0"/>
    <w:rPr>
      <w:sz w:val="24"/>
      <w:shd w:val="clear" w:color="auto" w:fill="808000"/>
    </w:rPr>
  </w:style>
  <w:style w:type="character" w:customStyle="1" w:styleId="173">
    <w:name w:val="au_suffix"/>
    <w:qFormat/>
    <w:uiPriority w:val="0"/>
    <w:rPr>
      <w:sz w:val="24"/>
      <w:shd w:val="clear" w:color="auto" w:fill="FF00FF"/>
    </w:rPr>
  </w:style>
  <w:style w:type="character" w:customStyle="1" w:styleId="174">
    <w:name w:val="au_surname"/>
    <w:qFormat/>
    <w:uiPriority w:val="0"/>
    <w:rPr>
      <w:sz w:val="24"/>
      <w:shd w:val="clear" w:color="auto" w:fill="00FF00"/>
    </w:rPr>
  </w:style>
  <w:style w:type="paragraph" w:customStyle="1" w:styleId="175">
    <w:name w:val="Author Attribute"/>
    <w:basedOn w:val="157"/>
    <w:qFormat/>
    <w:uiPriority w:val="0"/>
    <w:pPr>
      <w:spacing w:before="480"/>
    </w:pPr>
  </w:style>
  <w:style w:type="paragraph" w:customStyle="1" w:styleId="176">
    <w:name w:val="Footnote"/>
    <w:basedOn w:val="157"/>
    <w:qFormat/>
    <w:uiPriority w:val="0"/>
  </w:style>
  <w:style w:type="paragraph" w:customStyle="1" w:styleId="177">
    <w:name w:val="AuthorFootnote"/>
    <w:basedOn w:val="176"/>
    <w:qFormat/>
    <w:uiPriority w:val="0"/>
  </w:style>
  <w:style w:type="paragraph" w:customStyle="1" w:styleId="178">
    <w:name w:val="Authors"/>
    <w:basedOn w:val="157"/>
    <w:qFormat/>
    <w:uiPriority w:val="0"/>
    <w:pPr>
      <w:spacing w:after="360"/>
      <w:jc w:val="center"/>
    </w:pPr>
  </w:style>
  <w:style w:type="character" w:customStyle="1" w:styleId="179">
    <w:name w:val="bib_article"/>
    <w:qFormat/>
    <w:uiPriority w:val="0"/>
    <w:rPr>
      <w:sz w:val="24"/>
      <w:shd w:val="clear" w:color="auto" w:fill="00FFFF"/>
    </w:rPr>
  </w:style>
  <w:style w:type="character" w:customStyle="1" w:styleId="180">
    <w:name w:val="bib_base"/>
    <w:qFormat/>
    <w:uiPriority w:val="0"/>
    <w:rPr>
      <w:sz w:val="24"/>
    </w:rPr>
  </w:style>
  <w:style w:type="character" w:customStyle="1" w:styleId="181">
    <w:name w:val="bib_comment"/>
    <w:qFormat/>
    <w:uiPriority w:val="0"/>
    <w:rPr>
      <w:sz w:val="24"/>
    </w:rPr>
  </w:style>
  <w:style w:type="character" w:customStyle="1" w:styleId="182">
    <w:name w:val="bib_deg"/>
    <w:qFormat/>
    <w:uiPriority w:val="0"/>
    <w:rPr>
      <w:sz w:val="24"/>
    </w:rPr>
  </w:style>
  <w:style w:type="character" w:customStyle="1" w:styleId="183">
    <w:name w:val="bib_doi"/>
    <w:qFormat/>
    <w:uiPriority w:val="0"/>
    <w:rPr>
      <w:sz w:val="24"/>
      <w:shd w:val="clear" w:color="auto" w:fill="00FF00"/>
    </w:rPr>
  </w:style>
  <w:style w:type="character" w:customStyle="1" w:styleId="184">
    <w:name w:val="bib_etal"/>
    <w:qFormat/>
    <w:uiPriority w:val="0"/>
    <w:rPr>
      <w:sz w:val="24"/>
      <w:shd w:val="clear" w:color="auto" w:fill="008080"/>
    </w:rPr>
  </w:style>
  <w:style w:type="character" w:customStyle="1" w:styleId="185">
    <w:name w:val="bib_fname"/>
    <w:qFormat/>
    <w:uiPriority w:val="0"/>
    <w:rPr>
      <w:sz w:val="24"/>
      <w:shd w:val="clear" w:color="auto" w:fill="FFFF00"/>
    </w:rPr>
  </w:style>
  <w:style w:type="character" w:customStyle="1" w:styleId="186">
    <w:name w:val="bib_fpage"/>
    <w:qFormat/>
    <w:uiPriority w:val="0"/>
    <w:rPr>
      <w:sz w:val="24"/>
      <w:shd w:val="clear" w:color="auto" w:fill="808080"/>
    </w:rPr>
  </w:style>
  <w:style w:type="character" w:customStyle="1" w:styleId="187">
    <w:name w:val="bib_issue"/>
    <w:qFormat/>
    <w:uiPriority w:val="0"/>
    <w:rPr>
      <w:sz w:val="24"/>
      <w:shd w:val="clear" w:color="auto" w:fill="FFFF00"/>
    </w:rPr>
  </w:style>
  <w:style w:type="character" w:customStyle="1" w:styleId="188">
    <w:name w:val="bib_journal"/>
    <w:qFormat/>
    <w:uiPriority w:val="0"/>
    <w:rPr>
      <w:sz w:val="24"/>
      <w:shd w:val="clear" w:color="auto" w:fill="808000"/>
    </w:rPr>
  </w:style>
  <w:style w:type="character" w:customStyle="1" w:styleId="189">
    <w:name w:val="bib_lpage"/>
    <w:qFormat/>
    <w:uiPriority w:val="0"/>
    <w:rPr>
      <w:sz w:val="24"/>
      <w:shd w:val="clear" w:color="auto" w:fill="808080"/>
    </w:rPr>
  </w:style>
  <w:style w:type="character" w:customStyle="1" w:styleId="190">
    <w:name w:val="bib_medline"/>
    <w:qFormat/>
    <w:uiPriority w:val="0"/>
    <w:rPr>
      <w:sz w:val="24"/>
    </w:rPr>
  </w:style>
  <w:style w:type="character" w:customStyle="1" w:styleId="191">
    <w:name w:val="bib_number"/>
    <w:qFormat/>
    <w:uiPriority w:val="0"/>
    <w:rPr>
      <w:sz w:val="24"/>
    </w:rPr>
  </w:style>
  <w:style w:type="character" w:customStyle="1" w:styleId="192">
    <w:name w:val="bib_organization"/>
    <w:qFormat/>
    <w:uiPriority w:val="0"/>
    <w:rPr>
      <w:sz w:val="24"/>
      <w:shd w:val="clear" w:color="auto" w:fill="808000"/>
    </w:rPr>
  </w:style>
  <w:style w:type="character" w:customStyle="1" w:styleId="193">
    <w:name w:val="bib_suffix"/>
    <w:qFormat/>
    <w:uiPriority w:val="0"/>
    <w:rPr>
      <w:sz w:val="24"/>
    </w:rPr>
  </w:style>
  <w:style w:type="character" w:customStyle="1" w:styleId="194">
    <w:name w:val="bib_suppl"/>
    <w:qFormat/>
    <w:uiPriority w:val="0"/>
    <w:rPr>
      <w:sz w:val="24"/>
      <w:shd w:val="clear" w:color="auto" w:fill="FFFF00"/>
    </w:rPr>
  </w:style>
  <w:style w:type="character" w:customStyle="1" w:styleId="195">
    <w:name w:val="bib_surname"/>
    <w:qFormat/>
    <w:uiPriority w:val="0"/>
    <w:rPr>
      <w:sz w:val="24"/>
      <w:shd w:val="clear" w:color="auto" w:fill="FFFF00"/>
    </w:rPr>
  </w:style>
  <w:style w:type="character" w:customStyle="1" w:styleId="196">
    <w:name w:val="bib_unpubl"/>
    <w:qFormat/>
    <w:uiPriority w:val="0"/>
    <w:rPr>
      <w:sz w:val="24"/>
    </w:rPr>
  </w:style>
  <w:style w:type="character" w:customStyle="1" w:styleId="197">
    <w:name w:val="bib_url"/>
    <w:qFormat/>
    <w:uiPriority w:val="0"/>
    <w:rPr>
      <w:sz w:val="24"/>
      <w:shd w:val="clear" w:color="auto" w:fill="00FF00"/>
    </w:rPr>
  </w:style>
  <w:style w:type="character" w:customStyle="1" w:styleId="198">
    <w:name w:val="bib_volume"/>
    <w:qFormat/>
    <w:uiPriority w:val="0"/>
    <w:rPr>
      <w:sz w:val="24"/>
      <w:shd w:val="clear" w:color="auto" w:fill="00FF00"/>
    </w:rPr>
  </w:style>
  <w:style w:type="character" w:customStyle="1" w:styleId="199">
    <w:name w:val="bib_year"/>
    <w:qFormat/>
    <w:uiPriority w:val="0"/>
    <w:rPr>
      <w:sz w:val="24"/>
      <w:shd w:val="clear" w:color="auto" w:fill="FF00FF"/>
    </w:rPr>
  </w:style>
  <w:style w:type="paragraph" w:customStyle="1" w:styleId="200">
    <w:name w:val="Book or Meeting Information"/>
    <w:basedOn w:val="157"/>
    <w:qFormat/>
    <w:uiPriority w:val="0"/>
  </w:style>
  <w:style w:type="paragraph" w:customStyle="1" w:styleId="201">
    <w:name w:val="BookInformation"/>
    <w:basedOn w:val="157"/>
    <w:qFormat/>
    <w:uiPriority w:val="0"/>
  </w:style>
  <w:style w:type="paragraph" w:customStyle="1" w:styleId="202">
    <w:name w:val="Level 2 Head"/>
    <w:basedOn w:val="159"/>
    <w:qFormat/>
    <w:uiPriority w:val="0"/>
  </w:style>
  <w:style w:type="paragraph" w:customStyle="1" w:styleId="203">
    <w:name w:val="BoxLevel 2 Head"/>
    <w:basedOn w:val="202"/>
    <w:qFormat/>
    <w:uiPriority w:val="0"/>
    <w:pPr>
      <w:shd w:val="clear" w:color="auto" w:fill="E6E6E6"/>
      <w:outlineLvl w:val="1"/>
    </w:pPr>
    <w:rPr>
      <w:i/>
      <w:iCs/>
      <w:sz w:val="24"/>
      <w:szCs w:val="24"/>
    </w:rPr>
  </w:style>
  <w:style w:type="paragraph" w:customStyle="1" w:styleId="204">
    <w:name w:val="BoxListUnnumbered"/>
    <w:basedOn w:val="157"/>
    <w:qFormat/>
    <w:uiPriority w:val="0"/>
    <w:pPr>
      <w:shd w:val="clear" w:color="auto" w:fill="E6E6E6"/>
      <w:ind w:left="1080" w:hanging="360"/>
    </w:pPr>
  </w:style>
  <w:style w:type="paragraph" w:customStyle="1" w:styleId="205">
    <w:name w:val="BoxList"/>
    <w:basedOn w:val="204"/>
    <w:qFormat/>
    <w:uiPriority w:val="0"/>
  </w:style>
  <w:style w:type="paragraph" w:customStyle="1" w:styleId="206">
    <w:name w:val="BoxSubhead"/>
    <w:basedOn w:val="164"/>
    <w:qFormat/>
    <w:uiPriority w:val="0"/>
  </w:style>
  <w:style w:type="paragraph" w:customStyle="1" w:styleId="207">
    <w:name w:val="Paragraph"/>
    <w:basedOn w:val="157"/>
    <w:qFormat/>
    <w:uiPriority w:val="0"/>
    <w:pPr>
      <w:ind w:firstLine="720"/>
    </w:pPr>
  </w:style>
  <w:style w:type="paragraph" w:customStyle="1" w:styleId="208">
    <w:name w:val="BoxText"/>
    <w:basedOn w:val="207"/>
    <w:qFormat/>
    <w:uiPriority w:val="0"/>
  </w:style>
  <w:style w:type="paragraph" w:customStyle="1" w:styleId="209">
    <w:name w:val="BoxTitle"/>
    <w:basedOn w:val="159"/>
    <w:qFormat/>
    <w:uiPriority w:val="0"/>
  </w:style>
  <w:style w:type="paragraph" w:customStyle="1" w:styleId="210">
    <w:name w:val="Bulleted Text"/>
    <w:basedOn w:val="157"/>
    <w:qFormat/>
    <w:uiPriority w:val="0"/>
    <w:pPr>
      <w:ind w:left="720" w:hanging="720"/>
    </w:pPr>
  </w:style>
  <w:style w:type="paragraph" w:customStyle="1" w:styleId="211">
    <w:name w:val="career-magazine"/>
    <w:basedOn w:val="157"/>
    <w:qFormat/>
    <w:uiPriority w:val="0"/>
    <w:pPr>
      <w:jc w:val="right"/>
    </w:pPr>
    <w:rPr>
      <w:color w:val="FF0000"/>
    </w:rPr>
  </w:style>
  <w:style w:type="paragraph" w:customStyle="1" w:styleId="212">
    <w:name w:val="career-stage"/>
    <w:basedOn w:val="157"/>
    <w:qFormat/>
    <w:uiPriority w:val="0"/>
    <w:pPr>
      <w:jc w:val="right"/>
    </w:pPr>
    <w:rPr>
      <w:color w:val="339966"/>
    </w:rPr>
  </w:style>
  <w:style w:type="character" w:customStyle="1" w:styleId="213">
    <w:name w:val="cite_base"/>
    <w:qFormat/>
    <w:uiPriority w:val="0"/>
    <w:rPr>
      <w:sz w:val="24"/>
    </w:rPr>
  </w:style>
  <w:style w:type="character" w:customStyle="1" w:styleId="214">
    <w:name w:val="cite_bib"/>
    <w:qFormat/>
    <w:uiPriority w:val="0"/>
    <w:rPr>
      <w:sz w:val="24"/>
      <w:shd w:val="clear" w:color="auto" w:fill="00FFFF"/>
    </w:rPr>
  </w:style>
  <w:style w:type="character" w:customStyle="1" w:styleId="215">
    <w:name w:val="cite_box"/>
    <w:qFormat/>
    <w:uiPriority w:val="0"/>
    <w:rPr>
      <w:sz w:val="24"/>
    </w:rPr>
  </w:style>
  <w:style w:type="character" w:customStyle="1" w:styleId="216">
    <w:name w:val="cite_en"/>
    <w:qFormat/>
    <w:uiPriority w:val="0"/>
    <w:rPr>
      <w:sz w:val="24"/>
      <w:shd w:val="clear" w:color="auto" w:fill="FFFF00"/>
      <w:vertAlign w:val="superscript"/>
    </w:rPr>
  </w:style>
  <w:style w:type="character" w:customStyle="1" w:styleId="217">
    <w:name w:val="cite_eq"/>
    <w:qFormat/>
    <w:uiPriority w:val="0"/>
    <w:rPr>
      <w:sz w:val="24"/>
      <w:shd w:val="clear" w:color="auto" w:fill="FF99CC"/>
    </w:rPr>
  </w:style>
  <w:style w:type="character" w:customStyle="1" w:styleId="218">
    <w:name w:val="cite_fig"/>
    <w:qFormat/>
    <w:uiPriority w:val="0"/>
    <w:rPr>
      <w:color w:val="000000"/>
      <w:sz w:val="24"/>
      <w:shd w:val="clear" w:color="auto" w:fill="00FF00"/>
    </w:rPr>
  </w:style>
  <w:style w:type="character" w:customStyle="1" w:styleId="219">
    <w:name w:val="cite_fn"/>
    <w:qFormat/>
    <w:uiPriority w:val="0"/>
    <w:rPr>
      <w:sz w:val="24"/>
      <w:shd w:val="clear" w:color="auto" w:fill="FF0000"/>
    </w:rPr>
  </w:style>
  <w:style w:type="character" w:customStyle="1" w:styleId="220">
    <w:name w:val="cite_tbl"/>
    <w:qFormat/>
    <w:uiPriority w:val="0"/>
    <w:rPr>
      <w:color w:val="000000"/>
      <w:sz w:val="24"/>
      <w:shd w:val="clear" w:color="auto" w:fill="FF00FF"/>
    </w:rPr>
  </w:style>
  <w:style w:type="paragraph" w:customStyle="1" w:styleId="221">
    <w:name w:val="ContinuedParagraph"/>
    <w:basedOn w:val="207"/>
    <w:qFormat/>
    <w:uiPriority w:val="0"/>
  </w:style>
  <w:style w:type="character" w:customStyle="1" w:styleId="222">
    <w:name w:val="Contract Number"/>
    <w:qFormat/>
    <w:uiPriority w:val="0"/>
    <w:rPr>
      <w:sz w:val="24"/>
      <w:szCs w:val="24"/>
      <w:shd w:val="clear" w:color="auto" w:fill="CCFFCC"/>
    </w:rPr>
  </w:style>
  <w:style w:type="character" w:customStyle="1" w:styleId="223">
    <w:name w:val="Contract Sponsor"/>
    <w:qFormat/>
    <w:uiPriority w:val="0"/>
    <w:rPr>
      <w:sz w:val="24"/>
      <w:szCs w:val="24"/>
      <w:shd w:val="clear" w:color="auto" w:fill="FFCC99"/>
    </w:rPr>
  </w:style>
  <w:style w:type="paragraph" w:customStyle="1" w:styleId="224">
    <w:name w:val="Correspondence"/>
    <w:basedOn w:val="157"/>
    <w:qFormat/>
    <w:uiPriority w:val="0"/>
    <w:pPr>
      <w:spacing w:before="0" w:after="240"/>
    </w:pPr>
  </w:style>
  <w:style w:type="paragraph" w:customStyle="1" w:styleId="225">
    <w:name w:val="Date Accepted"/>
    <w:basedOn w:val="157"/>
    <w:qFormat/>
    <w:uiPriority w:val="0"/>
    <w:pPr>
      <w:spacing w:before="360"/>
    </w:pPr>
  </w:style>
  <w:style w:type="paragraph" w:customStyle="1" w:styleId="226">
    <w:name w:val="Deck"/>
    <w:basedOn w:val="159"/>
    <w:qFormat/>
    <w:uiPriority w:val="0"/>
  </w:style>
  <w:style w:type="paragraph" w:customStyle="1" w:styleId="227">
    <w:name w:val="DefTerm"/>
    <w:basedOn w:val="157"/>
    <w:qFormat/>
    <w:uiPriority w:val="0"/>
    <w:pPr>
      <w:ind w:left="720"/>
    </w:pPr>
  </w:style>
  <w:style w:type="paragraph" w:customStyle="1" w:styleId="228">
    <w:name w:val="Definition"/>
    <w:basedOn w:val="227"/>
    <w:qFormat/>
    <w:uiPriority w:val="0"/>
  </w:style>
  <w:style w:type="paragraph" w:customStyle="1" w:styleId="229">
    <w:name w:val="DefListTitle"/>
    <w:basedOn w:val="159"/>
    <w:qFormat/>
    <w:uiPriority w:val="0"/>
  </w:style>
  <w:style w:type="paragraph" w:customStyle="1" w:styleId="230">
    <w:name w:val="discipline"/>
    <w:basedOn w:val="157"/>
    <w:qFormat/>
    <w:uiPriority w:val="0"/>
    <w:pPr>
      <w:jc w:val="right"/>
    </w:pPr>
    <w:rPr>
      <w:color w:val="993366"/>
    </w:rPr>
  </w:style>
  <w:style w:type="paragraph" w:customStyle="1" w:styleId="231">
    <w:name w:val="Editors"/>
    <w:basedOn w:val="178"/>
    <w:qFormat/>
    <w:uiPriority w:val="0"/>
  </w:style>
  <w:style w:type="character" w:customStyle="1" w:styleId="232">
    <w:name w:val="eq_no"/>
    <w:qFormat/>
    <w:uiPriority w:val="0"/>
    <w:rPr>
      <w:sz w:val="24"/>
    </w:rPr>
  </w:style>
  <w:style w:type="paragraph" w:customStyle="1" w:styleId="233">
    <w:name w:val="Equation"/>
    <w:basedOn w:val="157"/>
    <w:qFormat/>
    <w:uiPriority w:val="0"/>
    <w:pPr>
      <w:jc w:val="center"/>
    </w:pPr>
  </w:style>
  <w:style w:type="paragraph" w:customStyle="1" w:styleId="234">
    <w:name w:val="FieldCodes"/>
    <w:basedOn w:val="157"/>
    <w:qFormat/>
    <w:uiPriority w:val="0"/>
  </w:style>
  <w:style w:type="paragraph" w:customStyle="1" w:styleId="235">
    <w:name w:val="Legend"/>
    <w:basedOn w:val="159"/>
    <w:qFormat/>
    <w:uiPriority w:val="0"/>
  </w:style>
  <w:style w:type="paragraph" w:customStyle="1" w:styleId="236">
    <w:name w:val="FigureCopyright"/>
    <w:basedOn w:val="235"/>
    <w:qFormat/>
    <w:uiPriority w:val="0"/>
  </w:style>
  <w:style w:type="paragraph" w:customStyle="1" w:styleId="237">
    <w:name w:val="FigureCredit"/>
    <w:basedOn w:val="236"/>
    <w:qFormat/>
    <w:uiPriority w:val="0"/>
  </w:style>
  <w:style w:type="paragraph" w:customStyle="1" w:styleId="238">
    <w:name w:val="Gloss"/>
    <w:basedOn w:val="161"/>
    <w:qFormat/>
    <w:uiPriority w:val="0"/>
  </w:style>
  <w:style w:type="paragraph" w:customStyle="1" w:styleId="239">
    <w:name w:val="Glossary"/>
    <w:basedOn w:val="157"/>
    <w:qFormat/>
    <w:uiPriority w:val="0"/>
  </w:style>
  <w:style w:type="paragraph" w:customStyle="1" w:styleId="240">
    <w:name w:val="GlossHead"/>
    <w:basedOn w:val="160"/>
    <w:qFormat/>
    <w:uiPriority w:val="0"/>
  </w:style>
  <w:style w:type="paragraph" w:customStyle="1" w:styleId="241">
    <w:name w:val="GraphicAltText"/>
    <w:basedOn w:val="235"/>
    <w:qFormat/>
    <w:uiPriority w:val="0"/>
  </w:style>
  <w:style w:type="paragraph" w:customStyle="1" w:styleId="242">
    <w:name w:val="GraphicCredit"/>
    <w:basedOn w:val="237"/>
    <w:qFormat/>
    <w:uiPriority w:val="0"/>
  </w:style>
  <w:style w:type="paragraph" w:customStyle="1" w:styleId="243">
    <w:name w:val="Head"/>
    <w:basedOn w:val="159"/>
    <w:qFormat/>
    <w:uiPriority w:val="0"/>
  </w:style>
  <w:style w:type="paragraph" w:customStyle="1" w:styleId="244">
    <w:name w:val="Instructions Text"/>
    <w:basedOn w:val="157"/>
    <w:qFormat/>
    <w:uiPriority w:val="0"/>
  </w:style>
  <w:style w:type="paragraph" w:customStyle="1" w:styleId="245">
    <w:name w:val="Overline"/>
    <w:basedOn w:val="157"/>
    <w:qFormat/>
    <w:uiPriority w:val="0"/>
  </w:style>
  <w:style w:type="paragraph" w:customStyle="1" w:styleId="246">
    <w:name w:val="IssueName"/>
    <w:basedOn w:val="245"/>
    <w:qFormat/>
    <w:uiPriority w:val="0"/>
  </w:style>
  <w:style w:type="paragraph" w:customStyle="1" w:styleId="247">
    <w:name w:val="Keywords"/>
    <w:basedOn w:val="157"/>
    <w:qFormat/>
    <w:uiPriority w:val="0"/>
  </w:style>
  <w:style w:type="paragraph" w:customStyle="1" w:styleId="248">
    <w:name w:val="Level 3 Head"/>
    <w:basedOn w:val="159"/>
    <w:qFormat/>
    <w:uiPriority w:val="0"/>
  </w:style>
  <w:style w:type="paragraph" w:customStyle="1" w:styleId="249">
    <w:name w:val="Level 4 Head"/>
    <w:basedOn w:val="159"/>
    <w:qFormat/>
    <w:uiPriority w:val="0"/>
  </w:style>
  <w:style w:type="paragraph" w:customStyle="1" w:styleId="250">
    <w:name w:val="Literary quote"/>
    <w:basedOn w:val="157"/>
    <w:qFormat/>
    <w:uiPriority w:val="0"/>
    <w:pPr>
      <w:ind w:left="1440" w:right="1440"/>
    </w:pPr>
  </w:style>
  <w:style w:type="paragraph" w:customStyle="1" w:styleId="251">
    <w:name w:val="Materials Text"/>
    <w:basedOn w:val="157"/>
    <w:qFormat/>
    <w:uiPriority w:val="0"/>
  </w:style>
  <w:style w:type="paragraph" w:customStyle="1" w:styleId="252">
    <w:name w:val="NoteInProof"/>
    <w:basedOn w:val="157"/>
    <w:qFormat/>
    <w:uiPriority w:val="0"/>
  </w:style>
  <w:style w:type="paragraph" w:customStyle="1" w:styleId="253">
    <w:name w:val="Notes"/>
    <w:basedOn w:val="157"/>
    <w:qFormat/>
    <w:uiPriority w:val="0"/>
    <w:rPr>
      <w:i/>
    </w:rPr>
  </w:style>
  <w:style w:type="paragraph" w:customStyle="1" w:styleId="254">
    <w:name w:val="Notes-Helvetica"/>
    <w:basedOn w:val="157"/>
    <w:qFormat/>
    <w:uiPriority w:val="0"/>
    <w:rPr>
      <w:i/>
    </w:rPr>
  </w:style>
  <w:style w:type="paragraph" w:customStyle="1" w:styleId="255">
    <w:name w:val="Numbered Instructions"/>
    <w:basedOn w:val="157"/>
    <w:qFormat/>
    <w:uiPriority w:val="0"/>
  </w:style>
  <w:style w:type="paragraph" w:customStyle="1" w:styleId="256">
    <w:name w:val="OutlineLevel1"/>
    <w:basedOn w:val="159"/>
    <w:qFormat/>
    <w:uiPriority w:val="0"/>
  </w:style>
  <w:style w:type="paragraph" w:customStyle="1" w:styleId="257">
    <w:name w:val="OutlineLevel2"/>
    <w:basedOn w:val="159"/>
    <w:qFormat/>
    <w:uiPriority w:val="0"/>
  </w:style>
  <w:style w:type="paragraph" w:customStyle="1" w:styleId="258">
    <w:name w:val="OutlineLevel3"/>
    <w:basedOn w:val="159"/>
    <w:qFormat/>
    <w:uiPriority w:val="0"/>
  </w:style>
  <w:style w:type="paragraph" w:customStyle="1" w:styleId="259">
    <w:name w:val="Preformat"/>
    <w:basedOn w:val="157"/>
    <w:qFormat/>
    <w:uiPriority w:val="0"/>
    <w:pPr>
      <w:tabs>
        <w:tab w:val="left" w:pos="360"/>
        <w:tab w:val="left" w:pos="720"/>
        <w:tab w:val="left" w:pos="1080"/>
        <w:tab w:val="left" w:pos="1440"/>
        <w:tab w:val="left" w:pos="1800"/>
        <w:tab w:val="left" w:pos="2160"/>
        <w:tab w:val="left" w:pos="2520"/>
        <w:tab w:val="left" w:pos="2880"/>
      </w:tabs>
    </w:pPr>
    <w:rPr>
      <w:rFonts w:ascii="Helvetica" w:hAnsi="Helvetica" w:cs="Helvetica"/>
    </w:rPr>
  </w:style>
  <w:style w:type="paragraph" w:customStyle="1" w:styleId="260">
    <w:name w:val="ProductAuthors"/>
    <w:basedOn w:val="157"/>
    <w:qFormat/>
    <w:uiPriority w:val="0"/>
  </w:style>
  <w:style w:type="paragraph" w:customStyle="1" w:styleId="261">
    <w:name w:val="ProductInformation"/>
    <w:basedOn w:val="157"/>
    <w:qFormat/>
    <w:uiPriority w:val="0"/>
  </w:style>
  <w:style w:type="paragraph" w:customStyle="1" w:styleId="262">
    <w:name w:val="ProductTitle"/>
    <w:basedOn w:val="157"/>
    <w:qFormat/>
    <w:uiPriority w:val="0"/>
    <w:rPr>
      <w:b/>
      <w:bCs/>
    </w:rPr>
  </w:style>
  <w:style w:type="paragraph" w:customStyle="1" w:styleId="263">
    <w:name w:val="Published Online"/>
    <w:basedOn w:val="225"/>
    <w:qFormat/>
    <w:uiPriority w:val="0"/>
  </w:style>
  <w:style w:type="paragraph" w:customStyle="1" w:styleId="264">
    <w:name w:val="Recipe Materials"/>
    <w:basedOn w:val="157"/>
    <w:qFormat/>
    <w:uiPriority w:val="0"/>
  </w:style>
  <w:style w:type="paragraph" w:customStyle="1" w:styleId="265">
    <w:name w:val="Ref head"/>
    <w:basedOn w:val="159"/>
    <w:qFormat/>
    <w:uiPriority w:val="0"/>
  </w:style>
  <w:style w:type="paragraph" w:customStyle="1" w:styleId="266">
    <w:name w:val="Reference Note"/>
    <w:basedOn w:val="162"/>
    <w:qFormat/>
    <w:uiPriority w:val="0"/>
  </w:style>
  <w:style w:type="paragraph" w:customStyle="1" w:styleId="267">
    <w:name w:val="References and notes Long"/>
    <w:basedOn w:val="157"/>
    <w:qFormat/>
    <w:uiPriority w:val="0"/>
    <w:pPr>
      <w:ind w:left="720" w:hanging="720"/>
    </w:pPr>
  </w:style>
  <w:style w:type="paragraph" w:customStyle="1" w:styleId="268">
    <w:name w:val="region"/>
    <w:basedOn w:val="157"/>
    <w:qFormat/>
    <w:uiPriority w:val="0"/>
    <w:pPr>
      <w:jc w:val="right"/>
    </w:pPr>
    <w:rPr>
      <w:color w:val="0000FF"/>
    </w:rPr>
  </w:style>
  <w:style w:type="paragraph" w:customStyle="1" w:styleId="269">
    <w:name w:val="RelatedArticle"/>
    <w:basedOn w:val="162"/>
    <w:qFormat/>
    <w:uiPriority w:val="0"/>
  </w:style>
  <w:style w:type="paragraph" w:customStyle="1" w:styleId="270">
    <w:name w:val="RunHead"/>
    <w:basedOn w:val="157"/>
    <w:qFormat/>
    <w:uiPriority w:val="0"/>
  </w:style>
  <w:style w:type="paragraph" w:customStyle="1" w:styleId="271">
    <w:name w:val="SOMContent"/>
    <w:basedOn w:val="158"/>
    <w:qFormat/>
    <w:uiPriority w:val="0"/>
  </w:style>
  <w:style w:type="paragraph" w:customStyle="1" w:styleId="272">
    <w:name w:val="SOMHead"/>
    <w:basedOn w:val="159"/>
    <w:qFormat/>
    <w:uiPriority w:val="0"/>
  </w:style>
  <w:style w:type="paragraph" w:customStyle="1" w:styleId="273">
    <w:name w:val="Speaker"/>
    <w:basedOn w:val="207"/>
    <w:qFormat/>
    <w:uiPriority w:val="0"/>
  </w:style>
  <w:style w:type="paragraph" w:customStyle="1" w:styleId="274">
    <w:name w:val="Speech"/>
    <w:basedOn w:val="207"/>
    <w:qFormat/>
    <w:uiPriority w:val="0"/>
  </w:style>
  <w:style w:type="paragraph" w:customStyle="1" w:styleId="275">
    <w:name w:val="SX-Abstract"/>
    <w:basedOn w:val="1"/>
    <w:qFormat/>
    <w:uiPriority w:val="0"/>
    <w:pPr>
      <w:widowControl w:val="0"/>
      <w:spacing w:before="120" w:after="240" w:line="210" w:lineRule="exact"/>
      <w:ind w:left="700" w:right="700"/>
      <w:jc w:val="both"/>
    </w:pPr>
    <w:rPr>
      <w:rFonts w:ascii="System" w:hAnsi="System"/>
      <w:b/>
      <w:sz w:val="20"/>
    </w:rPr>
  </w:style>
  <w:style w:type="paragraph" w:customStyle="1" w:styleId="276">
    <w:name w:val="SX-Affiliation"/>
    <w:basedOn w:val="1"/>
    <w:next w:val="1"/>
    <w:qFormat/>
    <w:uiPriority w:val="0"/>
    <w:pPr>
      <w:spacing w:after="160" w:line="190" w:lineRule="exact"/>
    </w:pPr>
    <w:rPr>
      <w:rFonts w:ascii="System" w:hAnsi="System"/>
      <w:sz w:val="16"/>
    </w:rPr>
  </w:style>
  <w:style w:type="paragraph" w:customStyle="1" w:styleId="277">
    <w:name w:val="SX-Article head"/>
    <w:basedOn w:val="1"/>
    <w:qFormat/>
    <w:uiPriority w:val="0"/>
    <w:pPr>
      <w:spacing w:before="210" w:line="210" w:lineRule="exact"/>
      <w:ind w:firstLine="288"/>
      <w:jc w:val="both"/>
    </w:pPr>
    <w:rPr>
      <w:b/>
      <w:sz w:val="18"/>
    </w:rPr>
  </w:style>
  <w:style w:type="paragraph" w:customStyle="1" w:styleId="278">
    <w:name w:val="SX-Author names"/>
    <w:basedOn w:val="1"/>
    <w:qFormat/>
    <w:uiPriority w:val="0"/>
    <w:pPr>
      <w:spacing w:after="120" w:line="210" w:lineRule="exact"/>
    </w:pPr>
    <w:rPr>
      <w:rFonts w:ascii="Wingdings" w:hAnsi="Wingdings"/>
      <w:sz w:val="20"/>
    </w:rPr>
  </w:style>
  <w:style w:type="paragraph" w:customStyle="1" w:styleId="279">
    <w:name w:val="SX-Body text"/>
    <w:basedOn w:val="1"/>
    <w:next w:val="1"/>
    <w:qFormat/>
    <w:uiPriority w:val="0"/>
    <w:pPr>
      <w:spacing w:line="210" w:lineRule="exact"/>
      <w:ind w:firstLine="288"/>
      <w:jc w:val="both"/>
    </w:pPr>
    <w:rPr>
      <w:sz w:val="18"/>
    </w:rPr>
  </w:style>
  <w:style w:type="paragraph" w:customStyle="1" w:styleId="280">
    <w:name w:val="SX-Body text flush"/>
    <w:basedOn w:val="279"/>
    <w:next w:val="279"/>
    <w:qFormat/>
    <w:uiPriority w:val="0"/>
    <w:pPr>
      <w:ind w:firstLine="0"/>
    </w:pPr>
  </w:style>
  <w:style w:type="paragraph" w:customStyle="1" w:styleId="281">
    <w:name w:val="SX-Correspondence"/>
    <w:basedOn w:val="276"/>
    <w:qFormat/>
    <w:uiPriority w:val="0"/>
  </w:style>
  <w:style w:type="paragraph" w:customStyle="1" w:styleId="282">
    <w:name w:val="SX-Date"/>
    <w:basedOn w:val="1"/>
    <w:qFormat/>
    <w:uiPriority w:val="0"/>
    <w:pPr>
      <w:spacing w:before="180" w:line="190" w:lineRule="exact"/>
      <w:ind w:left="245" w:hanging="245"/>
      <w:jc w:val="both"/>
    </w:pPr>
    <w:rPr>
      <w:sz w:val="16"/>
    </w:rPr>
  </w:style>
  <w:style w:type="paragraph" w:customStyle="1" w:styleId="283">
    <w:name w:val="SX-Equation"/>
    <w:basedOn w:val="280"/>
    <w:next w:val="279"/>
    <w:qFormat/>
    <w:uiPriority w:val="0"/>
    <w:pPr>
      <w:autoSpaceDE w:val="0"/>
      <w:autoSpaceDN w:val="0"/>
      <w:adjustRightInd w:val="0"/>
      <w:spacing w:line="240" w:lineRule="auto"/>
      <w:jc w:val="center"/>
    </w:pPr>
  </w:style>
  <w:style w:type="paragraph" w:customStyle="1" w:styleId="284">
    <w:name w:val="SX-Legend"/>
    <w:basedOn w:val="278"/>
    <w:qFormat/>
    <w:uiPriority w:val="0"/>
    <w:pPr>
      <w:jc w:val="both"/>
    </w:pPr>
    <w:rPr>
      <w:sz w:val="18"/>
    </w:rPr>
  </w:style>
  <w:style w:type="paragraph" w:customStyle="1" w:styleId="285">
    <w:name w:val="SX-References"/>
    <w:basedOn w:val="1"/>
    <w:qFormat/>
    <w:uiPriority w:val="0"/>
    <w:pPr>
      <w:spacing w:line="190" w:lineRule="exact"/>
      <w:ind w:left="245" w:hanging="245"/>
      <w:jc w:val="both"/>
    </w:pPr>
    <w:rPr>
      <w:sz w:val="16"/>
    </w:rPr>
  </w:style>
  <w:style w:type="paragraph" w:customStyle="1" w:styleId="286">
    <w:name w:val="SX-RefHead"/>
    <w:basedOn w:val="1"/>
    <w:qFormat/>
    <w:uiPriority w:val="0"/>
    <w:pPr>
      <w:spacing w:before="200" w:line="190" w:lineRule="exact"/>
    </w:pPr>
    <w:rPr>
      <w:b/>
      <w:sz w:val="16"/>
    </w:rPr>
  </w:style>
  <w:style w:type="character" w:customStyle="1" w:styleId="287">
    <w:name w:val="SX-reflink"/>
    <w:qFormat/>
    <w:uiPriority w:val="1"/>
    <w:rPr>
      <w:color w:val="0000FF"/>
      <w:sz w:val="16"/>
      <w:u w:val="words"/>
      <w:shd w:val="clear" w:color="auto" w:fill="FFFFFF"/>
    </w:rPr>
  </w:style>
  <w:style w:type="paragraph" w:customStyle="1" w:styleId="288">
    <w:name w:val="SX-SOMHead"/>
    <w:basedOn w:val="286"/>
    <w:qFormat/>
    <w:uiPriority w:val="0"/>
  </w:style>
  <w:style w:type="paragraph" w:customStyle="1" w:styleId="289">
    <w:name w:val="SX-Tablehead"/>
    <w:basedOn w:val="1"/>
    <w:qFormat/>
    <w:uiPriority w:val="0"/>
    <w:rPr>
      <w:sz w:val="20"/>
      <w:szCs w:val="24"/>
    </w:rPr>
  </w:style>
  <w:style w:type="paragraph" w:customStyle="1" w:styleId="290">
    <w:name w:val="SX-Tablelegend"/>
    <w:basedOn w:val="1"/>
    <w:qFormat/>
    <w:uiPriority w:val="0"/>
    <w:pPr>
      <w:spacing w:line="190" w:lineRule="exact"/>
      <w:ind w:left="245" w:hanging="245"/>
      <w:jc w:val="both"/>
    </w:pPr>
    <w:rPr>
      <w:sz w:val="16"/>
    </w:rPr>
  </w:style>
  <w:style w:type="paragraph" w:customStyle="1" w:styleId="291">
    <w:name w:val="SX-Tabletext"/>
    <w:basedOn w:val="1"/>
    <w:qFormat/>
    <w:uiPriority w:val="0"/>
    <w:pPr>
      <w:spacing w:line="210" w:lineRule="exact"/>
      <w:jc w:val="center"/>
    </w:pPr>
    <w:rPr>
      <w:sz w:val="18"/>
    </w:rPr>
  </w:style>
  <w:style w:type="paragraph" w:customStyle="1" w:styleId="292">
    <w:name w:val="SX-Tabletitle"/>
    <w:basedOn w:val="1"/>
    <w:qFormat/>
    <w:uiPriority w:val="0"/>
    <w:pPr>
      <w:spacing w:after="120" w:line="210" w:lineRule="exact"/>
      <w:jc w:val="both"/>
    </w:pPr>
    <w:rPr>
      <w:rFonts w:ascii="Wingdings" w:hAnsi="Wingdings"/>
      <w:sz w:val="18"/>
    </w:rPr>
  </w:style>
  <w:style w:type="paragraph" w:customStyle="1" w:styleId="293">
    <w:name w:val="SX-Title"/>
    <w:basedOn w:val="1"/>
    <w:qFormat/>
    <w:uiPriority w:val="0"/>
    <w:pPr>
      <w:spacing w:after="240" w:line="500" w:lineRule="exact"/>
    </w:pPr>
    <w:rPr>
      <w:rFonts w:ascii="MS Mincho" w:hAnsi="MS Mincho"/>
      <w:b/>
      <w:sz w:val="44"/>
    </w:rPr>
  </w:style>
  <w:style w:type="paragraph" w:customStyle="1" w:styleId="294">
    <w:name w:val="Table column head"/>
    <w:basedOn w:val="157"/>
    <w:qFormat/>
    <w:uiPriority w:val="0"/>
    <w:pPr>
      <w:spacing w:before="0"/>
    </w:pPr>
  </w:style>
  <w:style w:type="paragraph" w:customStyle="1" w:styleId="295">
    <w:name w:val="Table text"/>
    <w:basedOn w:val="157"/>
    <w:qFormat/>
    <w:uiPriority w:val="0"/>
    <w:pPr>
      <w:spacing w:before="0"/>
    </w:pPr>
  </w:style>
  <w:style w:type="paragraph" w:customStyle="1" w:styleId="296">
    <w:name w:val="TableLegend"/>
    <w:basedOn w:val="157"/>
    <w:qFormat/>
    <w:uiPriority w:val="0"/>
    <w:pPr>
      <w:spacing w:before="0"/>
    </w:pPr>
  </w:style>
  <w:style w:type="paragraph" w:customStyle="1" w:styleId="297">
    <w:name w:val="TableTitle"/>
    <w:basedOn w:val="159"/>
    <w:qFormat/>
    <w:uiPriority w:val="0"/>
  </w:style>
  <w:style w:type="paragraph" w:customStyle="1" w:styleId="298">
    <w:name w:val="Teaser"/>
    <w:basedOn w:val="157"/>
    <w:qFormat/>
    <w:uiPriority w:val="0"/>
  </w:style>
  <w:style w:type="paragraph" w:customStyle="1" w:styleId="299">
    <w:name w:val="TWIS"/>
    <w:basedOn w:val="161"/>
    <w:qFormat/>
    <w:uiPriority w:val="0"/>
  </w:style>
  <w:style w:type="paragraph" w:customStyle="1" w:styleId="300">
    <w:name w:val="TWIS or EC"/>
    <w:basedOn w:val="1"/>
    <w:qFormat/>
    <w:uiPriority w:val="0"/>
    <w:pPr>
      <w:spacing w:line="210" w:lineRule="exact"/>
    </w:pPr>
    <w:rPr>
      <w:rFonts w:ascii="System" w:hAnsi="System"/>
      <w:sz w:val="19"/>
    </w:rPr>
  </w:style>
  <w:style w:type="paragraph" w:customStyle="1" w:styleId="301">
    <w:name w:val="work-sector"/>
    <w:basedOn w:val="157"/>
    <w:qFormat/>
    <w:uiPriority w:val="0"/>
    <w:pPr>
      <w:jc w:val="right"/>
    </w:pPr>
    <w:rPr>
      <w:color w:val="003300"/>
    </w:rPr>
  </w:style>
  <w:style w:type="paragraph" w:customStyle="1" w:styleId="302">
    <w:name w:val="DOI"/>
    <w:basedOn w:val="225"/>
    <w:qFormat/>
    <w:uiPriority w:val="0"/>
  </w:style>
  <w:style w:type="paragraph" w:customStyle="1" w:styleId="303">
    <w:name w:val="HExperimental_Section"/>
    <w:basedOn w:val="1"/>
    <w:qFormat/>
    <w:uiPriority w:val="0"/>
    <w:pPr>
      <w:spacing w:before="460" w:after="230" w:line="230" w:lineRule="atLeast"/>
    </w:pPr>
    <w:rPr>
      <w:rFonts w:ascii="Courier New" w:hAnsi="Courier New" w:eastAsia="Batang"/>
      <w:b/>
      <w:i/>
      <w:sz w:val="22"/>
      <w:szCs w:val="24"/>
      <w:lang w:val="de-DE" w:eastAsia="ja-JP"/>
    </w:rPr>
  </w:style>
  <w:style w:type="paragraph" w:customStyle="1" w:styleId="304">
    <w:name w:val="Default"/>
    <w:qFormat/>
    <w:uiPriority w:val="0"/>
    <w:pPr>
      <w:widowControl w:val="0"/>
      <w:autoSpaceDE w:val="0"/>
      <w:autoSpaceDN w:val="0"/>
      <w:adjustRightInd w:val="0"/>
    </w:pPr>
    <w:rPr>
      <w:rFonts w:ascii="Times New Roman" w:hAnsi="Times New Roman" w:eastAsia="宋体" w:cs="Times New Roman"/>
      <w:color w:val="000000"/>
      <w:sz w:val="24"/>
      <w:szCs w:val="24"/>
      <w:lang w:val="en-US" w:eastAsia="zh-CN" w:bidi="ar-SA"/>
    </w:rPr>
  </w:style>
  <w:style w:type="paragraph" w:customStyle="1" w:styleId="305">
    <w:name w:val="_Style 12"/>
    <w:basedOn w:val="1"/>
    <w:qFormat/>
    <w:uiPriority w:val="0"/>
    <w:rPr>
      <w:rFonts w:eastAsia="宋体"/>
      <w:kern w:val="2"/>
      <w:sz w:val="21"/>
      <w:lang w:eastAsia="zh-CN"/>
    </w:rPr>
  </w:style>
  <w:style w:type="paragraph" w:customStyle="1" w:styleId="306">
    <w:name w:val="彩色底纹 - 强调文字颜色 11"/>
    <w:hidden/>
    <w:semiHidden/>
    <w:qFormat/>
    <w:uiPriority w:val="99"/>
    <w:rPr>
      <w:rFonts w:ascii="Times New Roman" w:hAnsi="Times New Roman" w:eastAsia="宋体" w:cs="Times New Roman"/>
      <w:lang w:val="en-US" w:eastAsia="en-US" w:bidi="ar-SA"/>
    </w:rPr>
  </w:style>
  <w:style w:type="character" w:customStyle="1" w:styleId="307">
    <w:name w:val="trans"/>
    <w:qFormat/>
    <w:uiPriority w:val="0"/>
  </w:style>
  <w:style w:type="character" w:customStyle="1" w:styleId="308">
    <w:name w:val="word"/>
    <w:qFormat/>
    <w:uiPriority w:val="0"/>
  </w:style>
  <w:style w:type="paragraph" w:customStyle="1" w:styleId="309">
    <w:name w:val="彩色列表 - 强调文字颜色 11"/>
    <w:basedOn w:val="1"/>
    <w:qFormat/>
    <w:uiPriority w:val="34"/>
    <w:pPr>
      <w:widowControl w:val="0"/>
      <w:ind w:firstLine="420" w:firstLineChars="200"/>
      <w:jc w:val="both"/>
    </w:pPr>
    <w:rPr>
      <w:rFonts w:eastAsia="宋体"/>
      <w:kern w:val="2"/>
      <w:sz w:val="21"/>
      <w:szCs w:val="24"/>
      <w:lang w:eastAsia="zh-CN"/>
    </w:rPr>
  </w:style>
  <w:style w:type="paragraph" w:customStyle="1" w:styleId="310">
    <w:name w:val="修订1"/>
    <w:hidden/>
    <w:semiHidden/>
    <w:qFormat/>
    <w:uiPriority w:val="99"/>
    <w:rPr>
      <w:rFonts w:ascii="Times New Roman" w:hAnsi="Times New Roman" w:eastAsia="宋体" w:cs="Times New Roman"/>
      <w:lang w:val="en-US" w:eastAsia="en-US" w:bidi="ar-SA"/>
    </w:rPr>
  </w:style>
  <w:style w:type="paragraph" w:customStyle="1" w:styleId="311">
    <w:name w:val="Decimal Aligned"/>
    <w:basedOn w:val="1"/>
    <w:qFormat/>
    <w:uiPriority w:val="40"/>
    <w:pPr>
      <w:tabs>
        <w:tab w:val="decimal" w:pos="360"/>
      </w:tabs>
      <w:spacing w:after="200" w:line="276" w:lineRule="auto"/>
    </w:pPr>
    <w:rPr>
      <w:rFonts w:ascii="Helv" w:hAnsi="Helv" w:eastAsia="Helv"/>
      <w:sz w:val="22"/>
      <w:szCs w:val="22"/>
      <w:lang w:eastAsia="zh-CN"/>
    </w:rPr>
  </w:style>
  <w:style w:type="character" w:customStyle="1" w:styleId="312">
    <w:name w:val="不明显强调1"/>
    <w:qFormat/>
    <w:uiPriority w:val="19"/>
    <w:rPr>
      <w:i/>
      <w:iCs/>
      <w:color w:val="7F7F7F"/>
    </w:rPr>
  </w:style>
  <w:style w:type="table" w:customStyle="1" w:styleId="313">
    <w:name w:val="浅色底纹 - 强调文字颜色 11"/>
    <w:basedOn w:val="106"/>
    <w:qFormat/>
    <w:uiPriority w:val="60"/>
    <w:rPr>
      <w:rFonts w:ascii="Helv" w:hAnsi="Helv"/>
      <w:color w:val="365F91"/>
      <w:sz w:val="22"/>
      <w:szCs w:val="22"/>
      <w:lang w:val="en-CA" w:eastAsia="en-CA"/>
    </w:rPr>
    <w:tblPr>
      <w:tblBorders>
        <w:top w:val="single" w:color="4F81BD" w:sz="8" w:space="0"/>
        <w:bottom w:val="single" w:color="4F81BD" w:sz="8" w:space="0"/>
      </w:tblBorders>
      <w:tblLayout w:type="fixed"/>
    </w:tblPr>
    <w:tblStylePr w:type="firstRow">
      <w:pPr>
        <w:spacing w:before="0" w:after="0" w:line="240" w:lineRule="auto"/>
      </w:pPr>
      <w:rPr>
        <w:b/>
        <w:bCs/>
        <w:color w:val="365F91"/>
      </w:rPr>
      <w:tcPr>
        <w:tcBorders>
          <w:top w:val="single" w:color="4F81BD" w:sz="8" w:space="0"/>
          <w:left w:val="nil"/>
          <w:bottom w:val="single" w:color="4F81BD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  <w:color w:val="365F91"/>
      </w:rPr>
      <w:tcPr>
        <w:tcBorders>
          <w:top w:val="single" w:color="4F81BD" w:sz="8" w:space="0"/>
          <w:left w:val="nil"/>
          <w:bottom w:val="single" w:color="4F81BD" w:sz="8" w:space="0"/>
          <w:right w:val="nil"/>
          <w:insideH w:val="nil"/>
          <w:insideV w:val="nil"/>
        </w:tcBorders>
      </w:tcPr>
    </w:tblStylePr>
    <w:tblStylePr w:type="firstCol">
      <w:rPr>
        <w:b/>
        <w:bCs/>
        <w:color w:val="365F91"/>
      </w:rPr>
    </w:tblStylePr>
    <w:tblStylePr w:type="lastCol">
      <w:rPr>
        <w:b/>
        <w:bCs/>
        <w:color w:val="365F91"/>
      </w:r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paragraph" w:customStyle="1" w:styleId="314">
    <w:name w:val="1"/>
    <w:qFormat/>
    <w:uiPriority w:val="0"/>
    <w:rPr>
      <w:rFonts w:ascii="Times New Roman" w:hAnsi="Times New Roman" w:eastAsia="宋体" w:cs="Times New Roman"/>
      <w:lang w:val="en-US" w:eastAsia="en-US" w:bidi="ar-SA"/>
    </w:rPr>
  </w:style>
  <w:style w:type="character" w:customStyle="1" w:styleId="315">
    <w:name w:val="Subtle Emphasis1"/>
    <w:qFormat/>
    <w:uiPriority w:val="19"/>
    <w:rPr>
      <w:i/>
      <w:iCs/>
      <w:color w:val="7F7F7F"/>
    </w:rPr>
  </w:style>
  <w:style w:type="table" w:customStyle="1" w:styleId="316">
    <w:name w:val="中等深浅底纹 2 - 强调文字颜色 31"/>
    <w:basedOn w:val="106"/>
    <w:qFormat/>
    <w:uiPriority w:val="60"/>
    <w:rPr>
      <w:rFonts w:ascii="Helv" w:hAnsi="Helv"/>
      <w:color w:val="365F91"/>
      <w:sz w:val="22"/>
      <w:szCs w:val="22"/>
      <w:lang w:val="en-CA" w:eastAsia="en-CA"/>
    </w:rPr>
    <w:tblPr>
      <w:tblBorders>
        <w:top w:val="single" w:color="4F81BD" w:sz="8" w:space="0"/>
        <w:bottom w:val="single" w:color="4F81BD" w:sz="8" w:space="0"/>
      </w:tblBorders>
      <w:tblLayout w:type="fixed"/>
    </w:tblPr>
    <w:tblStylePr w:type="firstRow">
      <w:pPr>
        <w:spacing w:before="0" w:after="0" w:line="240" w:lineRule="auto"/>
      </w:pPr>
      <w:rPr>
        <w:b/>
        <w:bCs/>
        <w:color w:val="365F91"/>
      </w:rPr>
      <w:tcPr>
        <w:tcBorders>
          <w:top w:val="single" w:color="4F81BD" w:sz="8" w:space="0"/>
          <w:left w:val="nil"/>
          <w:bottom w:val="single" w:color="4F81BD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  <w:color w:val="365F91"/>
      </w:rPr>
      <w:tcPr>
        <w:tcBorders>
          <w:top w:val="single" w:color="4F81BD" w:sz="8" w:space="0"/>
          <w:left w:val="nil"/>
          <w:bottom w:val="single" w:color="4F81BD" w:sz="8" w:space="0"/>
          <w:right w:val="nil"/>
          <w:insideH w:val="nil"/>
          <w:insideV w:val="nil"/>
        </w:tcBorders>
      </w:tcPr>
    </w:tblStylePr>
    <w:tblStylePr w:type="firstCol">
      <w:rPr>
        <w:b/>
        <w:bCs/>
        <w:color w:val="365F91"/>
      </w:rPr>
    </w:tblStylePr>
    <w:tblStylePr w:type="lastCol">
      <w:rPr>
        <w:b/>
        <w:bCs/>
        <w:color w:val="365F91"/>
      </w:r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paragraph" w:customStyle="1" w:styleId="317">
    <w:name w:val="ExperimentalSection"/>
    <w:basedOn w:val="1"/>
    <w:qFormat/>
    <w:uiPriority w:val="0"/>
    <w:pPr>
      <w:spacing w:line="480" w:lineRule="auto"/>
      <w:jc w:val="both"/>
    </w:pPr>
    <w:rPr>
      <w:rFonts w:eastAsia="Batang"/>
      <w:color w:val="000000"/>
      <w:szCs w:val="24"/>
      <w:lang w:val="en-GB" w:eastAsia="ja-JP"/>
    </w:rPr>
  </w:style>
  <w:style w:type="paragraph" w:customStyle="1" w:styleId="318">
    <w:name w:val="Adress"/>
    <w:basedOn w:val="1"/>
    <w:qFormat/>
    <w:uiPriority w:val="0"/>
    <w:pPr>
      <w:spacing w:before="230" w:line="200" w:lineRule="exact"/>
      <w:ind w:left="425" w:hanging="425"/>
    </w:pPr>
    <w:rPr>
      <w:rFonts w:ascii="Courier New" w:hAnsi="Courier New" w:eastAsia="Batang"/>
      <w:sz w:val="16"/>
      <w:lang w:val="de-DE" w:eastAsia="ja-JP"/>
    </w:rPr>
  </w:style>
  <w:style w:type="paragraph" w:customStyle="1" w:styleId="319">
    <w:name w:val="P1_with_Indendation"/>
    <w:basedOn w:val="1"/>
    <w:qFormat/>
    <w:uiPriority w:val="0"/>
    <w:pPr>
      <w:spacing w:line="230" w:lineRule="exact"/>
      <w:ind w:firstLine="284"/>
      <w:jc w:val="both"/>
    </w:pPr>
    <w:rPr>
      <w:rFonts w:eastAsia="Batang"/>
      <w:sz w:val="18"/>
      <w:szCs w:val="24"/>
      <w:lang w:val="en-GB" w:eastAsia="ja-JP"/>
    </w:rPr>
  </w:style>
  <w:style w:type="paragraph" w:customStyle="1" w:styleId="320">
    <w:name w:val="FigureCaption"/>
    <w:basedOn w:val="1"/>
    <w:qFormat/>
    <w:uiPriority w:val="0"/>
    <w:pPr>
      <w:spacing w:before="230" w:after="460" w:line="200" w:lineRule="exact"/>
    </w:pPr>
    <w:rPr>
      <w:rFonts w:ascii="Courier New" w:hAnsi="Courier New" w:eastAsia="Batang"/>
      <w:sz w:val="16"/>
      <w:szCs w:val="24"/>
      <w:lang w:val="de-DE" w:eastAsia="ja-JP"/>
    </w:rPr>
  </w:style>
  <w:style w:type="paragraph" w:customStyle="1" w:styleId="321">
    <w:name w:val="TableCaption"/>
    <w:basedOn w:val="1"/>
    <w:qFormat/>
    <w:uiPriority w:val="0"/>
    <w:pPr>
      <w:spacing w:before="230" w:after="120" w:line="200" w:lineRule="exact"/>
    </w:pPr>
    <w:rPr>
      <w:rFonts w:ascii="Courier New" w:hAnsi="Courier New" w:eastAsia="Batang"/>
      <w:sz w:val="16"/>
      <w:szCs w:val="24"/>
      <w:lang w:val="en-GB" w:eastAsia="ja-JP"/>
    </w:rPr>
  </w:style>
  <w:style w:type="paragraph" w:customStyle="1" w:styleId="322">
    <w:name w:val="TableFoot"/>
    <w:basedOn w:val="1"/>
    <w:qFormat/>
    <w:uiPriority w:val="0"/>
    <w:pPr>
      <w:spacing w:after="460" w:line="230" w:lineRule="exact"/>
    </w:pPr>
    <w:rPr>
      <w:rFonts w:ascii="Courier New" w:hAnsi="Courier New" w:eastAsia="Batang"/>
      <w:sz w:val="16"/>
      <w:szCs w:val="24"/>
      <w:lang w:val="de-DE" w:eastAsia="ja-JP"/>
    </w:rPr>
  </w:style>
  <w:style w:type="character" w:customStyle="1" w:styleId="323">
    <w:name w:val="keyword"/>
    <w:basedOn w:val="88"/>
    <w:qFormat/>
    <w:uiPriority w:val="0"/>
  </w:style>
  <w:style w:type="paragraph" w:customStyle="1" w:styleId="324">
    <w:name w:val="TA_Main_Text"/>
    <w:basedOn w:val="1"/>
    <w:link w:val="325"/>
    <w:qFormat/>
    <w:uiPriority w:val="0"/>
    <w:pPr>
      <w:spacing w:line="480" w:lineRule="auto"/>
      <w:ind w:firstLine="480"/>
      <w:jc w:val="both"/>
    </w:pPr>
    <w:rPr>
      <w:rFonts w:eastAsia="宋体"/>
      <w:kern w:val="21"/>
      <w:szCs w:val="24"/>
      <w:lang w:val="zh-CN" w:eastAsia="zh-CN"/>
    </w:rPr>
  </w:style>
  <w:style w:type="character" w:customStyle="1" w:styleId="325">
    <w:name w:val="TA_Main_Text Char"/>
    <w:link w:val="324"/>
    <w:qFormat/>
    <w:uiPriority w:val="0"/>
    <w:rPr>
      <w:rFonts w:eastAsia="宋体"/>
      <w:kern w:val="21"/>
      <w:sz w:val="24"/>
      <w:szCs w:val="24"/>
      <w:lang w:val="zh-CN" w:eastAsia="zh-CN"/>
    </w:rPr>
  </w:style>
  <w:style w:type="character" w:customStyle="1" w:styleId="326">
    <w:name w:val="highlight"/>
    <w:basedOn w:val="88"/>
    <w:qFormat/>
    <w:uiPriority w:val="0"/>
  </w:style>
  <w:style w:type="character" w:customStyle="1" w:styleId="327">
    <w:name w:val="tablink type-list"/>
    <w:basedOn w:val="88"/>
    <w:qFormat/>
    <w:uiPriority w:val="0"/>
  </w:style>
  <w:style w:type="character" w:customStyle="1" w:styleId="328">
    <w:name w:val="apple-converted-space"/>
    <w:basedOn w:val="88"/>
    <w:qFormat/>
    <w:uiPriority w:val="0"/>
  </w:style>
  <w:style w:type="character" w:customStyle="1" w:styleId="329">
    <w:name w:val="search-term-highlight"/>
    <w:basedOn w:val="88"/>
    <w:qFormat/>
    <w:uiPriority w:val="0"/>
  </w:style>
  <w:style w:type="paragraph" w:customStyle="1" w:styleId="330">
    <w:name w:val="FE_Table_Footnote"/>
    <w:basedOn w:val="1"/>
    <w:next w:val="1"/>
    <w:qFormat/>
    <w:uiPriority w:val="0"/>
    <w:pPr>
      <w:spacing w:after="200"/>
      <w:ind w:firstLine="187"/>
      <w:jc w:val="both"/>
    </w:pPr>
    <w:rPr>
      <w:rFonts w:ascii="宋体" w:hAnsi="宋体" w:eastAsia="宋体"/>
    </w:rPr>
  </w:style>
  <w:style w:type="paragraph" w:customStyle="1" w:styleId="331">
    <w:name w:val="Colorful Shading - Accent 11"/>
    <w:hidden/>
    <w:semiHidden/>
    <w:qFormat/>
    <w:uiPriority w:val="99"/>
    <w:rPr>
      <w:rFonts w:ascii="Times New Roman" w:hAnsi="Times New Roman" w:eastAsia="宋体" w:cs="Times New Roman"/>
      <w:lang w:val="en-US" w:eastAsia="en-US" w:bidi="ar-SA"/>
    </w:rPr>
  </w:style>
  <w:style w:type="paragraph" w:customStyle="1" w:styleId="332">
    <w:name w:val="Revision1"/>
    <w:hidden/>
    <w:qFormat/>
    <w:uiPriority w:val="99"/>
    <w:rPr>
      <w:rFonts w:ascii="Times New Roman" w:hAnsi="Times New Roman" w:eastAsia="宋体" w:cs="Times New Roman"/>
      <w:lang w:val="en-US" w:eastAsia="en-US" w:bidi="ar-SA"/>
    </w:rPr>
  </w:style>
  <w:style w:type="character" w:customStyle="1" w:styleId="333">
    <w:name w:val="fontstyle01"/>
    <w:basedOn w:val="88"/>
    <w:qFormat/>
    <w:uiPriority w:val="0"/>
    <w:rPr>
      <w:rFonts w:hint="default" w:ascii="Times New Roman" w:hAnsi="Times New Roman" w:cs="Times New Roman"/>
      <w:color w:val="000000"/>
      <w:sz w:val="24"/>
      <w:szCs w:val="24"/>
    </w:rPr>
  </w:style>
  <w:style w:type="character" w:customStyle="1" w:styleId="334">
    <w:name w:val="fontstyle21"/>
    <w:basedOn w:val="88"/>
    <w:qFormat/>
    <w:uiPriority w:val="0"/>
    <w:rPr>
      <w:rFonts w:hint="default" w:ascii="PMingLiU" w:hAnsi="PMingLiU"/>
      <w:color w:val="242021"/>
      <w:sz w:val="16"/>
      <w:szCs w:val="16"/>
    </w:rPr>
  </w:style>
  <w:style w:type="character" w:customStyle="1" w:styleId="335">
    <w:name w:val="fontstyle31"/>
    <w:basedOn w:val="88"/>
    <w:qFormat/>
    <w:uiPriority w:val="0"/>
    <w:rPr>
      <w:rFonts w:hint="default" w:ascii="MS Gothic" w:hAnsi="MS Gothic"/>
      <w:color w:val="242021"/>
      <w:sz w:val="10"/>
      <w:szCs w:val="10"/>
    </w:rPr>
  </w:style>
  <w:style w:type="character" w:customStyle="1" w:styleId="336">
    <w:name w:val="fontstyle41"/>
    <w:basedOn w:val="88"/>
    <w:qFormat/>
    <w:uiPriority w:val="0"/>
    <w:rPr>
      <w:rFonts w:hint="default" w:ascii="Dotum" w:hAnsi="Dotum"/>
      <w:color w:val="242021"/>
      <w:sz w:val="16"/>
      <w:szCs w:val="16"/>
    </w:rPr>
  </w:style>
  <w:style w:type="character" w:customStyle="1" w:styleId="337">
    <w:name w:val="fontstyle51"/>
    <w:basedOn w:val="88"/>
    <w:qFormat/>
    <w:uiPriority w:val="0"/>
    <w:rPr>
      <w:rFonts w:hint="default" w:ascii="黑体" w:hAnsi="黑体"/>
      <w:color w:val="242021"/>
      <w:sz w:val="16"/>
      <w:szCs w:val="16"/>
    </w:rPr>
  </w:style>
  <w:style w:type="character" w:customStyle="1" w:styleId="338">
    <w:name w:val="fontstyle61"/>
    <w:basedOn w:val="88"/>
    <w:qFormat/>
    <w:uiPriority w:val="0"/>
    <w:rPr>
      <w:rFonts w:hint="default" w:ascii="MingLiU" w:hAnsi="MingLiU"/>
      <w:color w:val="242021"/>
      <w:sz w:val="16"/>
      <w:szCs w:val="16"/>
    </w:rPr>
  </w:style>
  <w:style w:type="paragraph" w:customStyle="1" w:styleId="339">
    <w:name w:val="彩色底纹 - 强调文字颜色 12"/>
    <w:hidden/>
    <w:semiHidden/>
    <w:qFormat/>
    <w:uiPriority w:val="99"/>
    <w:rPr>
      <w:rFonts w:ascii="Times New Roman" w:hAnsi="Times New Roman" w:eastAsia="宋体" w:cs="Times New Roman"/>
      <w:lang w:val="en-US" w:eastAsia="en-US" w:bidi="ar-SA"/>
    </w:rPr>
  </w:style>
  <w:style w:type="character" w:styleId="340">
    <w:name w:val="Placeholder Text"/>
    <w:basedOn w:val="88"/>
    <w:semiHidden/>
    <w:qFormat/>
    <w:uiPriority w:val="99"/>
    <w:rPr>
      <w:color w:val="808080"/>
    </w:rPr>
  </w:style>
  <w:style w:type="paragraph" w:customStyle="1" w:styleId="341">
    <w:name w:val="EndNote Bibliography Title"/>
    <w:basedOn w:val="1"/>
    <w:link w:val="342"/>
    <w:qFormat/>
    <w:uiPriority w:val="0"/>
    <w:pPr>
      <w:jc w:val="center"/>
    </w:pPr>
  </w:style>
  <w:style w:type="character" w:customStyle="1" w:styleId="342">
    <w:name w:val="EndNote Bibliography Title Char"/>
    <w:basedOn w:val="88"/>
    <w:link w:val="341"/>
    <w:qFormat/>
    <w:uiPriority w:val="0"/>
    <w:rPr>
      <w:sz w:val="24"/>
    </w:rPr>
  </w:style>
  <w:style w:type="paragraph" w:customStyle="1" w:styleId="343">
    <w:name w:val="EndNote Bibliography"/>
    <w:basedOn w:val="1"/>
    <w:link w:val="344"/>
    <w:qFormat/>
    <w:uiPriority w:val="0"/>
    <w:pPr>
      <w:jc w:val="center"/>
    </w:pPr>
  </w:style>
  <w:style w:type="character" w:customStyle="1" w:styleId="344">
    <w:name w:val="EndNote Bibliography Char"/>
    <w:basedOn w:val="88"/>
    <w:link w:val="343"/>
    <w:qFormat/>
    <w:uiPriority w:val="0"/>
    <w:rPr>
      <w:sz w:val="24"/>
    </w:rPr>
  </w:style>
  <w:style w:type="table" w:customStyle="1" w:styleId="345">
    <w:name w:val="网格型1"/>
    <w:basedOn w:val="106"/>
    <w:qFormat/>
    <w:uiPriority w:val="39"/>
    <w:rPr>
      <w:rFonts w:ascii="等线" w:hAnsi="等线" w:eastAsia="等线" w:cstheme="minorBidi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jpe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0" Type="http://schemas.openxmlformats.org/officeDocument/2006/relationships/fontTable" Target="fontTable.xml"/><Relationship Id="rId4" Type="http://schemas.openxmlformats.org/officeDocument/2006/relationships/footer" Target="footer1.xml"/><Relationship Id="rId39" Type="http://schemas.openxmlformats.org/officeDocument/2006/relationships/customXml" Target="../customXml/item2.xml"/><Relationship Id="rId38" Type="http://schemas.openxmlformats.org/officeDocument/2006/relationships/numbering" Target="numbering.xml"/><Relationship Id="rId37" Type="http://schemas.openxmlformats.org/officeDocument/2006/relationships/customXml" Target="../customXml/item1.xml"/><Relationship Id="rId36" Type="http://schemas.openxmlformats.org/officeDocument/2006/relationships/image" Target="media/image28.png"/><Relationship Id="rId35" Type="http://schemas.openxmlformats.org/officeDocument/2006/relationships/image" Target="media/image27.png"/><Relationship Id="rId34" Type="http://schemas.openxmlformats.org/officeDocument/2006/relationships/image" Target="media/image3.tiff"/><Relationship Id="rId33" Type="http://schemas.openxmlformats.org/officeDocument/2006/relationships/image" Target="media/image26.png"/><Relationship Id="rId32" Type="http://schemas.openxmlformats.org/officeDocument/2006/relationships/image" Target="media/image25.png"/><Relationship Id="rId31" Type="http://schemas.openxmlformats.org/officeDocument/2006/relationships/image" Target="media/image24.png"/><Relationship Id="rId30" Type="http://schemas.openxmlformats.org/officeDocument/2006/relationships/image" Target="media/image23.png"/><Relationship Id="rId3" Type="http://schemas.openxmlformats.org/officeDocument/2006/relationships/header" Target="header1.xml"/><Relationship Id="rId29" Type="http://schemas.openxmlformats.org/officeDocument/2006/relationships/image" Target="media/image22.jpeg"/><Relationship Id="rId28" Type="http://schemas.openxmlformats.org/officeDocument/2006/relationships/image" Target="media/image21.emf"/><Relationship Id="rId27" Type="http://schemas.openxmlformats.org/officeDocument/2006/relationships/image" Target="media/image20.png"/><Relationship Id="rId26" Type="http://schemas.openxmlformats.org/officeDocument/2006/relationships/image" Target="media/image19.png"/><Relationship Id="rId25" Type="http://schemas.openxmlformats.org/officeDocument/2006/relationships/image" Target="media/image18.png"/><Relationship Id="rId24" Type="http://schemas.openxmlformats.org/officeDocument/2006/relationships/image" Target="media/image17.png"/><Relationship Id="rId23" Type="http://schemas.openxmlformats.org/officeDocument/2006/relationships/image" Target="media/image16.jpeg"/><Relationship Id="rId22" Type="http://schemas.openxmlformats.org/officeDocument/2006/relationships/image" Target="media/image15.png"/><Relationship Id="rId21" Type="http://schemas.openxmlformats.org/officeDocument/2006/relationships/image" Target="media/image14.png"/><Relationship Id="rId20" Type="http://schemas.openxmlformats.org/officeDocument/2006/relationships/image" Target="media/image13.png"/><Relationship Id="rId2" Type="http://schemas.openxmlformats.org/officeDocument/2006/relationships/settings" Target="settings.xml"/><Relationship Id="rId19" Type="http://schemas.openxmlformats.org/officeDocument/2006/relationships/image" Target="media/image12.png"/><Relationship Id="rId18" Type="http://schemas.openxmlformats.org/officeDocument/2006/relationships/image" Target="media/image11.png"/><Relationship Id="rId17" Type="http://schemas.openxmlformats.org/officeDocument/2006/relationships/image" Target="media/image10.png"/><Relationship Id="rId16" Type="http://schemas.openxmlformats.org/officeDocument/2006/relationships/image" Target="media/image2.tiff"/><Relationship Id="rId15" Type="http://schemas.openxmlformats.org/officeDocument/2006/relationships/image" Target="media/image9.png"/><Relationship Id="rId14" Type="http://schemas.openxmlformats.org/officeDocument/2006/relationships/image" Target="media/image8.jpeg"/><Relationship Id="rId13" Type="http://schemas.openxmlformats.org/officeDocument/2006/relationships/image" Target="media/image7.png"/><Relationship Id="rId12" Type="http://schemas.openxmlformats.org/officeDocument/2006/relationships/image" Target="media/image6.png"/><Relationship Id="rId11" Type="http://schemas.openxmlformats.org/officeDocument/2006/relationships/image" Target="media/image5.png"/><Relationship Id="rId10" Type="http://schemas.openxmlformats.org/officeDocument/2006/relationships/image" Target="media/image1.tiff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756399F-3E10-4385-ADC4-68D4FC1B76E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AAAS</Company>
  <Pages>49</Pages>
  <Words>5194</Words>
  <Characters>29607</Characters>
  <Lines>246</Lines>
  <Paragraphs>69</Paragraphs>
  <TotalTime>17</TotalTime>
  <ScaleCrop>false</ScaleCrop>
  <LinksUpToDate>false</LinksUpToDate>
  <CharactersWithSpaces>34732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2021-11-29T10:19:00Z</dcterms:created>
  <dc:creator>Brooks Hanson</dc:creator>
  <cp:lastModifiedBy>才子~~家人</cp:lastModifiedBy>
  <cp:lastPrinted>2018-01-11T19:53:00Z</cp:lastPrinted>
  <dcterms:modified xsi:type="dcterms:W3CDTF">2021-12-09T00:53:08Z</dcterms:modified>
  <dc:title>Supporting Online Material for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