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D22" w:rsidRPr="00612C5F" w:rsidRDefault="00FF0D22" w:rsidP="00FF0D22">
      <w:pPr>
        <w:jc w:val="center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  <w:bookmarkStart w:id="0" w:name="_Hlk240021228"/>
      <w:r w:rsidRPr="00612C5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Computational </w:t>
      </w:r>
      <w:proofErr w:type="spellStart"/>
      <w:r w:rsidRPr="00612C5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Modeling</w:t>
      </w:r>
      <w:proofErr w:type="spellEnd"/>
      <w:r w:rsidRPr="00612C5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 of </w:t>
      </w:r>
      <w:proofErr w:type="spellStart"/>
      <w:r w:rsidRPr="00612C5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Glucocorticoid</w:t>
      </w:r>
      <w:proofErr w:type="spellEnd"/>
      <w:r w:rsidRPr="00612C5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 </w:t>
      </w:r>
      <w:proofErr w:type="spellStart"/>
      <w:r w:rsidRPr="00612C5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Chronotherapy</w:t>
      </w:r>
      <w:proofErr w:type="spellEnd"/>
      <w:r w:rsidRPr="00612C5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 for Diseases with </w:t>
      </w:r>
      <w:proofErr w:type="spellStart"/>
      <w:r w:rsidRPr="00612C5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Cortisol</w:t>
      </w:r>
      <w:proofErr w:type="spellEnd"/>
      <w:r w:rsidRPr="00612C5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 xml:space="preserve"> Circadian </w:t>
      </w:r>
      <w:proofErr w:type="spellStart"/>
      <w:r w:rsidRPr="00612C5F"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  <w:t>Dysregulation</w:t>
      </w:r>
      <w:proofErr w:type="spellEnd"/>
    </w:p>
    <w:bookmarkEnd w:id="0"/>
    <w:p w:rsidR="00F542DB" w:rsidRPr="00612C5F" w:rsidRDefault="00F542DB">
      <w:pPr>
        <w:pStyle w:val="normal1"/>
        <w:jc w:val="center"/>
        <w:rPr>
          <w:rFonts w:ascii="Times New Roman" w:eastAsia="Times New Roman" w:hAnsi="Times New Roman" w:cs="Times New Roman"/>
          <w:b/>
          <w:bCs/>
          <w:color w:val="0E101A"/>
          <w:sz w:val="24"/>
          <w:szCs w:val="24"/>
        </w:rPr>
      </w:pPr>
    </w:p>
    <w:p w:rsidR="00F542DB" w:rsidRPr="00612C5F" w:rsidRDefault="00F068E8">
      <w:pPr>
        <w:pStyle w:val="normal1"/>
        <w:rPr>
          <w:rFonts w:ascii="Times New Roman" w:eastAsia="Times New Roman" w:hAnsi="Times New Roman" w:cs="Times New Roman"/>
          <w:color w:val="0E101A"/>
          <w:sz w:val="24"/>
          <w:szCs w:val="24"/>
          <w:vertAlign w:val="superscript"/>
        </w:rPr>
      </w:pPr>
      <w:proofErr w:type="spellStart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>Samayadity</w:t>
      </w:r>
      <w:proofErr w:type="spellEnd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Singh </w:t>
      </w:r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  <w:vertAlign w:val="superscript"/>
        </w:rPr>
        <w:t>a</w:t>
      </w:r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, </w:t>
      </w:r>
      <w:proofErr w:type="spellStart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>Pramod</w:t>
      </w:r>
      <w:proofErr w:type="spellEnd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proofErr w:type="spellStart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>Rajaram</w:t>
      </w:r>
      <w:proofErr w:type="spellEnd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proofErr w:type="spellStart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>Somavanshi</w:t>
      </w:r>
      <w:proofErr w:type="spellEnd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proofErr w:type="spellStart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  <w:vertAlign w:val="superscript"/>
        </w:rPr>
        <w:t>a</w:t>
      </w:r>
      <w:proofErr w:type="gramStart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  <w:vertAlign w:val="superscript"/>
        </w:rPr>
        <w:t>,b</w:t>
      </w:r>
      <w:proofErr w:type="spellEnd"/>
      <w:proofErr w:type="gramEnd"/>
    </w:p>
    <w:p w:rsidR="00F542DB" w:rsidRPr="00612C5F" w:rsidRDefault="00F542DB">
      <w:pPr>
        <w:pStyle w:val="normal1"/>
        <w:rPr>
          <w:rFonts w:ascii="Times New Roman" w:eastAsia="Times New Roman" w:hAnsi="Times New Roman" w:cs="Times New Roman"/>
          <w:color w:val="0E101A"/>
          <w:sz w:val="24"/>
          <w:szCs w:val="24"/>
          <w:vertAlign w:val="superscript"/>
        </w:rPr>
      </w:pPr>
    </w:p>
    <w:p w:rsidR="00F542DB" w:rsidRPr="00612C5F" w:rsidRDefault="00F068E8">
      <w:pPr>
        <w:pStyle w:val="normal1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proofErr w:type="gramStart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  <w:vertAlign w:val="superscript"/>
        </w:rPr>
        <w:t>a</w:t>
      </w:r>
      <w:proofErr w:type="gramEnd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</w:t>
      </w:r>
      <w:proofErr w:type="spellStart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>Physiosystems</w:t>
      </w:r>
      <w:proofErr w:type="spellEnd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Engineering and Computational Medicine Laboratory, Systems and Computational Biology, School of Life Sciences, University of Hyderabad, </w:t>
      </w:r>
      <w:proofErr w:type="spellStart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>Telangana</w:t>
      </w:r>
      <w:proofErr w:type="spellEnd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>, India</w:t>
      </w:r>
    </w:p>
    <w:p w:rsidR="00F542DB" w:rsidRPr="00612C5F" w:rsidRDefault="00F068E8">
      <w:pPr>
        <w:pStyle w:val="normal1"/>
        <w:rPr>
          <w:rFonts w:ascii="Times New Roman" w:eastAsia="Times New Roman" w:hAnsi="Times New Roman" w:cs="Times New Roman"/>
          <w:color w:val="0E101A"/>
          <w:sz w:val="24"/>
          <w:szCs w:val="24"/>
        </w:rPr>
      </w:pPr>
      <w:proofErr w:type="gramStart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  <w:vertAlign w:val="superscript"/>
        </w:rPr>
        <w:t>b</w:t>
      </w:r>
      <w:proofErr w:type="gramEnd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  <w:vertAlign w:val="superscript"/>
        </w:rPr>
        <w:t xml:space="preserve"> </w:t>
      </w:r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Asian </w:t>
      </w:r>
      <w:proofErr w:type="spellStart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>Center</w:t>
      </w:r>
      <w:proofErr w:type="spellEnd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for Endocrine Pancreas Research, Asian Healthcare Foundation, Asian Institute of Gastroenterology, Hyderabad, India</w:t>
      </w: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542DB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</w:p>
    <w:p w:rsidR="00F542DB" w:rsidRPr="00612C5F" w:rsidRDefault="00F068E8">
      <w:pPr>
        <w:pStyle w:val="normal1"/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b/>
          <w:bCs/>
          <w:noProof/>
          <w:color w:val="1F1F1F"/>
          <w:sz w:val="24"/>
          <w:szCs w:val="24"/>
          <w:lang w:val="en-US" w:eastAsia="en-US" w:bidi="ar-SA"/>
        </w:rPr>
        <w:lastRenderedPageBreak/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409575</wp:posOffset>
            </wp:positionH>
            <wp:positionV relativeFrom="paragraph">
              <wp:posOffset>504825</wp:posOffset>
            </wp:positionV>
            <wp:extent cx="5102860" cy="338137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830" t="5405" r="8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2860" cy="338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12C5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Appendix A. Supplementary data</w:t>
      </w:r>
    </w:p>
    <w:p w:rsidR="00F542DB" w:rsidRPr="00612C5F" w:rsidRDefault="00F068E8">
      <w:pPr>
        <w:pStyle w:val="normal1"/>
        <w:spacing w:before="280" w:after="280" w:line="240" w:lineRule="auto"/>
        <w:ind w:right="-472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Figure S1.</w:t>
      </w:r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The simulated response profile of ACTH, </w:t>
      </w:r>
      <w:proofErr w:type="spellStart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>Tumor</w:t>
      </w:r>
      <w:proofErr w:type="spellEnd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Necrosis Factor (TNF), Interleukin 10 and 6 (IL10 and IL6), after insertion of LPS (0.4 </w:t>
      </w:r>
      <w:proofErr w:type="spellStart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>ng</w:t>
      </w:r>
      <w:proofErr w:type="spellEnd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/kg) in the models with cir3; the analysis cross-validates the model (with cir3) response curve against a previous study of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</w:rPr>
        <w:t>Grigoleit</w:t>
      </w:r>
      <w:proofErr w:type="spellEnd"/>
      <w:r w:rsidRPr="00612C5F">
        <w:rPr>
          <w:rFonts w:ascii="Times New Roman" w:eastAsia="Times New Roman" w:hAnsi="Times New Roman" w:cs="Times New Roman"/>
          <w:color w:val="000000"/>
        </w:rPr>
        <w:t xml:space="preserve"> et al 2010 </w:t>
      </w:r>
      <w:r w:rsidRPr="00612C5F">
        <w:rPr>
          <w:rFonts w:ascii="Times New Roman" w:eastAsia="Times New Roman" w:hAnsi="Times New Roman" w:cs="Times New Roman"/>
          <w:noProof/>
          <w:color w:val="1F1F1F"/>
          <w:sz w:val="24"/>
          <w:szCs w:val="24"/>
          <w:lang w:val="en-US" w:eastAsia="en-US" w:bidi="ar-SA"/>
        </w:rPr>
        <w:drawing>
          <wp:anchor distT="0" distB="0" distL="114300" distR="114300" simplePos="0" relativeHeight="3" behindDoc="0" locked="0" layoutInCell="0" allowOverlap="1">
            <wp:simplePos x="0" y="0"/>
            <wp:positionH relativeFrom="column">
              <wp:posOffset>952500</wp:posOffset>
            </wp:positionH>
            <wp:positionV relativeFrom="paragraph">
              <wp:posOffset>4692650</wp:posOffset>
            </wp:positionV>
            <wp:extent cx="4177030" cy="3267075"/>
            <wp:effectExtent l="0" t="0" r="0" b="0"/>
            <wp:wrapTopAndBottom/>
            <wp:docPr id="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932" t="3384" r="84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030" cy="3267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>[1]. And shows that cir3 drive has no concerning effects on the natural response profile of the model during LPS, and also models replicate similar physiological responses.</w:t>
      </w:r>
    </w:p>
    <w:p w:rsidR="00F542DB" w:rsidRPr="00612C5F" w:rsidRDefault="00F068E8">
      <w:pPr>
        <w:pStyle w:val="normal1"/>
        <w:spacing w:before="280" w:after="280" w:line="240" w:lineRule="auto"/>
        <w:ind w:right="-472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bookmarkStart w:id="1" w:name="_ny86hyrbet72"/>
      <w:bookmarkEnd w:id="1"/>
      <w:r w:rsidRPr="00612C5F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Figure S2.</w:t>
      </w:r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 In our study, we used the treatment response analysis to assess changes in the phase and amplitude of the state variable after </w:t>
      </w:r>
      <w:proofErr w:type="spellStart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>Dex</w:t>
      </w:r>
      <w:proofErr w:type="spellEnd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treatment (green) under disease conditions (red), compared with the normal condition (black). The adjustment of the </w:t>
      </w:r>
      <w:proofErr w:type="spellStart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>Dex</w:t>
      </w:r>
      <w:proofErr w:type="spellEnd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dose is explained by these </w:t>
      </w:r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lastRenderedPageBreak/>
        <w:t xml:space="preserve">simulated </w:t>
      </w:r>
      <w:proofErr w:type="spellStart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>cortisol</w:t>
      </w:r>
      <w:proofErr w:type="spellEnd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profiles after </w:t>
      </w:r>
      <w:proofErr w:type="spellStart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>Dex</w:t>
      </w:r>
      <w:proofErr w:type="spellEnd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administration, during increased GR negative feedback on the HPA axis. As shown in Figures A-C, changes in </w:t>
      </w:r>
      <w:proofErr w:type="spellStart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>Dex</w:t>
      </w:r>
      <w:proofErr w:type="spellEnd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timing and concentration help to reset the perturbed circadian profiles of </w:t>
      </w:r>
      <w:proofErr w:type="spellStart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>cortisol</w:t>
      </w:r>
      <w:proofErr w:type="spellEnd"/>
      <w:r w:rsidRPr="00612C5F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and other state variables in the HPA-inflammation system. </w:t>
      </w:r>
    </w:p>
    <w:p w:rsidR="00F542DB" w:rsidRPr="00612C5F" w:rsidRDefault="00F068E8">
      <w:pPr>
        <w:pStyle w:val="normal1"/>
      </w:pPr>
      <w:r w:rsidRPr="00612C5F">
        <w:br w:type="page"/>
      </w:r>
    </w:p>
    <w:tbl>
      <w:tblPr>
        <w:tblStyle w:val="TableNormal0"/>
        <w:tblW w:w="949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843"/>
        <w:gridCol w:w="2976"/>
        <w:gridCol w:w="4678"/>
      </w:tblGrid>
      <w:tr w:rsidR="00F542DB" w:rsidRPr="00612C5F">
        <w:trPr>
          <w:jc w:val="center"/>
        </w:trPr>
        <w:tc>
          <w:tcPr>
            <w:tcW w:w="9497" w:type="dxa"/>
            <w:gridSpan w:val="3"/>
            <w:tcBorders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pageBreakBefore/>
              <w:ind w:left="-100" w:right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Table S1. The parameter values for the normal dynamics of the HPA-Inflammation model, as mentioned in the study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Somvanshi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 al 2020 [2].</w:t>
            </w:r>
          </w:p>
          <w:p w:rsidR="00F542DB" w:rsidRPr="00612C5F" w:rsidRDefault="00F542DB">
            <w:pPr>
              <w:pStyle w:val="normal1"/>
              <w:ind w:left="-100" w:right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F542DB" w:rsidRPr="00612C5F" w:rsidRDefault="00F542DB">
            <w:pPr>
              <w:pStyle w:val="normal1"/>
              <w:ind w:left="-100" w:right="3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42DB" w:rsidRPr="00612C5F">
        <w:trPr>
          <w:jc w:val="center"/>
        </w:trPr>
        <w:tc>
          <w:tcPr>
            <w:tcW w:w="1843" w:type="dxa"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Parameters</w:t>
            </w: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Values</w:t>
            </w:r>
          </w:p>
        </w:tc>
        <w:tc>
          <w:tcPr>
            <w:tcW w:w="4678" w:type="dxa"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  <w:tcBorders>
              <w:top w:val="single" w:sz="4" w:space="0" w:color="000000"/>
            </w:tcBorders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GR2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1.2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</w:tcBorders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Inhibitory threshold for GRs negative feedback on CRH and ACTH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st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Stress-related activation of CRH release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crh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-2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Degradation rate of CRH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acth1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1.463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ACTH secretion induced by CRH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acth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431.2 x10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-3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ACTH degradation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cort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Rate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cortisol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degradation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cort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5.67 </w:t>
            </w:r>
            <w:r w:rsidRPr="00612C5F"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>𝜇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dL·hU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Rate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cortisol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synthesis by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tnf3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threshold for effect of TNF on ACTH secretion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crh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0.067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CRH secretion induced by TNF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acth2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ACTH secretion induced by TNF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stAR2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Rate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protein synthesis induced by TNF</w:t>
            </w:r>
          </w:p>
        </w:tc>
      </w:tr>
      <w:tr w:rsidR="00F542DB" w:rsidRPr="00612C5F">
        <w:trPr>
          <w:trHeight w:val="398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Cmax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Weighting parameter for peripheral circadian Rhythm</w:t>
            </w:r>
          </w:p>
        </w:tc>
      </w:tr>
      <w:tr w:rsidR="00F542DB" w:rsidRPr="00612C5F">
        <w:trPr>
          <w:trHeight w:val="521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GR1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50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for inhibition of peripheral circadian drive by nuclear GR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stAR1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22.5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-3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AU/h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Rate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protein synthesis induced by ACTH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stAR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 AU/h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Rate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protein degradation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IL61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Half-saturation constant for inhibition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StAR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protein synthesis by IL6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dex1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Rate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dexamethasone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degradation in 1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st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compartment</w:t>
            </w:r>
          </w:p>
        </w:tc>
      </w:tr>
      <w:tr w:rsidR="00F542DB" w:rsidRPr="00612C5F">
        <w:trPr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dex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1.15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Rate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dexamethasone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appearance in plasma</w:t>
            </w:r>
          </w:p>
        </w:tc>
      </w:tr>
      <w:tr w:rsidR="00F542DB" w:rsidRPr="00612C5F">
        <w:trPr>
          <w:trHeight w:val="316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dex2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Rate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dexamethasone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degradation from plasma</w:t>
            </w:r>
          </w:p>
        </w:tc>
      </w:tr>
      <w:tr w:rsidR="00F542DB" w:rsidRPr="00612C5F">
        <w:trPr>
          <w:trHeight w:val="483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ac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16.65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Weighted conversion factor for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dexamethasone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to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cortisol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activity</w:t>
            </w:r>
          </w:p>
        </w:tc>
      </w:tr>
      <w:tr w:rsidR="00F542DB" w:rsidRPr="00612C5F">
        <w:trPr>
          <w:trHeight w:val="620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GR1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25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L·mg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protein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threshold of GR negative feedback on GR mRNA synthesis</w:t>
            </w:r>
          </w:p>
        </w:tc>
      </w:tr>
      <w:tr w:rsidR="00F542DB" w:rsidRPr="00612C5F">
        <w:trPr>
          <w:trHeight w:val="348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mrna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GR mRNA synthesis</w:t>
            </w:r>
          </w:p>
        </w:tc>
      </w:tr>
      <w:tr w:rsidR="00F542DB" w:rsidRPr="00612C5F">
        <w:trPr>
          <w:trHeight w:val="342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mrna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112.4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-3  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GR mRNA degradation</w:t>
            </w:r>
          </w:p>
        </w:tc>
      </w:tr>
      <w:tr w:rsidR="00F542DB" w:rsidRPr="00612C5F">
        <w:trPr>
          <w:trHeight w:val="336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pro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GR protein synthesis</w:t>
            </w:r>
          </w:p>
        </w:tc>
      </w:tr>
      <w:tr w:rsidR="00F542DB" w:rsidRPr="00612C5F">
        <w:trPr>
          <w:trHeight w:val="358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r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Fraction of GR-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cortisol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complex recycled</w:t>
            </w:r>
          </w:p>
        </w:tc>
      </w:tr>
      <w:tr w:rsidR="00F542DB" w:rsidRPr="00612C5F">
        <w:trPr>
          <w:trHeight w:val="338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on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32.9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-4 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Rate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cortisol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-GR binding</w:t>
            </w:r>
          </w:p>
        </w:tc>
      </w:tr>
      <w:tr w:rsidR="00F542DB" w:rsidRPr="00612C5F">
        <w:trPr>
          <w:trHeight w:val="358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prot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57.2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-3 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Degradation of GR protein</w:t>
            </w:r>
          </w:p>
        </w:tc>
      </w:tr>
      <w:tr w:rsidR="00F542DB" w:rsidRPr="00612C5F">
        <w:trPr>
          <w:trHeight w:val="494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receptor translocation from cytoplasm to nucleus</w:t>
            </w:r>
          </w:p>
        </w:tc>
      </w:tr>
      <w:tr w:rsidR="00F542DB" w:rsidRPr="00612C5F">
        <w:trPr>
          <w:trHeight w:val="337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re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GR cycling from nucleus to cytoplasm</w:t>
            </w:r>
          </w:p>
        </w:tc>
      </w:tr>
      <w:tr w:rsidR="00F542DB" w:rsidRPr="00612C5F">
        <w:trPr>
          <w:trHeight w:val="487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>𝜏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c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0.14 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Transduction coefficient for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cortisol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from adrenal to periphery</w:t>
            </w:r>
          </w:p>
        </w:tc>
      </w:tr>
      <w:tr w:rsidR="00F542DB" w:rsidRPr="00612C5F">
        <w:trPr>
          <w:trHeight w:val="453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tnf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Inhibitory half saturation threshold for effect of TNF on GR nuclear translocation</w:t>
            </w:r>
          </w:p>
        </w:tc>
      </w:tr>
      <w:tr w:rsidR="00F542DB" w:rsidRPr="00612C5F">
        <w:trPr>
          <w:trHeight w:val="306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lps_b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-7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kg·h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Basal rate of LPS induction</w:t>
            </w:r>
          </w:p>
        </w:tc>
      </w:tr>
      <w:tr w:rsidR="00F542DB" w:rsidRPr="00612C5F">
        <w:trPr>
          <w:trHeight w:val="306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lps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-5 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h.U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LPS degradation by phagocytes</w:t>
            </w:r>
          </w:p>
        </w:tc>
      </w:tr>
      <w:tr w:rsidR="00F542DB" w:rsidRPr="00612C5F">
        <w:trPr>
          <w:trHeight w:val="214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pgh1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4.99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7 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·kg/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h·ng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phagocyte activation by LPS</w:t>
            </w:r>
          </w:p>
        </w:tc>
      </w:tr>
      <w:tr w:rsidR="00F542DB" w:rsidRPr="00612C5F">
        <w:trPr>
          <w:trHeight w:val="292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pgh2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12.95 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Activation of phagocytes by TNF</w:t>
            </w:r>
          </w:p>
        </w:tc>
      </w:tr>
      <w:tr w:rsidR="00F542DB" w:rsidRPr="00612C5F">
        <w:trPr>
          <w:trHeight w:val="497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TNF1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1,693.95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for activation of phagocytes by TNF</w:t>
            </w:r>
          </w:p>
        </w:tc>
      </w:tr>
      <w:tr w:rsidR="00F542DB" w:rsidRPr="00612C5F">
        <w:trPr>
          <w:trHeight w:val="323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TGF1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72.12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-4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for inhibition of phagocytes by TGF</w:t>
            </w:r>
          </w:p>
        </w:tc>
      </w:tr>
      <w:tr w:rsidR="00F542DB" w:rsidRPr="00612C5F">
        <w:trPr>
          <w:trHeight w:val="602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IL10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7.38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for inhibition of phagocytes by IL10</w:t>
            </w:r>
          </w:p>
        </w:tc>
      </w:tr>
      <w:tr w:rsidR="00F542DB" w:rsidRPr="00612C5F">
        <w:trPr>
          <w:trHeight w:val="203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pgh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Degradation rate of phagocytes</w:t>
            </w:r>
          </w:p>
        </w:tc>
      </w:tr>
      <w:tr w:rsidR="00F542DB" w:rsidRPr="00612C5F">
        <w:trPr>
          <w:trHeight w:val="308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w:t>𝜏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p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Delay coefficient for phagocyte activity</w:t>
            </w:r>
          </w:p>
        </w:tc>
      </w:tr>
      <w:tr w:rsidR="00F542DB" w:rsidRPr="00612C5F">
        <w:trPr>
          <w:trHeight w:val="330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tgf1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-8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mL·U·h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activation of TGF by phagocytes</w:t>
            </w:r>
          </w:p>
        </w:tc>
      </w:tr>
      <w:tr w:rsidR="00F542DB" w:rsidRPr="00612C5F">
        <w:trPr>
          <w:trHeight w:val="327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tgf2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activation of TGF by GR</w:t>
            </w:r>
          </w:p>
        </w:tc>
      </w:tr>
      <w:tr w:rsidR="00F542DB" w:rsidRPr="00612C5F">
        <w:trPr>
          <w:trHeight w:val="477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GR2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500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for effect of GR on TGF activation</w:t>
            </w:r>
          </w:p>
        </w:tc>
      </w:tr>
      <w:tr w:rsidR="00F542DB" w:rsidRPr="00612C5F">
        <w:trPr>
          <w:trHeight w:val="331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tgf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63.5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-3 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TGF degradation</w:t>
            </w:r>
          </w:p>
        </w:tc>
      </w:tr>
      <w:tr w:rsidR="00F542DB" w:rsidRPr="00612C5F">
        <w:trPr>
          <w:trHeight w:val="339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tnf1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25.52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TNF activation by phagocytes</w:t>
            </w:r>
          </w:p>
        </w:tc>
      </w:tr>
      <w:tr w:rsidR="00F542DB" w:rsidRPr="00612C5F">
        <w:trPr>
          <w:trHeight w:val="503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Phg1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41.25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4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of phagocytes for activation of TNF</w:t>
            </w:r>
          </w:p>
        </w:tc>
      </w:tr>
      <w:tr w:rsidR="00F542DB" w:rsidRPr="00612C5F">
        <w:trPr>
          <w:trHeight w:val="470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TGF2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Inhibitory constant for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downregulation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TNF by TGF</w:t>
            </w:r>
          </w:p>
        </w:tc>
      </w:tr>
      <w:tr w:rsidR="00F542DB" w:rsidRPr="00612C5F">
        <w:trPr>
          <w:trHeight w:val="466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tnf2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106.54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TNF positive feedback on its activation</w:t>
            </w:r>
          </w:p>
        </w:tc>
      </w:tr>
      <w:tr w:rsidR="00F542DB" w:rsidRPr="00612C5F">
        <w:trPr>
          <w:trHeight w:val="577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TNF2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123.96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for effect of TNF auto-regulation</w:t>
            </w:r>
          </w:p>
        </w:tc>
      </w:tr>
      <w:tr w:rsidR="00F542DB" w:rsidRPr="00612C5F">
        <w:trPr>
          <w:trHeight w:val="346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IL61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for inhibitory effect of IL6 on TNF</w:t>
            </w:r>
          </w:p>
        </w:tc>
      </w:tr>
      <w:tr w:rsidR="00F542DB" w:rsidRPr="00612C5F">
        <w:trPr>
          <w:trHeight w:val="186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tnf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TNF degradation</w:t>
            </w:r>
          </w:p>
        </w:tc>
      </w:tr>
      <w:tr w:rsidR="00F542DB" w:rsidRPr="00612C5F">
        <w:trPr>
          <w:trHeight w:val="279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TNF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Basal rate of TNF synthesis</w:t>
            </w:r>
          </w:p>
        </w:tc>
      </w:tr>
      <w:tr w:rsidR="00F542DB" w:rsidRPr="00612C5F">
        <w:trPr>
          <w:trHeight w:val="447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Phg2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161.01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for activation of IL10 by phagocytes</w:t>
            </w:r>
          </w:p>
        </w:tc>
      </w:tr>
      <w:tr w:rsidR="00F542DB" w:rsidRPr="00612C5F">
        <w:trPr>
          <w:trHeight w:val="306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il10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IL10 degradation</w:t>
            </w:r>
          </w:p>
        </w:tc>
      </w:tr>
      <w:tr w:rsidR="00F542DB" w:rsidRPr="00612C5F">
        <w:trPr>
          <w:trHeight w:val="306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il101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3 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activation of IL10 by phagocytes</w:t>
            </w:r>
          </w:p>
        </w:tc>
      </w:tr>
      <w:tr w:rsidR="00F542DB" w:rsidRPr="00612C5F">
        <w:trPr>
          <w:trHeight w:val="497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il102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21.94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activation of IL10 by TGF</w:t>
            </w:r>
          </w:p>
        </w:tc>
      </w:tr>
      <w:tr w:rsidR="00F542DB" w:rsidRPr="00612C5F">
        <w:trPr>
          <w:trHeight w:val="323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TGF1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for IL10 activation by TGF</w:t>
            </w:r>
          </w:p>
        </w:tc>
      </w:tr>
      <w:tr w:rsidR="00F542DB" w:rsidRPr="00612C5F">
        <w:trPr>
          <w:trHeight w:val="217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IL6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Basal rate IL6 synthesis</w:t>
            </w:r>
          </w:p>
        </w:tc>
      </w:tr>
      <w:tr w:rsidR="00F542DB" w:rsidRPr="00612C5F">
        <w:trPr>
          <w:trHeight w:val="309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Phg3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5 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for activation of IL6 by phagocytes</w:t>
            </w:r>
          </w:p>
        </w:tc>
      </w:tr>
      <w:tr w:rsidR="00F542DB" w:rsidRPr="00612C5F">
        <w:trPr>
          <w:trHeight w:val="432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Km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IL6TNF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339.16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of effect of TNF and IL6 on IL6 activation</w:t>
            </w:r>
          </w:p>
        </w:tc>
      </w:tr>
      <w:tr w:rsidR="00F542DB" w:rsidRPr="00612C5F">
        <w:trPr>
          <w:trHeight w:val="273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IL102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23.64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Half saturation constant for inhibition of IL6 by IL10</w:t>
            </w:r>
          </w:p>
        </w:tc>
      </w:tr>
      <w:tr w:rsidR="00F542DB" w:rsidRPr="00612C5F">
        <w:trPr>
          <w:trHeight w:val="195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il61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5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pg/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mL·h</w:t>
            </w:r>
            <w:proofErr w:type="spellEnd"/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IL6 activation by phagocytes</w:t>
            </w:r>
          </w:p>
        </w:tc>
      </w:tr>
      <w:tr w:rsidR="00F542DB" w:rsidRPr="00612C5F">
        <w:trPr>
          <w:trHeight w:val="300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il62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x 10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5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cytokine positive feedback on IL6 activation</w:t>
            </w:r>
          </w:p>
        </w:tc>
      </w:tr>
      <w:tr w:rsidR="00F542DB" w:rsidRPr="00612C5F">
        <w:trPr>
          <w:trHeight w:val="336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</w:t>
            </w: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il6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 /h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IL6 degradation</w:t>
            </w:r>
          </w:p>
        </w:tc>
      </w:tr>
      <w:tr w:rsidR="00F542DB" w:rsidRPr="00612C5F">
        <w:trPr>
          <w:trHeight w:val="358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</w:t>
            </w:r>
            <w:proofErr w:type="spellEnd"/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Rate of GR-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cortisol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complex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acetylation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by CB </w:t>
            </w:r>
          </w:p>
        </w:tc>
      </w:tr>
      <w:tr w:rsidR="00F542DB" w:rsidRPr="00612C5F">
        <w:trPr>
          <w:trHeight w:val="338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n1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Hill coefficient for effect of GRs negative feedback</w:t>
            </w:r>
          </w:p>
        </w:tc>
      </w:tr>
      <w:tr w:rsidR="00F542DB" w:rsidRPr="00612C5F">
        <w:trPr>
          <w:trHeight w:val="347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n2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Hill coefficient for stimulatory effect of TNF on HPA axis</w:t>
            </w:r>
          </w:p>
        </w:tc>
      </w:tr>
      <w:tr w:rsidR="00F542DB" w:rsidRPr="00612C5F">
        <w:trPr>
          <w:trHeight w:val="484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n3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Hill coefficient for effect of GR on its mRNA synthesis</w:t>
            </w:r>
          </w:p>
        </w:tc>
      </w:tr>
      <w:tr w:rsidR="00F542DB" w:rsidRPr="00612C5F">
        <w:trPr>
          <w:trHeight w:val="311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n4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Hill coefficient for effect of TNF on GR nuclear translocation</w:t>
            </w:r>
          </w:p>
        </w:tc>
      </w:tr>
      <w:tr w:rsidR="00F542DB" w:rsidRPr="00612C5F">
        <w:trPr>
          <w:trHeight w:val="165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n5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Hill coefficient for effect of GR on TGF activation</w:t>
            </w:r>
          </w:p>
        </w:tc>
      </w:tr>
      <w:tr w:rsidR="00F542DB" w:rsidRPr="00612C5F">
        <w:trPr>
          <w:trHeight w:val="399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n6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Hill coefficient for effect of TGF on TNF inhibition</w:t>
            </w:r>
          </w:p>
        </w:tc>
      </w:tr>
      <w:tr w:rsidR="00F542DB" w:rsidRPr="00612C5F">
        <w:trPr>
          <w:trHeight w:val="209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n7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Hill coefficient for effect of IL6 on TNF inhibition</w:t>
            </w:r>
          </w:p>
        </w:tc>
      </w:tr>
      <w:tr w:rsidR="00F542DB" w:rsidRPr="00612C5F">
        <w:trPr>
          <w:trHeight w:val="443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n8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Hill coefficient for effect of phagocytes on IL10 activation</w:t>
            </w:r>
          </w:p>
        </w:tc>
      </w:tr>
      <w:tr w:rsidR="00F542DB" w:rsidRPr="00612C5F">
        <w:trPr>
          <w:trHeight w:val="283"/>
          <w:jc w:val="center"/>
        </w:trPr>
        <w:tc>
          <w:tcPr>
            <w:tcW w:w="1843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n9</w:t>
            </w:r>
          </w:p>
        </w:tc>
        <w:tc>
          <w:tcPr>
            <w:tcW w:w="297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Hill coefficient for effect of TGF on IL10 activation</w:t>
            </w:r>
          </w:p>
        </w:tc>
      </w:tr>
      <w:tr w:rsidR="00F542DB" w:rsidRPr="00612C5F">
        <w:trPr>
          <w:trHeight w:val="519"/>
          <w:jc w:val="center"/>
        </w:trPr>
        <w:tc>
          <w:tcPr>
            <w:tcW w:w="1843" w:type="dxa"/>
            <w:tcBorders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n10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ind w:righ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Hill coefficient for effect of cytokine on IL6 activation</w:t>
            </w:r>
          </w:p>
        </w:tc>
      </w:tr>
    </w:tbl>
    <w:p w:rsidR="00F542DB" w:rsidRPr="00612C5F" w:rsidRDefault="00F542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:rsidR="00F542DB" w:rsidRPr="00612C5F" w:rsidRDefault="00F068E8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b/>
          <w:bCs/>
          <w:sz w:val="24"/>
          <w:szCs w:val="24"/>
        </w:rPr>
        <w:t>Table S2.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>The Feedback responses used in the HPA-Inflammation model, for defining the GR-mediated crosstalk between the two HPA axis and inflammation modules.</w:t>
      </w:r>
      <w:proofErr w:type="gram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Details of each parameter are provided in Supplementary Table 1. </w:t>
      </w:r>
    </w:p>
    <w:p w:rsidR="00F542DB" w:rsidRPr="00612C5F" w:rsidRDefault="00F542DB">
      <w:pPr>
        <w:pStyle w:val="normal1"/>
      </w:pPr>
    </w:p>
    <w:tbl>
      <w:tblPr>
        <w:tblStyle w:val="TableNormal0"/>
        <w:tblW w:w="99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4996"/>
        <w:gridCol w:w="4994"/>
      </w:tblGrid>
      <w:tr w:rsidR="00F542DB" w:rsidRPr="00612C5F">
        <w:tc>
          <w:tcPr>
            <w:tcW w:w="4995" w:type="dxa"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widowControl w:val="0"/>
              <w:spacing w:after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12C5F">
              <w:rPr>
                <w:rFonts w:ascii="Times New Roman" w:eastAsia="Times New Roman" w:hAnsi="Times New Roman" w:cs="Times New Roman"/>
                <w:b/>
                <w:bCs/>
              </w:rPr>
              <w:t>Feedback Responses</w:t>
            </w:r>
          </w:p>
        </w:tc>
        <w:tc>
          <w:tcPr>
            <w:tcW w:w="4994" w:type="dxa"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widowControl w:val="0"/>
              <w:spacing w:after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12C5F">
              <w:rPr>
                <w:rFonts w:ascii="Times New Roman" w:eastAsia="Times New Roman" w:hAnsi="Times New Roman" w:cs="Times New Roman"/>
                <w:b/>
                <w:bCs/>
              </w:rPr>
              <w:t>MM Equations</w:t>
            </w:r>
          </w:p>
        </w:tc>
      </w:tr>
      <w:tr w:rsidR="00F542DB" w:rsidRPr="00612C5F">
        <w:tc>
          <w:tcPr>
            <w:tcW w:w="4995" w:type="dxa"/>
            <w:tcBorders>
              <w:top w:val="single" w:sz="4" w:space="0" w:color="000000"/>
            </w:tcBorders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lastRenderedPageBreak/>
              <w:t>Negative feedback of GR on peripheral circadian drive</w:t>
            </w:r>
          </w:p>
        </w:tc>
        <w:tc>
          <w:tcPr>
            <w:tcW w:w="4994" w:type="dxa"/>
            <w:tcBorders>
              <w:top w:val="single" w:sz="4" w:space="0" w:color="000000"/>
            </w:tcBorders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GRn1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GR1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GR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GR1</m:t>
                        </m:r>
                      </m:sub>
                    </m:sSub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 xml:space="preserve">Negative modulation of CRH and ACTH by GR 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GRn2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GR2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n1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GR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n1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GR2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n1</m:t>
                        </m:r>
                      </m:sup>
                    </m:sSup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>Positive feedback of GR activation on the GR mRNA production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GRn1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GR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n3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GR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n3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GR1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n3</m:t>
                        </m:r>
                      </m:sup>
                    </m:sSup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>Positive feedback of GR on the production of TGF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GRn2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GR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n5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GR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n5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GR2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n5</m:t>
                        </m:r>
                      </m:sup>
                    </m:sSup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 xml:space="preserve">Positive feedback of TNF modulation on ACTH and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</w:rPr>
              <w:t>STARp</w:t>
            </w:r>
            <w:proofErr w:type="spellEnd"/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TNF1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TNF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TNF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TNF3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n2</m:t>
                        </m:r>
                      </m:sup>
                    </m:sSup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 xml:space="preserve">Negative modulation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</w:rPr>
              <w:t>STARp</w:t>
            </w:r>
            <w:proofErr w:type="spellEnd"/>
            <w:r w:rsidRPr="00612C5F">
              <w:rPr>
                <w:rFonts w:ascii="Times New Roman" w:eastAsia="Times New Roman" w:hAnsi="Times New Roman" w:cs="Times New Roman"/>
              </w:rPr>
              <w:t xml:space="preserve"> by IL6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IL61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IL61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IL6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IL61</m:t>
                        </m:r>
                      </m:sub>
                    </m:sSub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>Negative feedback of TNF on the GR nuclear transport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TNF1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TNF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n4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TNF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TNF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n4</m:t>
                        </m:r>
                      </m:sup>
                    </m:sSup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>Positive feedback of TNF activation on phagocytes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TNF2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TNF1</m:t>
                        </m:r>
                      </m:sub>
                    </m:sSub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>Self-activation feedback of TNF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TNF3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TNF2</m:t>
                        </m:r>
                      </m:sub>
                    </m:sSub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 xml:space="preserve">Positive feedback of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</w:rPr>
              <w:t>phagocytosis</w:t>
            </w:r>
            <w:proofErr w:type="spellEnd"/>
            <w:r w:rsidRPr="00612C5F">
              <w:rPr>
                <w:rFonts w:ascii="Times New Roman" w:eastAsia="Times New Roman" w:hAnsi="Times New Roman" w:cs="Times New Roman"/>
              </w:rPr>
              <w:t xml:space="preserve"> on TNF production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Phg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Phg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n8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Phg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n8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Phg1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n8</m:t>
                        </m:r>
                      </m:sup>
                    </m:sSup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 xml:space="preserve">Positive modulation of IL10 production by the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</w:rPr>
              <w:t>phagocytosis</w:t>
            </w:r>
            <w:proofErr w:type="spellEnd"/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Phg1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Phg1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n8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Phg1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n8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Phg2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n8</m:t>
                        </m:r>
                      </m:sup>
                    </m:sSup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 xml:space="preserve">Positive modulation on IL6 production due to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</w:rPr>
              <w:t>phagocytosis</w:t>
            </w:r>
            <w:proofErr w:type="spellEnd"/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Phg12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Phg1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Phg1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Phg3</m:t>
                        </m:r>
                      </m:sub>
                    </m:sSub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>Negative feedback of TGF activation on phagocytes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TGF1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TGF1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TGF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TGF1</m:t>
                        </m:r>
                      </m:sub>
                    </m:sSub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>Negative feedback of TGF activation on TNF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TGF2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TGF1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n6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TGF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n6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TGF1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n6</m:t>
                        </m:r>
                      </m:sup>
                    </m:sSup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>Positive feedback of TGF activation on IL10 activation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TGF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TGF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n9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TGF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n9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TGF1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n9</m:t>
                        </m:r>
                      </m:sup>
                    </m:sSup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 xml:space="preserve">Negative modulation of IL10 on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</w:rPr>
              <w:t>phagocytosis</w:t>
            </w:r>
            <w:proofErr w:type="spellEnd"/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IL101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IL10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IL10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IL10</m:t>
                        </m:r>
                      </m:sub>
                    </m:sSub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 xml:space="preserve">Negative feedback of IL10 activation on the production of IL6 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IL102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IL102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IL10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IL102</m:t>
                        </m:r>
                      </m:sub>
                    </m:sSub>
                  </m:den>
                </m:f>
              </m:oMath>
            </m:oMathPara>
          </w:p>
        </w:tc>
      </w:tr>
      <w:tr w:rsidR="00F542DB" w:rsidRPr="00612C5F">
        <w:tc>
          <w:tcPr>
            <w:tcW w:w="4995" w:type="dxa"/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 xml:space="preserve">Negative feedback of IL6 on the activation of TNF </w:t>
            </w:r>
          </w:p>
        </w:tc>
        <w:tc>
          <w:tcPr>
            <w:tcW w:w="4994" w:type="dxa"/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IL6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IL6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n7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C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IL6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n7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m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IL61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n7</m:t>
                            </m:r>
                          </m:sup>
                        </m:sSup>
                      </m:den>
                    </m:f>
                  </m:e>
                </m:d>
              </m:oMath>
            </m:oMathPara>
          </w:p>
        </w:tc>
      </w:tr>
      <w:tr w:rsidR="00F542DB" w:rsidRPr="00612C5F">
        <w:tc>
          <w:tcPr>
            <w:tcW w:w="4995" w:type="dxa"/>
            <w:tcBorders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widowControl w:val="0"/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12C5F">
              <w:rPr>
                <w:rFonts w:ascii="Times New Roman" w:eastAsia="Times New Roman" w:hAnsi="Times New Roman" w:cs="Times New Roman"/>
              </w:rPr>
              <w:t xml:space="preserve">Positive feedback of IL6 and TNF activations on the production of IL6 </w:t>
            </w:r>
          </w:p>
        </w:tc>
        <w:tc>
          <w:tcPr>
            <w:tcW w:w="4994" w:type="dxa"/>
            <w:tcBorders>
              <w:bottom w:val="single" w:sz="4" w:space="0" w:color="000000"/>
            </w:tcBorders>
          </w:tcPr>
          <w:p w:rsidR="00F542DB" w:rsidRPr="00612C5F" w:rsidRDefault="00270EAE">
            <w:pPr>
              <w:pStyle w:val="normal1"/>
              <w:jc w:val="center"/>
              <w:rPr>
                <w:rFonts w:ascii="Cambria Math" w:eastAsia="Cambria Math" w:hAnsi="Cambria Math" w:cs="Cambria Math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IL6+TNF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IL6+TNF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n10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IL6+TNF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n10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IL6+TNF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n10</m:t>
                        </m:r>
                      </m:sup>
                    </m:sSup>
                  </m:den>
                </m:f>
              </m:oMath>
            </m:oMathPara>
          </w:p>
        </w:tc>
      </w:tr>
    </w:tbl>
    <w:p w:rsidR="00F542DB" w:rsidRPr="00612C5F" w:rsidRDefault="00F542DB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</w:p>
    <w:p w:rsidR="00F542DB" w:rsidRPr="00612C5F" w:rsidRDefault="00F068E8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Each of the mathematical models was solved using the Ode15s solver in MATLAB, with relative and absolute error tolerances of 1e-10. The MATLAB graphical editor is used to capture and plot the 24-hr dynamics of model variables. The phase-amplitude plots of the time-dependent effects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Dex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were generated in Excel.</w:t>
      </w:r>
    </w:p>
    <w:p w:rsidR="00F542DB" w:rsidRPr="00612C5F" w:rsidRDefault="00F542DB">
      <w:pPr>
        <w:pStyle w:val="normal1"/>
      </w:pPr>
    </w:p>
    <w:p w:rsidR="00F542DB" w:rsidRPr="00612C5F" w:rsidRDefault="00F068E8">
      <w:pPr>
        <w:pStyle w:val="normal1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S3. 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A small set of perturbed parameter combinations (parameters 1 &amp; 2) is tabulated; these are used to simulate different profiles of circadian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dysregulation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cortisol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expression (Phase &amp; Amplitude), along with the optimum time window predicted by the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ThrNN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model.</w:t>
      </w:r>
    </w:p>
    <w:tbl>
      <w:tblPr>
        <w:tblStyle w:val="TableNormal0"/>
        <w:tblW w:w="96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30"/>
        <w:gridCol w:w="1331"/>
        <w:gridCol w:w="1420"/>
        <w:gridCol w:w="1386"/>
        <w:gridCol w:w="1253"/>
        <w:gridCol w:w="1502"/>
        <w:gridCol w:w="1316"/>
      </w:tblGrid>
      <w:tr w:rsidR="00F542DB" w:rsidRPr="00612C5F">
        <w:trPr>
          <w:trHeight w:val="544"/>
          <w:jc w:val="center"/>
        </w:trPr>
        <w:tc>
          <w:tcPr>
            <w:tcW w:w="142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Parameter 1</w:t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Parameter 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Parameter value 1</w:t>
            </w:r>
          </w:p>
        </w:tc>
        <w:tc>
          <w:tcPr>
            <w:tcW w:w="13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Parameter value 2</w:t>
            </w:r>
          </w:p>
        </w:tc>
        <w:tc>
          <w:tcPr>
            <w:tcW w:w="125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Optimum dose Time</w:t>
            </w:r>
          </w:p>
        </w:tc>
        <w:tc>
          <w:tcPr>
            <w:tcW w:w="2818" w:type="dxa"/>
            <w:gridSpan w:val="2"/>
            <w:tcBorders>
              <w:top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Effects on </w:t>
            </w:r>
            <w:proofErr w:type="spellStart"/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cortisol</w:t>
            </w:r>
            <w:proofErr w:type="spellEnd"/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circadian parameters</w:t>
            </w: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F542DB" w:rsidRPr="00612C5F">
        <w:trPr>
          <w:trHeight w:val="233"/>
          <w:jc w:val="center"/>
        </w:trPr>
        <w:tc>
          <w:tcPr>
            <w:tcW w:w="1429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542DB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542DB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542DB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86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542DB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F542DB" w:rsidRPr="00612C5F" w:rsidRDefault="00F542DB">
            <w:pPr>
              <w:pStyle w:val="normal1"/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2" w:type="dxa"/>
            <w:tcBorders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Phase</w:t>
            </w:r>
          </w:p>
        </w:tc>
        <w:tc>
          <w:tcPr>
            <w:tcW w:w="1316" w:type="dxa"/>
            <w:tcBorders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Amplitude</w:t>
            </w:r>
          </w:p>
        </w:tc>
      </w:tr>
      <w:tr w:rsidR="00F542DB" w:rsidRPr="00612C5F">
        <w:trPr>
          <w:trHeight w:val="346"/>
          <w:jc w:val="center"/>
        </w:trPr>
        <w:tc>
          <w:tcPr>
            <w:tcW w:w="1429" w:type="dxa"/>
            <w:tcBorders>
              <w:top w:val="single" w:sz="4" w:space="0" w:color="000000"/>
            </w:tcBorders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V_acth1</w:t>
            </w:r>
          </w:p>
        </w:tc>
        <w:tc>
          <w:tcPr>
            <w:tcW w:w="1331" w:type="dxa"/>
            <w:tcBorders>
              <w:top w:val="single" w:sz="4" w:space="0" w:color="000000"/>
            </w:tcBorders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k_starp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</w:tcBorders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5.8536</w:t>
            </w:r>
          </w:p>
        </w:tc>
        <w:tc>
          <w:tcPr>
            <w:tcW w:w="1386" w:type="dxa"/>
            <w:tcBorders>
              <w:top w:val="single" w:sz="4" w:space="0" w:color="000000"/>
            </w:tcBorders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1253" w:type="dxa"/>
            <w:tcBorders>
              <w:top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9-10</w:t>
            </w:r>
          </w:p>
        </w:tc>
        <w:tc>
          <w:tcPr>
            <w:tcW w:w="1502" w:type="dxa"/>
            <w:tcBorders>
              <w:top w:val="single" w:sz="4" w:space="0" w:color="000000"/>
            </w:tcBorders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Advance</w:t>
            </w:r>
          </w:p>
        </w:tc>
        <w:tc>
          <w:tcPr>
            <w:tcW w:w="1316" w:type="dxa"/>
            <w:tcBorders>
              <w:top w:val="single" w:sz="4" w:space="0" w:color="000000"/>
            </w:tcBorders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No change</w:t>
            </w:r>
          </w:p>
        </w:tc>
      </w:tr>
      <w:tr w:rsidR="00F542DB" w:rsidRPr="00612C5F">
        <w:trPr>
          <w:trHeight w:val="300"/>
          <w:jc w:val="center"/>
        </w:trPr>
        <w:tc>
          <w:tcPr>
            <w:tcW w:w="1429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n1</w:t>
            </w:r>
          </w:p>
        </w:tc>
        <w:tc>
          <w:tcPr>
            <w:tcW w:w="1331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k_crh</w:t>
            </w:r>
            <w:proofErr w:type="spellEnd"/>
          </w:p>
        </w:tc>
        <w:tc>
          <w:tcPr>
            <w:tcW w:w="1420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0.048</w:t>
            </w:r>
          </w:p>
        </w:tc>
        <w:tc>
          <w:tcPr>
            <w:tcW w:w="1253" w:type="dxa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7_8</w:t>
            </w:r>
          </w:p>
        </w:tc>
        <w:tc>
          <w:tcPr>
            <w:tcW w:w="1502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Advance</w:t>
            </w:r>
          </w:p>
        </w:tc>
        <w:tc>
          <w:tcPr>
            <w:tcW w:w="1316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No change</w:t>
            </w:r>
          </w:p>
        </w:tc>
      </w:tr>
      <w:tr w:rsidR="00F542DB" w:rsidRPr="00612C5F">
        <w:trPr>
          <w:trHeight w:val="300"/>
          <w:jc w:val="center"/>
        </w:trPr>
        <w:tc>
          <w:tcPr>
            <w:tcW w:w="1429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kre</w:t>
            </w:r>
            <w:proofErr w:type="spellEnd"/>
          </w:p>
        </w:tc>
        <w:tc>
          <w:tcPr>
            <w:tcW w:w="1331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km_GR1</w:t>
            </w:r>
          </w:p>
        </w:tc>
        <w:tc>
          <w:tcPr>
            <w:tcW w:w="1420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0.285</w:t>
            </w:r>
          </w:p>
        </w:tc>
        <w:tc>
          <w:tcPr>
            <w:tcW w:w="138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6.25</w:t>
            </w:r>
          </w:p>
        </w:tc>
        <w:tc>
          <w:tcPr>
            <w:tcW w:w="1253" w:type="dxa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502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Delay</w:t>
            </w:r>
          </w:p>
        </w:tc>
        <w:tc>
          <w:tcPr>
            <w:tcW w:w="1316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No change</w:t>
            </w:r>
          </w:p>
        </w:tc>
      </w:tr>
      <w:tr w:rsidR="00F542DB" w:rsidRPr="00612C5F">
        <w:trPr>
          <w:trHeight w:val="300"/>
          <w:jc w:val="center"/>
        </w:trPr>
        <w:tc>
          <w:tcPr>
            <w:tcW w:w="1429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Ki_GR1</w:t>
            </w:r>
          </w:p>
        </w:tc>
        <w:tc>
          <w:tcPr>
            <w:tcW w:w="1331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k_starp</w:t>
            </w:r>
            <w:proofErr w:type="spellEnd"/>
          </w:p>
        </w:tc>
        <w:tc>
          <w:tcPr>
            <w:tcW w:w="1420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8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0.9</w:t>
            </w:r>
          </w:p>
        </w:tc>
        <w:tc>
          <w:tcPr>
            <w:tcW w:w="1253" w:type="dxa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6-8</w:t>
            </w:r>
          </w:p>
        </w:tc>
        <w:tc>
          <w:tcPr>
            <w:tcW w:w="1502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Advance</w:t>
            </w:r>
          </w:p>
        </w:tc>
        <w:tc>
          <w:tcPr>
            <w:tcW w:w="1316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Decreased</w:t>
            </w:r>
          </w:p>
        </w:tc>
      </w:tr>
      <w:tr w:rsidR="00F542DB" w:rsidRPr="00612C5F">
        <w:trPr>
          <w:trHeight w:val="300"/>
          <w:jc w:val="center"/>
        </w:trPr>
        <w:tc>
          <w:tcPr>
            <w:tcW w:w="1429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V_starp1</w:t>
            </w:r>
          </w:p>
        </w:tc>
        <w:tc>
          <w:tcPr>
            <w:tcW w:w="1331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k_starp</w:t>
            </w:r>
            <w:proofErr w:type="spellEnd"/>
          </w:p>
        </w:tc>
        <w:tc>
          <w:tcPr>
            <w:tcW w:w="1420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0.005625</w:t>
            </w:r>
          </w:p>
        </w:tc>
        <w:tc>
          <w:tcPr>
            <w:tcW w:w="138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0.225</w:t>
            </w:r>
          </w:p>
        </w:tc>
        <w:tc>
          <w:tcPr>
            <w:tcW w:w="1253" w:type="dxa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2-6</w:t>
            </w:r>
          </w:p>
        </w:tc>
        <w:tc>
          <w:tcPr>
            <w:tcW w:w="1502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Delay</w:t>
            </w:r>
          </w:p>
        </w:tc>
        <w:tc>
          <w:tcPr>
            <w:tcW w:w="1316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Decreased</w:t>
            </w:r>
          </w:p>
        </w:tc>
      </w:tr>
      <w:tr w:rsidR="00F542DB" w:rsidRPr="00612C5F">
        <w:trPr>
          <w:trHeight w:val="300"/>
          <w:jc w:val="center"/>
        </w:trPr>
        <w:tc>
          <w:tcPr>
            <w:tcW w:w="1429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V_cort</w:t>
            </w:r>
            <w:proofErr w:type="spellEnd"/>
          </w:p>
        </w:tc>
        <w:tc>
          <w:tcPr>
            <w:tcW w:w="1331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k_starp</w:t>
            </w:r>
            <w:proofErr w:type="spellEnd"/>
          </w:p>
        </w:tc>
        <w:tc>
          <w:tcPr>
            <w:tcW w:w="1420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2.835</w:t>
            </w:r>
          </w:p>
        </w:tc>
        <w:tc>
          <w:tcPr>
            <w:tcW w:w="138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0.225</w:t>
            </w:r>
          </w:p>
        </w:tc>
        <w:tc>
          <w:tcPr>
            <w:tcW w:w="1253" w:type="dxa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5_6</w:t>
            </w:r>
          </w:p>
        </w:tc>
        <w:tc>
          <w:tcPr>
            <w:tcW w:w="1502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Delay</w:t>
            </w:r>
          </w:p>
        </w:tc>
        <w:tc>
          <w:tcPr>
            <w:tcW w:w="1316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Decreased</w:t>
            </w:r>
          </w:p>
        </w:tc>
      </w:tr>
      <w:tr w:rsidR="00F542DB" w:rsidRPr="00612C5F">
        <w:trPr>
          <w:trHeight w:val="300"/>
          <w:jc w:val="center"/>
        </w:trPr>
        <w:tc>
          <w:tcPr>
            <w:tcW w:w="1429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V_starp1</w:t>
            </w:r>
          </w:p>
        </w:tc>
        <w:tc>
          <w:tcPr>
            <w:tcW w:w="1331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n1</w:t>
            </w:r>
          </w:p>
        </w:tc>
        <w:tc>
          <w:tcPr>
            <w:tcW w:w="1420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138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3" w:type="dxa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8_9</w:t>
            </w:r>
          </w:p>
        </w:tc>
        <w:tc>
          <w:tcPr>
            <w:tcW w:w="1502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Advance</w:t>
            </w:r>
          </w:p>
        </w:tc>
        <w:tc>
          <w:tcPr>
            <w:tcW w:w="1316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Increased</w:t>
            </w:r>
          </w:p>
        </w:tc>
      </w:tr>
      <w:tr w:rsidR="00F542DB" w:rsidRPr="00612C5F">
        <w:trPr>
          <w:trHeight w:val="300"/>
          <w:jc w:val="center"/>
        </w:trPr>
        <w:tc>
          <w:tcPr>
            <w:tcW w:w="1429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V_cort</w:t>
            </w:r>
            <w:proofErr w:type="spellEnd"/>
          </w:p>
        </w:tc>
        <w:tc>
          <w:tcPr>
            <w:tcW w:w="1331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n1</w:t>
            </w:r>
          </w:p>
        </w:tc>
        <w:tc>
          <w:tcPr>
            <w:tcW w:w="1420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22.68</w:t>
            </w:r>
          </w:p>
        </w:tc>
        <w:tc>
          <w:tcPr>
            <w:tcW w:w="138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3" w:type="dxa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8_9</w:t>
            </w:r>
          </w:p>
        </w:tc>
        <w:tc>
          <w:tcPr>
            <w:tcW w:w="1502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Advance</w:t>
            </w:r>
          </w:p>
        </w:tc>
        <w:tc>
          <w:tcPr>
            <w:tcW w:w="1316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Increased</w:t>
            </w:r>
          </w:p>
        </w:tc>
      </w:tr>
      <w:tr w:rsidR="00F542DB" w:rsidRPr="00612C5F">
        <w:trPr>
          <w:trHeight w:val="300"/>
          <w:jc w:val="center"/>
        </w:trPr>
        <w:tc>
          <w:tcPr>
            <w:tcW w:w="1429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k_cort</w:t>
            </w:r>
            <w:proofErr w:type="spellEnd"/>
          </w:p>
        </w:tc>
        <w:tc>
          <w:tcPr>
            <w:tcW w:w="1331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n1</w:t>
            </w:r>
          </w:p>
        </w:tc>
        <w:tc>
          <w:tcPr>
            <w:tcW w:w="1420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0.495</w:t>
            </w:r>
          </w:p>
        </w:tc>
        <w:tc>
          <w:tcPr>
            <w:tcW w:w="138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3" w:type="dxa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502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Delay</w:t>
            </w:r>
          </w:p>
        </w:tc>
        <w:tc>
          <w:tcPr>
            <w:tcW w:w="1316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Increased</w:t>
            </w:r>
          </w:p>
        </w:tc>
      </w:tr>
      <w:tr w:rsidR="00F542DB" w:rsidRPr="00612C5F">
        <w:trPr>
          <w:trHeight w:val="300"/>
          <w:jc w:val="center"/>
        </w:trPr>
        <w:tc>
          <w:tcPr>
            <w:tcW w:w="1429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V_GRprot</w:t>
            </w:r>
            <w:proofErr w:type="spellEnd"/>
          </w:p>
        </w:tc>
        <w:tc>
          <w:tcPr>
            <w:tcW w:w="1331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Ki_GR</w:t>
            </w:r>
            <w:proofErr w:type="spellEnd"/>
          </w:p>
        </w:tc>
        <w:tc>
          <w:tcPr>
            <w:tcW w:w="1420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38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53" w:type="dxa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1502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Delay</w:t>
            </w:r>
          </w:p>
        </w:tc>
        <w:tc>
          <w:tcPr>
            <w:tcW w:w="1316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Increased</w:t>
            </w:r>
          </w:p>
        </w:tc>
      </w:tr>
      <w:tr w:rsidR="00F542DB" w:rsidRPr="00612C5F">
        <w:trPr>
          <w:trHeight w:val="300"/>
          <w:jc w:val="center"/>
        </w:trPr>
        <w:tc>
          <w:tcPr>
            <w:tcW w:w="1429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Ki_GR1</w:t>
            </w:r>
          </w:p>
        </w:tc>
        <w:tc>
          <w:tcPr>
            <w:tcW w:w="1331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k_GRprot</w:t>
            </w:r>
            <w:proofErr w:type="spellEnd"/>
          </w:p>
        </w:tc>
        <w:tc>
          <w:tcPr>
            <w:tcW w:w="1420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0.6</w:t>
            </w:r>
          </w:p>
        </w:tc>
        <w:tc>
          <w:tcPr>
            <w:tcW w:w="1386" w:type="dxa"/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0.0572</w:t>
            </w:r>
          </w:p>
        </w:tc>
        <w:tc>
          <w:tcPr>
            <w:tcW w:w="1253" w:type="dxa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502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No change</w:t>
            </w:r>
          </w:p>
        </w:tc>
        <w:tc>
          <w:tcPr>
            <w:tcW w:w="1316" w:type="dxa"/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Decreased</w:t>
            </w:r>
          </w:p>
        </w:tc>
      </w:tr>
      <w:tr w:rsidR="00F542DB" w:rsidRPr="00612C5F">
        <w:trPr>
          <w:trHeight w:val="300"/>
          <w:jc w:val="center"/>
        </w:trPr>
        <w:tc>
          <w:tcPr>
            <w:tcW w:w="1429" w:type="dxa"/>
            <w:tcBorders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V_GRmrna</w:t>
            </w:r>
            <w:proofErr w:type="spellEnd"/>
          </w:p>
        </w:tc>
        <w:tc>
          <w:tcPr>
            <w:tcW w:w="1331" w:type="dxa"/>
            <w:tcBorders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612C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K_strs</w:t>
            </w:r>
            <w:proofErr w:type="spellEnd"/>
          </w:p>
        </w:tc>
        <w:tc>
          <w:tcPr>
            <w:tcW w:w="1420" w:type="dxa"/>
            <w:tcBorders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1386" w:type="dxa"/>
            <w:tcBorders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53" w:type="dxa"/>
            <w:tcBorders>
              <w:bottom w:val="single" w:sz="4" w:space="0" w:color="000000"/>
            </w:tcBorders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1-2</w:t>
            </w:r>
          </w:p>
        </w:tc>
        <w:tc>
          <w:tcPr>
            <w:tcW w:w="1502" w:type="dxa"/>
            <w:tcBorders>
              <w:bottom w:val="single" w:sz="4" w:space="0" w:color="000000"/>
            </w:tcBorders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No change</w:t>
            </w:r>
          </w:p>
        </w:tc>
        <w:tc>
          <w:tcPr>
            <w:tcW w:w="1316" w:type="dxa"/>
            <w:tcBorders>
              <w:bottom w:val="single" w:sz="4" w:space="0" w:color="000000"/>
            </w:tcBorders>
            <w:vAlign w:val="center"/>
          </w:tcPr>
          <w:p w:rsidR="00F542DB" w:rsidRPr="00612C5F" w:rsidRDefault="00F068E8">
            <w:pPr>
              <w:pStyle w:val="normal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12C5F">
              <w:rPr>
                <w:rFonts w:ascii="Times New Roman" w:eastAsia="Times New Roman" w:hAnsi="Times New Roman" w:cs="Times New Roman"/>
                <w:sz w:val="24"/>
                <w:szCs w:val="24"/>
              </w:rPr>
              <w:t>Increased</w:t>
            </w:r>
          </w:p>
        </w:tc>
      </w:tr>
    </w:tbl>
    <w:p w:rsidR="00F542DB" w:rsidRPr="00612C5F" w:rsidRDefault="00F068E8">
      <w:pPr>
        <w:pStyle w:val="normal1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br w:type="page"/>
      </w:r>
    </w:p>
    <w:p w:rsidR="00F542DB" w:rsidRPr="00612C5F" w:rsidRDefault="00F068E8">
      <w:pPr>
        <w:pStyle w:val="normal1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 xml:space="preserve">HPA-Inflammation model: </w:t>
      </w:r>
    </w:p>
    <w:p w:rsidR="00F542DB" w:rsidRPr="00612C5F" w:rsidRDefault="00F068E8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Calibrated drivers were incorporated to model circadian rhythms in the peripheral and HPA axes, as per the previous study </w:t>
      </w: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</w:rPr>
        <w:t>Somvanshi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et al., 2020)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. The 24hr entrainment rhythm of SCN is integrated by the variable circadian driver </w:t>
      </w:r>
      <w:proofErr w:type="gramStart"/>
      <w:r w:rsidRPr="00612C5F">
        <w:rPr>
          <w:rFonts w:ascii="Times New Roman" w:eastAsia="Times New Roman" w:hAnsi="Times New Roman" w:cs="Times New Roman"/>
          <w:i/>
          <w:iCs/>
          <w:sz w:val="24"/>
          <w:szCs w:val="24"/>
        </w:rPr>
        <w:t>cir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>1(</w:t>
      </w:r>
      <w:proofErr w:type="gramEnd"/>
      <w:r w:rsidRPr="00612C5F">
        <w:rPr>
          <w:rFonts w:ascii="Times New Roman" w:eastAsia="Times New Roman" w:hAnsi="Times New Roman" w:cs="Times New Roman"/>
          <w:sz w:val="24"/>
          <w:szCs w:val="24"/>
        </w:rPr>
        <w:t>t) (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Eq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1), wherein omega (</w:t>
      </w:r>
      <m:oMath>
        <m:r>
          <w:rPr>
            <w:rFonts w:ascii="Cambria Math" w:hAnsi="Cambria Math"/>
          </w:rPr>
          <m:t>Ω=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2*pi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) is used for modeling the 24 hr periodic cycle for calculating the circadian rhythm for Hypothalamus variable </w:t>
      </w:r>
      <w:proofErr w:type="spellStart"/>
      <w:r w:rsidRPr="00612C5F">
        <w:rPr>
          <w:rFonts w:ascii="Times New Roman" w:eastAsia="Times New Roman" w:hAnsi="Times New Roman" w:cs="Times New Roman"/>
          <w:i/>
          <w:iCs/>
          <w:sz w:val="24"/>
          <w:szCs w:val="24"/>
        </w:rPr>
        <w:t>i</w:t>
      </w:r>
      <w:proofErr w:type="spellEnd"/>
      <w:r w:rsidRPr="00612C5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e., 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>CRH (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Eq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3),</w:t>
      </w:r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m:oMath>
        <m:r>
          <w:rPr>
            <w:rFonts w:ascii="Cambria Math" w:hAnsi="Cambria Math"/>
          </w:rPr>
          <m:t>cir1(t)=2*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1+cos(Ω*t)</m:t>
            </m:r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— (1)</w:t>
      </w:r>
    </w:p>
    <w:p w:rsidR="00F542DB" w:rsidRPr="00612C5F" w:rsidRDefault="00F542DB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42DB" w:rsidRPr="00612C5F" w:rsidRDefault="00F068E8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HPA axis module details the signalling dynamics between the variables by the following ODEs, and in which the circadian drive from adrenal to peripheral clock is represented by the </w:t>
      </w:r>
      <w:proofErr w:type="gramStart"/>
      <w:r w:rsidRPr="00612C5F">
        <w:rPr>
          <w:rFonts w:ascii="Times New Roman" w:eastAsia="Times New Roman" w:hAnsi="Times New Roman" w:cs="Times New Roman"/>
          <w:i/>
          <w:iCs/>
          <w:sz w:val="24"/>
          <w:szCs w:val="24"/>
        </w:rPr>
        <w:t>cir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>2(</w:t>
      </w:r>
      <w:proofErr w:type="gram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t) variable. The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equation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GR</m:t>
                </m:r>
              </m:sub>
            </m:sSub>
          </m:num>
          <m:den>
            <m:r>
              <w:rPr>
                <w:rFonts w:ascii="Cambria Math" w:hAnsi="Cambria Math"/>
              </w:rPr>
              <m:t>K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GR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GR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den>
        </m:f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integrate</w:t>
      </w:r>
      <w:proofErr w:type="gram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the negative feedback of GR on the circadian expression of cortisol.  </w:t>
      </w:r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m:oMath>
        <m:r>
          <w:rPr>
            <w:rFonts w:ascii="Cambria Math" w:hAnsi="Cambria Math"/>
          </w:rPr>
          <m:t>cir2(t)=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4-cir1(t)</m:t>
            </m:r>
          </m:e>
        </m:d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K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GR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K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GR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GR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</m:den>
            </m:f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— (2)</w:t>
      </w:r>
    </w:p>
    <w:p w:rsidR="00F542DB" w:rsidRPr="00612C5F" w:rsidRDefault="00F542DB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542DB" w:rsidRPr="00612C5F" w:rsidRDefault="00F068E8">
      <w:pPr>
        <w:pStyle w:val="normal1"/>
        <w:spacing w:after="160" w:line="259" w:lineRule="auto"/>
        <w:ind w:right="-613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For defining the circadian dynamics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Corticotropin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releasing hormone (CRH) following ODE is use</w:t>
      </w:r>
      <w:r w:rsidRPr="00612C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dCRH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strs</m:t>
                </m:r>
              </m:sub>
            </m:sSub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1+st</m:t>
                </m:r>
              </m:e>
            </m:d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GR1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n1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GR1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n1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+GR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n1</m:t>
                        </m:r>
                      </m:sup>
                    </m:sSup>
                  </m:den>
                </m:f>
              </m:e>
            </m:d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cir1(t)</m:t>
                </m:r>
              </m:e>
            </m:d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1+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crh</m:t>
                    </m:r>
                  </m:sub>
                </m:sSub>
                <m:r>
                  <w:rPr>
                    <w:rFonts w:ascii="Cambria Math" w:hAnsi="Cambria Math"/>
                  </w:rPr>
                  <m:t>*TNF</m:t>
                </m:r>
              </m:e>
            </m:d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crh</m:t>
                </m:r>
              </m:sub>
            </m:sSub>
            <m:r>
              <w:rPr>
                <w:rFonts w:ascii="Cambria Math" w:hAnsi="Cambria Math"/>
              </w:rPr>
              <m:t>*CRH</m:t>
            </m:r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</w:p>
    <w:p w:rsidR="00F542DB" w:rsidRPr="00612C5F" w:rsidRDefault="00F068E8">
      <w:pPr>
        <w:pStyle w:val="normal1"/>
        <w:spacing w:after="160" w:line="259" w:lineRule="auto"/>
        <w:ind w:right="-613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— (3)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Where, the stress dependent activation rate of the CRH expression defined by the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strs</m:t>
            </m:r>
          </m:sub>
        </m:sSub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1+st</m:t>
            </m:r>
          </m:e>
        </m:d>
      </m:oMath>
      <w:r w:rsidRPr="00612C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crh</m:t>
                </m:r>
              </m:sub>
            </m:sSub>
            <m:r>
              <w:rPr>
                <w:rFonts w:ascii="Cambria Math" w:hAnsi="Cambria Math"/>
              </w:rPr>
              <m:t>*TNF</m:t>
            </m:r>
          </m:e>
        </m:d>
      </m:oMath>
      <w:r w:rsidRPr="00612C5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expression is for the positive feedback of pro-inflammatory cytokine on the CRH, the negative feedback by GR represents by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GR1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n1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GR1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n1</m:t>
                    </m:r>
                  </m:sup>
                </m:sSup>
                <m:r>
                  <w:rPr>
                    <w:rFonts w:ascii="Cambria Math" w:hAnsi="Cambria Math"/>
                  </w:rPr>
                  <m:t>+GR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n1</m:t>
                    </m:r>
                  </m:sup>
                </m:sSup>
              </m:den>
            </m:f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, and degradation rate by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(k</m:t>
            </m:r>
          </m:e>
          <m:sub>
            <m:r>
              <w:rPr>
                <w:rFonts w:ascii="Cambria Math" w:hAnsi="Cambria Math"/>
              </w:rPr>
              <m:t>crh</m:t>
            </m:r>
          </m:sub>
        </m:sSub>
        <m:r>
          <w:rPr>
            <w:rFonts w:ascii="Cambria Math" w:hAnsi="Cambria Math"/>
          </w:rPr>
          <m:t>*CRH)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:rsidR="00F542DB" w:rsidRPr="00612C5F" w:rsidRDefault="00F068E8">
      <w:pPr>
        <w:pStyle w:val="normal1"/>
        <w:spacing w:after="160" w:line="259" w:lineRule="auto"/>
        <w:ind w:right="-6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Adrenocorticotropic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hormone (ACTH) circadian dynamic represented by the following ODE,</w:t>
      </w:r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dACTH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acth1</m:t>
                </m:r>
              </m:sub>
            </m:sSub>
            <m:r>
              <w:rPr>
                <w:rFonts w:ascii="Cambria Math" w:hAnsi="Cambria Math"/>
              </w:rPr>
              <m:t>*CRH*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GR1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n1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GR1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n1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+GR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n1</m:t>
                        </m:r>
                      </m:sup>
                    </m:sSup>
                  </m:den>
                </m:f>
              </m:e>
            </m:d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1+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acth2</m:t>
                    </m:r>
                  </m:sub>
                </m:sSub>
                <m:r>
                  <w:rPr>
                    <w:rFonts w:ascii="Cambria Math" w:hAnsi="Cambria Math"/>
                  </w:rPr>
                  <m:t>*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TN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n2</m:t>
                            </m:r>
                          </m:sup>
                        </m:sSup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m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tnf3</m:t>
                                </m:r>
                              </m:sub>
                            </m:sSub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</w:rPr>
                          <m:t>+TN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F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n2</m:t>
                            </m:r>
                          </m:sup>
                        </m:sSup>
                      </m:den>
                    </m:f>
                  </m:e>
                </m:d>
              </m:e>
            </m:d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acth</m:t>
                </m:r>
              </m:sub>
            </m:sSub>
            <m:r>
              <w:rPr>
                <w:rFonts w:ascii="Cambria Math" w:hAnsi="Cambria Math"/>
              </w:rPr>
              <m:t>*ACTH</m:t>
            </m:r>
          </m:e>
        </m:d>
      </m:oMath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— (4)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rate of ACTH synthesis based on CRH stimulation depicts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m:oMath>
        <w:proofErr w:type="gramEnd"/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(V</m:t>
            </m:r>
          </m:e>
          <m:sub>
            <m:r>
              <w:rPr>
                <w:rFonts w:ascii="Cambria Math" w:hAnsi="Cambria Math"/>
              </w:rPr>
              <m:t>acth1</m:t>
            </m:r>
          </m:sub>
        </m:sSub>
        <m:r>
          <w:rPr>
            <w:rFonts w:ascii="Cambria Math" w:hAnsi="Cambria Math"/>
          </w:rPr>
          <m:t>*CRH)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, positive feedback of TNF for regulating the CRH production defined by the hills equation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acth2</m:t>
                </m:r>
              </m:sub>
            </m:sSub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TN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tnf3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+TN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n2</m:t>
                        </m:r>
                      </m:sup>
                    </m:sSup>
                  </m:den>
                </m:f>
              </m:e>
            </m:d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. The negative regulation of GR on the production of CRH in pituitary gland is integrated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m:oMath>
        <w:proofErr w:type="gramEnd"/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GR1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n1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GR1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n1</m:t>
                    </m:r>
                  </m:sup>
                </m:sSup>
                <m:r>
                  <w:rPr>
                    <w:rFonts w:ascii="Cambria Math" w:hAnsi="Cambria Math"/>
                  </w:rPr>
                  <m:t>+GR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n1</m:t>
                    </m:r>
                  </m:sup>
                </m:sSup>
              </m:den>
            </m:f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</w:p>
    <w:p w:rsidR="00F542DB" w:rsidRPr="00612C5F" w:rsidRDefault="00F068E8">
      <w:pPr>
        <w:pStyle w:val="normal1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rhythmic expression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StAR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>Steroidogenic</w:t>
      </w:r>
      <w:proofErr w:type="spellEnd"/>
      <w:r w:rsidRPr="00612C5F">
        <w:rPr>
          <w:rFonts w:ascii="Times New Roman" w:eastAsia="Times New Roman" w:hAnsi="Times New Roman" w:cs="Times New Roman"/>
          <w:color w:val="0E101A"/>
          <w:sz w:val="24"/>
          <w:szCs w:val="24"/>
        </w:rPr>
        <w:t xml:space="preserve"> Acute Regulatory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) protein is enumerated by the given ODE, </w:t>
      </w:r>
    </w:p>
    <w:p w:rsidR="00F542DB" w:rsidRPr="00612C5F" w:rsidRDefault="00270EAE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</w:rPr>
              </m:ctrlPr>
            </m:sSub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dStARp</m:t>
                  </m:r>
                </m:num>
                <m:den>
                  <m:r>
                    <w:rPr>
                      <w:rFonts w:ascii="Cambria Math" w:hAnsi="Cambria Math"/>
                    </w:rPr>
                    <m:t>dt</m:t>
                  </m:r>
                </m:den>
              </m:f>
              <m:r>
                <w:rPr>
                  <w:rFonts w:ascii="Cambria Math" w:hAnsi="Cambria Math"/>
                </w:rPr>
                <m:t>=s0*(V</m:t>
              </m:r>
            </m:e>
            <m:sub>
              <m:r>
                <w:rPr>
                  <w:rFonts w:ascii="Cambria Math" w:hAnsi="Cambria Math"/>
                </w:rPr>
                <m:t>starp1</m:t>
              </m:r>
            </m:sub>
          </m:sSub>
          <m:r>
            <w:rPr>
              <w:rFonts w:ascii="Cambria Math" w:hAnsi="Cambria Math"/>
            </w:rPr>
            <m:t>*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ACTH*cir2(t)</m:t>
              </m:r>
            </m:e>
          </m:d>
          <m:r>
            <w:rPr>
              <w:rFonts w:ascii="Cambria Math" w:hAnsi="Cambria Math"/>
            </w:rPr>
            <m:t>*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1+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starp2</m:t>
                  </m:r>
                </m:sub>
              </m:sSub>
              <m:r>
                <w:rPr>
                  <w:rFonts w:ascii="Cambria Math" w:hAnsi="Cambria Math"/>
                </w:rPr>
                <m:t>*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TN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n2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K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m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tnf3</m:t>
                              </m:r>
                            </m:sub>
                          </m:sSub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n2</m:t>
                          </m:r>
                        </m:sup>
                      </m:sSup>
                      <m:r>
                        <w:rPr>
                          <w:rFonts w:ascii="Cambria Math" w:hAnsi="Cambria Math"/>
                        </w:rPr>
                        <m:t>+TN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F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n2</m:t>
                          </m:r>
                        </m:sup>
                      </m:sSup>
                    </m:den>
                  </m:f>
                </m:e>
              </m:d>
              <m:r>
                <w:rPr>
                  <w:rFonts w:ascii="Cambria Math" w:hAnsi="Cambria Math"/>
                </w:rPr>
                <m:t>*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Kil6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Kil6+IL6</m:t>
                      </m:r>
                    </m:den>
                  </m:f>
                </m:e>
              </m:d>
            </m:e>
          </m:d>
        </m:oMath>
      </m:oMathPara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m:oMath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starp</m:t>
            </m:r>
          </m:sub>
        </m:sSub>
        <m:r>
          <w:rPr>
            <w:rFonts w:ascii="Cambria Math" w:hAnsi="Cambria Math"/>
          </w:rPr>
          <m:t>*StARp)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— (5)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stimulation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StARp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through ACTH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signaling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is expressed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m:oMath>
        <w:proofErr w:type="gramEnd"/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(V</m:t>
            </m:r>
          </m:e>
          <m:sub>
            <m:r>
              <w:rPr>
                <w:rFonts w:ascii="Cambria Math" w:hAnsi="Cambria Math"/>
              </w:rPr>
              <m:t>starp1</m:t>
            </m:r>
          </m:sub>
        </m:sSub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ACTH*cir2</m:t>
            </m:r>
          </m:e>
        </m:d>
        <m:r>
          <w:rPr>
            <w:rFonts w:ascii="Cambria Math" w:hAnsi="Cambria Math"/>
          </w:rPr>
          <m:t>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, wherein </w:t>
      </w:r>
      <w:r w:rsidRPr="00612C5F">
        <w:rPr>
          <w:rFonts w:ascii="Times New Roman" w:eastAsia="Times New Roman" w:hAnsi="Times New Roman" w:cs="Times New Roman"/>
          <w:i/>
          <w:iCs/>
          <w:sz w:val="24"/>
          <w:szCs w:val="24"/>
        </w:rPr>
        <w:t>cir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2(t) represents the adrenal circadian drive for physiological expression periodicity. The cumulative feedback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proinflammatory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cytokines on the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StARp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stimulation is represented by the respective hills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equations </w:t>
      </w:r>
      <m:oMath>
        <w:proofErr w:type="gramEnd"/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starp2</m:t>
                </m:r>
              </m:sub>
            </m:sSub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TN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tnf3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+TN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n2</m:t>
                        </m:r>
                      </m:sup>
                    </m:sSup>
                  </m:den>
                </m:f>
              </m:e>
            </m:d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Kil6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Kil6+IL6</m:t>
                    </m:r>
                  </m:den>
                </m:f>
              </m:e>
            </m:d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</w:t>
      </w:r>
    </w:p>
    <w:p w:rsidR="00F542DB" w:rsidRPr="00612C5F" w:rsidRDefault="00F068E8">
      <w:pPr>
        <w:pStyle w:val="normal1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Cortisol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activation via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StARp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is determined by the following ODE, </w:t>
      </w:r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dCORT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cort</m:t>
                </m:r>
              </m:sub>
            </m:sSub>
            <m:r>
              <w:rPr>
                <w:rFonts w:ascii="Cambria Math" w:hAnsi="Cambria Math"/>
              </w:rPr>
              <m:t>*StARp-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cort</m:t>
                </m:r>
              </m:sub>
            </m:sSub>
            <m:r>
              <w:rPr>
                <w:rFonts w:ascii="Cambria Math" w:hAnsi="Cambria Math"/>
              </w:rPr>
              <m:t>*CORT</m:t>
            </m:r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— (6)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Where,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(V</m:t>
            </m:r>
          </m:e>
          <m:sub>
            <m:r>
              <w:rPr>
                <w:rFonts w:ascii="Cambria Math" w:hAnsi="Cambria Math"/>
              </w:rPr>
              <m:t>cort</m:t>
            </m:r>
          </m:sub>
        </m:sSub>
        <m:r>
          <w:rPr>
            <w:rFonts w:ascii="Cambria Math" w:hAnsi="Cambria Math"/>
          </w:rPr>
          <m:t>*StARp)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shows the rate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cortisol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activation by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StARp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(k</m:t>
            </m:r>
          </m:e>
          <m:sub>
            <m:r>
              <w:rPr>
                <w:rFonts w:ascii="Cambria Math" w:hAnsi="Cambria Math"/>
              </w:rPr>
              <m:t>cort</m:t>
            </m:r>
          </m:sub>
        </m:sSub>
        <m:r>
          <w:rPr>
            <w:rFonts w:ascii="Cambria Math" w:hAnsi="Cambria Math"/>
          </w:rPr>
          <m:t>*CORT)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represents degradation rate of cortisol.</w:t>
      </w:r>
    </w:p>
    <w:p w:rsidR="00F542DB" w:rsidRPr="00612C5F" w:rsidRDefault="00F068E8">
      <w:pPr>
        <w:pStyle w:val="normal1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Time-dependent release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Dexamethasone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in the biological system,</w:t>
      </w:r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dDex1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=Dex-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dex1</m:t>
            </m:r>
          </m:sub>
        </m:sSub>
        <m:r>
          <w:rPr>
            <w:rFonts w:ascii="Cambria Math" w:hAnsi="Cambria Math"/>
          </w:rPr>
          <m:t>*Dex1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— (7)</w:t>
      </w:r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dDex2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dex2</m:t>
            </m:r>
          </m:sub>
        </m:sSub>
        <m:r>
          <w:rPr>
            <w:rFonts w:ascii="Cambria Math" w:hAnsi="Cambria Math"/>
          </w:rPr>
          <m:t>*Dex1-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dex2</m:t>
            </m:r>
          </m:sub>
        </m:sSub>
        <m:r>
          <w:rPr>
            <w:rFonts w:ascii="Cambria Math" w:hAnsi="Cambria Math"/>
          </w:rPr>
          <m:t>*Dex2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— (8)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In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Eqs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8 and 9, the ingested, plasma, and delayed amounts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dexamethasone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in the system are represented by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Dex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>, Dex1, and Dex2, respectively.</w:t>
      </w:r>
    </w:p>
    <w:p w:rsidR="00F542DB" w:rsidRPr="00612C5F" w:rsidRDefault="00F068E8">
      <w:pPr>
        <w:pStyle w:val="normal1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amount of peripheral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cortisol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available after the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StARp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stimulation is calculated by given ODE,</w:t>
      </w:r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dCORTp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τc</m:t>
                </m:r>
              </m:den>
            </m:f>
          </m:e>
        </m:d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CORT+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fac*Dex2</m:t>
                </m:r>
              </m:e>
            </m:d>
            <m:r>
              <w:rPr>
                <w:rFonts w:ascii="Cambria Math" w:hAnsi="Cambria Math"/>
              </w:rPr>
              <m:t>-CORTp</m:t>
            </m:r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— (9)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τc</m:t>
            </m:r>
          </m:den>
        </m:f>
        <m:r>
          <w:rPr>
            <w:rFonts w:ascii="Cambria Math" w:hAnsi="Cambria Math"/>
          </w:rPr>
          <m:t>*(CORT+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fac*Dex2</m:t>
            </m:r>
          </m:e>
        </m:d>
        <m:r>
          <w:rPr>
            <w:rFonts w:ascii="Cambria Math" w:hAnsi="Cambria Math"/>
          </w:rPr>
          <m:t>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represents fraction of cytosolic cortisol and Dex getting released with a delay </w:t>
      </w:r>
      <m:oMath>
        <m:r>
          <w:rPr>
            <w:rFonts w:ascii="Cambria Math" w:hAnsi="Cambria Math"/>
          </w:rPr>
          <m:t>(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τc</m:t>
            </m:r>
          </m:den>
        </m:f>
        <m:r>
          <w:rPr>
            <w:rFonts w:ascii="Cambria Math" w:hAnsi="Cambria Math"/>
          </w:rPr>
          <m:t>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in the peripheral system, and </w:t>
      </w:r>
      <m:oMath>
        <m:r>
          <w:rPr>
            <w:rFonts w:ascii="Cambria Math" w:hAnsi="Cambria Math"/>
          </w:rPr>
          <m:t>(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τc</m:t>
            </m:r>
          </m:den>
        </m:f>
        <m:r>
          <w:rPr>
            <w:rFonts w:ascii="Cambria Math" w:hAnsi="Cambria Math"/>
          </w:rPr>
          <m:t>*CORTp)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is a rate limiting term for the corticosteroid release.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>The time dependent changes in GR mRNA transcript concentration is calculated by the given ODE,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dG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mrna</m:t>
                </m:r>
              </m:sub>
            </m:sSub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GRmrna</m:t>
            </m:r>
          </m:sub>
        </m:sSub>
        <m:r>
          <w:rPr>
            <w:rFonts w:ascii="Cambria Math" w:hAnsi="Cambria Math"/>
          </w:rPr>
          <m:t>*(1-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G</m:t>
            </m:r>
            <m:r>
              <w:rPr>
                <w:rFonts w:ascii="Cambria Math" w:hAnsi="Cambria Math"/>
              </w:rPr>
              <m:t>Rn1</m:t>
            </m:r>
          </m:sub>
        </m:sSub>
        <m:r>
          <w:rPr>
            <w:rFonts w:ascii="Cambria Math" w:hAnsi="Cambria Math"/>
          </w:rPr>
          <m:t>)-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GRmrna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GR</m:t>
            </m:r>
          </m:e>
          <m:sub>
            <m:r>
              <w:rPr>
                <w:rFonts w:ascii="Cambria Math" w:hAnsi="Cambria Math"/>
              </w:rPr>
              <m:t>mrna</m:t>
            </m:r>
          </m:sub>
        </m:sSub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— (10)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Where, rate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GRmRNA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transcription with a self-repression “</w:t>
      </w:r>
      <m:oMath>
        <m:r>
          <w:rPr>
            <w:rFonts w:ascii="Cambria Math" w:hAnsi="Cambria Math"/>
          </w:rPr>
          <m:t>(1-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GRn1</m:t>
            </m:r>
          </m:sub>
        </m:sSub>
        <m:r>
          <w:rPr>
            <w:rFonts w:ascii="Cambria Math" w:hAnsi="Cambria Math"/>
          </w:rPr>
          <m:t>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” is represented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m:oMath>
        <w:proofErr w:type="gramEnd"/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GRmrna</m:t>
            </m:r>
          </m:sub>
        </m:sSub>
        <m:r>
          <w:rPr>
            <w:rFonts w:ascii="Cambria Math" w:hAnsi="Cambria Math"/>
          </w:rPr>
          <m:t>*(1-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GRn1</m:t>
            </m:r>
          </m:sub>
        </m:sSub>
        <m:r>
          <w:rPr>
            <w:rFonts w:ascii="Cambria Math" w:hAnsi="Cambria Math"/>
          </w:rPr>
          <m:t>))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, and the degradation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GRmRNA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is enumerated by the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GRmrna</m:t>
            </m:r>
          </m:sub>
        </m:sSub>
        <m:r>
          <w:rPr>
            <w:rFonts w:ascii="Cambria Math" w:hAnsi="Cambria Math"/>
          </w:rPr>
          <m:t>*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GR</m:t>
            </m:r>
          </m:e>
          <m:sub>
            <m:r>
              <w:rPr>
                <w:rFonts w:ascii="Cambria Math" w:hAnsi="Cambria Math"/>
              </w:rPr>
              <m:t>mrna</m:t>
            </m:r>
          </m:sub>
        </m:sSub>
        <m:r>
          <w:rPr>
            <w:rFonts w:ascii="Cambria Math" w:hAnsi="Cambria Math"/>
          </w:rPr>
          <m:t>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Translated GR protein dynamics is estimated by the given ODE,  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dG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prot</m:t>
                </m:r>
              </m:sub>
            </m:sSub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(V</m:t>
            </m:r>
          </m:e>
          <m:sub>
            <m:r>
              <w:rPr>
                <w:rFonts w:ascii="Cambria Math" w:hAnsi="Cambria Math"/>
              </w:rPr>
              <m:t>GRprot</m:t>
            </m:r>
          </m:sub>
        </m:sSub>
        <m:r>
          <w:rPr>
            <w:rFonts w:ascii="Cambria Math" w:hAnsi="Cambria Math"/>
          </w:rPr>
          <m:t>*G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mrna</m:t>
            </m:r>
          </m:sub>
        </m:sSub>
        <m:r>
          <w:rPr>
            <w:rFonts w:ascii="Cambria Math" w:hAnsi="Cambria Math"/>
          </w:rPr>
          <m:t>+fr*kre*GR-kon*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CORTp</m:t>
            </m:r>
          </m:e>
        </m:d>
        <m:r>
          <w:rPr>
            <w:rFonts w:ascii="Cambria Math" w:hAnsi="Cambria Math"/>
          </w:rPr>
          <m:t>*G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prot</m:t>
            </m:r>
          </m:sub>
        </m:sSub>
      </m:oMath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</w:t>
      </w:r>
      <m:oMath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GRprot</m:t>
            </m:r>
          </m:sub>
        </m:sSub>
        <m:r>
          <w:rPr>
            <w:rFonts w:ascii="Cambria Math" w:hAnsi="Cambria Math"/>
          </w:rPr>
          <m:t>*G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prot</m:t>
            </m:r>
          </m:sub>
        </m:sSub>
        <m:r>
          <w:rPr>
            <w:rFonts w:ascii="Cambria Math" w:hAnsi="Cambria Math"/>
          </w:rPr>
          <m:t>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— (11)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Where, the rate GR translation via accessible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GRmRNA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(V</m:t>
            </m:r>
          </m:e>
          <m:sub>
            <m:r>
              <w:rPr>
                <w:rFonts w:ascii="Cambria Math" w:hAnsi="Cambria Math"/>
              </w:rPr>
              <m:t>GRprot</m:t>
            </m:r>
          </m:sub>
        </m:sSub>
        <m:r>
          <w:rPr>
            <w:rFonts w:ascii="Cambria Math" w:hAnsi="Cambria Math"/>
          </w:rPr>
          <m:t>*G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mrna</m:t>
            </m:r>
          </m:sub>
        </m:sSub>
        <m:r>
          <w:rPr>
            <w:rFonts w:ascii="Cambria Math" w:hAnsi="Cambria Math"/>
          </w:rPr>
          <m:t>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and the concentration of recycled fraction of nuclear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GR  </w:t>
      </w:r>
      <m:oMath>
        <w:proofErr w:type="gramEnd"/>
        <m:r>
          <w:rPr>
            <w:rFonts w:ascii="Cambria Math" w:hAnsi="Cambria Math"/>
          </w:rPr>
          <m:t>(fr*kre*GR)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,  cumulatively represents the synthesis of GR protein. The </w:t>
      </w:r>
      <m:oMath>
        <m:r>
          <w:rPr>
            <w:rFonts w:ascii="Cambria Math" w:hAnsi="Cambria Math"/>
          </w:rPr>
          <m:t>(kon*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CORTp</m:t>
            </m:r>
          </m:e>
        </m:d>
        <m:r>
          <w:rPr>
            <w:rFonts w:ascii="Cambria Math" w:hAnsi="Cambria Math"/>
          </w:rPr>
          <m:t>*G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prot</m:t>
            </m:r>
          </m:sub>
        </m:sSub>
        <m:r>
          <w:rPr>
            <w:rFonts w:ascii="Cambria Math" w:hAnsi="Cambria Math"/>
          </w:rPr>
          <m:t>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equation stand for negative effect of GR-cortisol complex on the synthesis of GR protein, and the natural rate of GR protein degradation is formulated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as </w:t>
      </w:r>
      <m:oMath>
        <w:proofErr w:type="gramEnd"/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GRprot</m:t>
            </m:r>
          </m:sub>
        </m:sSub>
        <m:r>
          <w:rPr>
            <w:rFonts w:ascii="Cambria Math" w:hAnsi="Cambria Math"/>
          </w:rPr>
          <m:t>*G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prot</m:t>
            </m:r>
          </m:sub>
        </m:sSub>
        <m:r>
          <w:rPr>
            <w:rFonts w:ascii="Cambria Math" w:hAnsi="Cambria Math"/>
          </w:rPr>
          <m:t>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.            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time dynamics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cytosolic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GR is enumerated by the given ODE, </w:t>
      </w:r>
    </w:p>
    <w:p w:rsidR="00F542DB" w:rsidRPr="00612C5F" w:rsidRDefault="00270EAE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dG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cyt</m:t>
                </m:r>
              </m:sub>
            </m:sSub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=kon*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CORTp</m:t>
            </m:r>
          </m:e>
        </m:d>
        <m:r>
          <w:rPr>
            <w:rFonts w:ascii="Cambria Math" w:hAnsi="Cambria Math"/>
          </w:rPr>
          <m:t>*G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prot</m:t>
            </m:r>
          </m:sub>
        </m:sSub>
        <m:r>
          <w:rPr>
            <w:rFonts w:ascii="Cambria Math" w:hAnsi="Cambria Math"/>
          </w:rPr>
          <m:t>-krt*G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cyt</m:t>
            </m:r>
          </m:sub>
        </m:sSub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n4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TN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n4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n4</m:t>
                    </m:r>
                  </m:sup>
                </m:sSup>
              </m:den>
            </m:f>
          </m:e>
        </m:d>
      </m:oMath>
      <w:r w:rsidR="00F068E8"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— (12)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Where, the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cytosolic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concentration of GR depends on the amount of GR getting used up for GR-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cortisol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complex (</w:t>
      </w:r>
      <m:oMath>
        <m:r>
          <w:rPr>
            <w:rFonts w:ascii="Cambria Math" w:hAnsi="Cambria Math"/>
          </w:rPr>
          <m:t>kon*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CORTp</m:t>
            </m:r>
          </m:e>
        </m:d>
        <m:r>
          <w:rPr>
            <w:rFonts w:ascii="Cambria Math" w:hAnsi="Cambria Math"/>
          </w:rPr>
          <m:t>*G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prot</m:t>
            </m:r>
          </m:sub>
        </m:sSub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) and fraction that is transferred in the nucleus as an active GR-cortisol complex.         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dynamic concentration of Nuclear GR is calculated by the given ODE, 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dGR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=krt*G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cyt</m:t>
            </m:r>
          </m:sub>
        </m:sSub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n4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TN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n4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n4</m:t>
                    </m:r>
                  </m:sup>
                </m:sSup>
              </m:den>
            </m:f>
          </m:e>
        </m:d>
        <m:r>
          <w:rPr>
            <w:rFonts w:ascii="Cambria Math" w:hAnsi="Cambria Math"/>
          </w:rPr>
          <m:t>-kre*GR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— (13)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>In eq14, the amount of nuclear GR-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cortisol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complex is represented by the translocation rate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cytosolic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GR-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cortisol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complex with negative feedback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proinflammatory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cytokines </w:t>
      </w:r>
      <m:oMath>
        <w:proofErr w:type="gramEnd"/>
        <m:r>
          <w:rPr>
            <w:rFonts w:ascii="Cambria Math" w:hAnsi="Cambria Math"/>
          </w:rPr>
          <m:t>krt*G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cyt</m:t>
            </m:r>
          </m:sub>
        </m:sSub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n4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TN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n4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n4</m:t>
                    </m:r>
                  </m:sup>
                </m:sSup>
              </m:den>
            </m:f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, and also depends on the rate at which nuclear GR recycles back to cytosol.    </w:t>
      </w:r>
    </w:p>
    <w:p w:rsidR="00F542DB" w:rsidRPr="00612C5F" w:rsidRDefault="00F068E8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>To reproduce the physiological phase differences between the HPA axis and immune variables, we incorporated an additional circadian drive (</w:t>
      </w:r>
      <w:proofErr w:type="gramStart"/>
      <w:r w:rsidRPr="00612C5F">
        <w:rPr>
          <w:rFonts w:ascii="Times New Roman" w:eastAsia="Times New Roman" w:hAnsi="Times New Roman" w:cs="Times New Roman"/>
          <w:i/>
          <w:iCs/>
          <w:sz w:val="24"/>
          <w:szCs w:val="24"/>
        </w:rPr>
        <w:t>cir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>3(</w:t>
      </w:r>
      <w:proofErr w:type="gram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t): Rhythm in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phagocytic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cells) to provide a correct phase difference of ~ 5.5 - 6 hr </w:t>
      </w: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</w:rPr>
        <w:t>(Bauer et al., 1994; Wright et al., 2015)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m:oMath>
        <m:r>
          <w:rPr>
            <w:rFonts w:ascii="Cambria Math" w:hAnsi="Cambria Math"/>
          </w:rPr>
          <m:t>cir3(t)=2*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1+cos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Ω*t+0.5</m:t>
                </m:r>
              </m:e>
            </m:d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— (14)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basal or disease-causing levels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lipopolysaccharide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(LPS) is calculated by the given ODE, </w:t>
      </w:r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dLPS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lps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1+</m:t>
            </m:r>
          </m:e>
        </m:d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lps</m:t>
            </m:r>
          </m:sub>
        </m:sSub>
        <m:r>
          <w:rPr>
            <w:rFonts w:ascii="Cambria Math" w:hAnsi="Cambria Math"/>
          </w:rPr>
          <m:t>*LPS*Phg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— (15)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>Where, basal concentration of LPS in the system represented by the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lps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1+</m:t>
            </m:r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>), and the rate of phagocytic cleaning of LPS is calculated by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lps</m:t>
            </m:r>
          </m:sub>
        </m:sSub>
        <m:r>
          <w:rPr>
            <w:rFonts w:ascii="Cambria Math" w:hAnsi="Cambria Math"/>
          </w:rPr>
          <m:t>*LPS*Phg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F542DB" w:rsidRPr="00612C5F" w:rsidRDefault="00F068E8">
      <w:pPr>
        <w:pStyle w:val="normal1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>The dynamic functioning of Phagocytes is defined by given ODE,</w:t>
      </w:r>
    </w:p>
    <w:p w:rsidR="00F542DB" w:rsidRPr="00612C5F" w:rsidRDefault="00270EAE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dPhg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phg1</m:t>
            </m:r>
          </m:sub>
        </m:sSub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cir3(t)+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phg2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*TNF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tnf1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+TNF</m:t>
                        </m:r>
                      </m:den>
                    </m:f>
                  </m:e>
                </m:d>
              </m:e>
            </m:d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tgf1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tgf1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+TGF</m:t>
                    </m:r>
                  </m:den>
                </m:f>
              </m:e>
            </m:d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IL10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IL10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+IL10</m:t>
                    </m:r>
                  </m:den>
                </m:f>
              </m:e>
            </m:d>
          </m:e>
        </m:d>
        <m:r>
          <w:rPr>
            <w:rFonts w:ascii="Cambria Math" w:hAnsi="Cambria Math"/>
          </w:rPr>
          <m:t>*</m:t>
        </m:r>
      </m:oMath>
      <w:r w:rsidR="00F068E8"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m:oMath>
        <m:r>
          <w:rPr>
            <w:rFonts w:ascii="Cambria Math" w:hAnsi="Cambria Math"/>
          </w:rPr>
          <m:t>LPS-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phg</m:t>
            </m:r>
          </m:sub>
        </m:sSub>
        <m:r>
          <w:rPr>
            <w:rFonts w:ascii="Cambria Math" w:hAnsi="Cambria Math"/>
          </w:rPr>
          <m:t>*Phg</m:t>
        </m:r>
      </m:oMath>
      <w:r w:rsidR="00F068E8"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— (16)</w:t>
      </w:r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dPhg1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1.0</m:t>
                </m:r>
              </m:num>
              <m:den>
                <m:r>
                  <w:rPr>
                    <w:rFonts w:ascii="Cambria Math" w:hAnsi="Cambria Math"/>
                  </w:rPr>
                  <m:t>tp</m:t>
                </m:r>
              </m:den>
            </m:f>
          </m:e>
        </m:d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Phg-Phg1</m:t>
            </m:r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— (17)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Rhythmic stimulation of phagocytes by the LPS and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proinflammatory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cytokine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signaling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defined by the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phg1</m:t>
            </m:r>
          </m:sub>
        </m:sSub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w:rPr>
                    <w:rFonts w:ascii="Cambria Math" w:hAnsi="Cambria Math"/>
                  </w:rPr>
                  <m:t>cir3+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phg2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*TNF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tnf1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+TNF</m:t>
                        </m:r>
                      </m:den>
                    </m:f>
                  </m:e>
                </m:d>
              </m:e>
            </m:d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tgf1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tgf1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+TGF</m:t>
                    </m:r>
                  </m:den>
                </m:f>
              </m:e>
            </m:d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IL10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IL10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+IL10</m:t>
                    </m:r>
                  </m:den>
                </m:f>
              </m:e>
            </m:d>
          </m:e>
        </m:d>
        <m:r>
          <w:rPr>
            <w:rFonts w:ascii="Cambria Math" w:hAnsi="Cambria Math"/>
          </w:rPr>
          <m:t>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along with the negative feedback of anti-inflammatory cytokines. The </w:t>
      </w:r>
      <m:oMath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phg</m:t>
            </m:r>
          </m:sub>
        </m:sSub>
        <m:r>
          <w:rPr>
            <w:rFonts w:ascii="Cambria Math" w:hAnsi="Cambria Math"/>
          </w:rPr>
          <m:t>*Phg)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stand for determining the degraded phagocytes at rate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m:oMath>
        <w:proofErr w:type="gramEnd"/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phg</m:t>
            </m:r>
          </m:sub>
        </m:sSub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</w:p>
    <w:p w:rsidR="00F542DB" w:rsidRPr="00612C5F" w:rsidRDefault="00F068E8">
      <w:pPr>
        <w:pStyle w:val="normal1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dynamic concentration of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>Transforming</w:t>
      </w:r>
      <w:proofErr w:type="gram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growth factor (TGF) is enumerated by the following ODE,  </w:t>
      </w:r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dTGF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tgf1</m:t>
                </m:r>
              </m:sub>
            </m:sSub>
            <m:r>
              <w:rPr>
                <w:rFonts w:ascii="Cambria Math" w:hAnsi="Cambria Math"/>
              </w:rPr>
              <m:t>*Phg+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tgf2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*G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n5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GR2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n5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+G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n5</m:t>
                        </m:r>
                      </m:sup>
                    </m:sSup>
                  </m:den>
                </m:f>
              </m:e>
            </m:d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tgf</m:t>
                </m:r>
              </m:sub>
            </m:sSub>
            <m:r>
              <w:rPr>
                <w:rFonts w:ascii="Cambria Math" w:hAnsi="Cambria Math"/>
              </w:rPr>
              <m:t>*TGF</m:t>
            </m:r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— (18)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>Where, phagocyte and GR based activation of TGF is represented by the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tgf1</m:t>
                </m:r>
              </m:sub>
            </m:sSub>
            <m:r>
              <w:rPr>
                <w:rFonts w:ascii="Cambria Math" w:hAnsi="Cambria Math"/>
              </w:rPr>
              <m:t>*Phg+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tgf2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*G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n5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GR2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n5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+G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n5</m:t>
                        </m:r>
                      </m:sup>
                    </m:sSup>
                  </m:den>
                </m:f>
              </m:e>
            </m:d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>. And (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tgf</m:t>
            </m:r>
          </m:sub>
        </m:sSub>
        <m:r>
          <w:rPr>
            <w:rFonts w:ascii="Cambria Math" w:hAnsi="Cambria Math"/>
          </w:rPr>
          <m:t>*TGF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>) provides the degraded concentration of TGF.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The dynamic concentration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Tumor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Necrosis Factor (TNF) is calculated by the following ODE, </w:t>
      </w:r>
    </w:p>
    <w:p w:rsidR="00F542DB" w:rsidRPr="00612C5F" w:rsidRDefault="00270EAE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dTNF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=tn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+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Phg</m:t>
                </m:r>
              </m:num>
              <m:den>
                <m:r>
                  <w:rPr>
                    <w:rFonts w:ascii="Cambria Math" w:hAnsi="Cambria Math"/>
                  </w:rPr>
                  <m:t>K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phg1</m:t>
                    </m:r>
                  </m:sub>
                </m:sSub>
                <m:r>
                  <w:rPr>
                    <w:rFonts w:ascii="Cambria Math" w:hAnsi="Cambria Math"/>
                  </w:rPr>
                  <m:t>+Phg</m:t>
                </m:r>
              </m:den>
            </m:f>
          </m:e>
        </m:d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tnf1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tnf2</m:t>
                </m:r>
              </m:sub>
            </m:sSub>
            <m:r>
              <w:rPr>
                <w:rFonts w:ascii="Cambria Math" w:hAnsi="Cambria Math"/>
              </w:rPr>
              <m:t>*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TNF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tnf2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+TNF</m:t>
                    </m:r>
                  </m:den>
                </m:f>
              </m:e>
            </m:d>
          </m:e>
        </m:d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tgf2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n6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tgf2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n6</m:t>
                    </m:r>
                  </m:sup>
                </m:sSup>
                <m:r>
                  <w:rPr>
                    <w:rFonts w:ascii="Cambria Math" w:hAnsi="Cambria Math"/>
                  </w:rPr>
                  <m:t>+TG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n6</m:t>
                    </m:r>
                  </m:sup>
                </m:sSup>
              </m:den>
            </m:f>
          </m:e>
        </m:d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1-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IL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n7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il61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n7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+IL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6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n7</m:t>
                        </m:r>
                      </m:sup>
                    </m:sSup>
                  </m:den>
                </m:f>
              </m:e>
            </m:d>
          </m:e>
        </m:d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tnf</m:t>
            </m:r>
          </m:sub>
        </m:sSub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TNF</m:t>
            </m:r>
          </m:e>
        </m:d>
      </m:oMath>
      <w:r w:rsidR="00F068E8"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— (19)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Where the basal concentration of TNF is defined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m:oMath>
        <w:proofErr w:type="gramEnd"/>
        <m:r>
          <w:rPr>
            <w:rFonts w:ascii="Cambria Math" w:hAnsi="Cambria Math"/>
          </w:rPr>
          <m:t>tn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>, and the stimulation of TNF by the phagocytosis and self-activation is represented in the 2</w:t>
      </w:r>
      <w:r w:rsidRPr="00612C5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nd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equation, in which the inhibitory effects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proinflammatory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cytokines are also considered.     </w:t>
      </w:r>
    </w:p>
    <w:p w:rsidR="00F542DB" w:rsidRPr="00612C5F" w:rsidRDefault="00F068E8">
      <w:pPr>
        <w:pStyle w:val="normal1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dynamic concentration of Interleukin 10 (IL10) is calculated by the given ODE   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dIL10</m:t>
            </m:r>
          </m:num>
          <m:den>
            <m:r>
              <w:rPr>
                <w:rFonts w:ascii="Cambria Math" w:hAnsi="Cambria Math"/>
              </w:rPr>
              <m:t>dt</m:t>
            </m:r>
          </m:den>
        </m:f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</w:rPr>
            </m:ctrlPr>
          </m:dPr>
          <m:e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il101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*Phg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n8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Phg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n8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phg2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n8</m:t>
                        </m:r>
                      </m:sup>
                    </m:sSup>
                  </m:den>
                </m:f>
              </m:e>
            </m:d>
            <m:r>
              <w:rPr>
                <w:rFonts w:ascii="Cambria Math" w:hAnsi="Cambria Math"/>
              </w:rPr>
              <m:t>+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il102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*TG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n9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tgf3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</w:rPr>
                          <m:t>n9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+TG</m:t>
                    </m:r>
                    <m:sSup>
                      <m:sSupPr>
                        <m:ctrlPr>
                          <w:rPr>
                            <w:rFonts w:ascii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F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n9</m:t>
                        </m:r>
                      </m:sup>
                    </m:sSup>
                  </m:den>
                </m:f>
              </m:e>
            </m:d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il10</m:t>
                </m:r>
              </m:sub>
            </m:sSub>
            <m:r>
              <w:rPr>
                <w:rFonts w:ascii="Cambria Math" w:hAnsi="Cambria Math"/>
              </w:rPr>
              <m:t>*IL10</m:t>
            </m:r>
          </m:e>
        </m:d>
      </m:oMath>
    </w:p>
    <w:p w:rsidR="00F542DB" w:rsidRPr="00612C5F" w:rsidRDefault="00F068E8">
      <w:pPr>
        <w:pStyle w:val="normal1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>—(</w:t>
      </w:r>
      <w:proofErr w:type="gramEnd"/>
      <w:r w:rsidRPr="00612C5F">
        <w:rPr>
          <w:rFonts w:ascii="Times New Roman" w:eastAsia="Times New Roman" w:hAnsi="Times New Roman" w:cs="Times New Roman"/>
          <w:sz w:val="24"/>
          <w:szCs w:val="24"/>
        </w:rPr>
        <w:t>20)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phagocytic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and TGF based stimulation of IL10 production defined by the respective equations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il101</m:t>
                    </m:r>
                  </m:sub>
                </m:sSub>
                <m:r>
                  <w:rPr>
                    <w:rFonts w:ascii="Cambria Math" w:hAnsi="Cambria Math"/>
                  </w:rPr>
                  <m:t>*Phg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n8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Phg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n8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phg2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n8</m:t>
                    </m:r>
                  </m:sup>
                </m:sSup>
              </m:den>
            </m:f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m:oMath>
        <w:proofErr w:type="gramEnd"/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il102</m:t>
                    </m:r>
                  </m:sub>
                </m:sSub>
                <m:r>
                  <w:rPr>
                    <w:rFonts w:ascii="Cambria Math" w:hAnsi="Cambria Math"/>
                  </w:rPr>
                  <m:t>*TG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n9</m:t>
                    </m:r>
                  </m:sup>
                </m:sSup>
              </m:num>
              <m:den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tgf3</m:t>
                        </m:r>
                      </m:sub>
                    </m:sSub>
                  </m:e>
                  <m:sup>
                    <m:r>
                      <w:rPr>
                        <w:rFonts w:ascii="Cambria Math" w:hAnsi="Cambria Math"/>
                      </w:rPr>
                      <m:t>n9</m:t>
                    </m:r>
                  </m:sup>
                </m:sSup>
                <m:r>
                  <w:rPr>
                    <w:rFonts w:ascii="Cambria Math" w:hAnsi="Cambria Math"/>
                  </w:rPr>
                  <m:t>+TG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n9</m:t>
                    </m:r>
                  </m:sup>
                </m:sSup>
              </m:den>
            </m:f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>Whereas, the effects of degradation on the IL10 concentration determined by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(k</m:t>
            </m:r>
          </m:e>
          <m:sub>
            <m:r>
              <w:rPr>
                <w:rFonts w:ascii="Cambria Math" w:hAnsi="Cambria Math"/>
              </w:rPr>
              <m:t>il10</m:t>
            </m:r>
          </m:sub>
        </m:sSub>
        <m:r>
          <w:rPr>
            <w:rFonts w:ascii="Cambria Math" w:hAnsi="Cambria Math"/>
          </w:rPr>
          <m:t>*IL10)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F542DB" w:rsidRPr="00612C5F" w:rsidRDefault="00F068E8">
      <w:pPr>
        <w:pStyle w:val="normal1"/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periodic concentration of Interleukin 6 (IL6) is calculated by the given ODE, </w:t>
      </w:r>
    </w:p>
    <w:p w:rsidR="00F542DB" w:rsidRPr="00612C5F" w:rsidRDefault="00270EAE">
      <w:pPr>
        <w:pStyle w:val="normal1"/>
        <w:jc w:val="center"/>
        <w:rPr>
          <w:rFonts w:ascii="Times New Roman" w:eastAsia="Times New Roman" w:hAnsi="Times New Roman" w:cs="Times New Roman"/>
          <w:sz w:val="24"/>
          <w:szCs w:val="24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dIL6</m:t>
              </m:r>
            </m:num>
            <m:den>
              <m:r>
                <w:rPr>
                  <w:rFonts w:ascii="Cambria Math" w:hAnsi="Cambria Math"/>
                </w:rPr>
                <m:t>dt</m:t>
              </m:r>
            </m:den>
          </m:f>
          <m:r>
            <w:rPr>
              <w:rFonts w:ascii="Cambria Math" w:hAnsi="Cambria Math"/>
            </w:rPr>
            <m:t>=il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6</m:t>
              </m:r>
            </m:e>
            <m:sub>
              <m:r>
                <w:rPr>
                  <w:rFonts w:ascii="Cambria Math" w:hAnsi="Cambria Math"/>
                </w:rPr>
                <m:t>b</m:t>
              </m:r>
            </m:sub>
          </m:sSub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Phg1</m:t>
                  </m:r>
                </m:num>
                <m:den>
                  <m:r>
                    <w:rPr>
                      <w:rFonts w:ascii="Cambria Math" w:hAnsi="Cambria Math"/>
                    </w:rPr>
                    <m:t>K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phg3</m:t>
                      </m:r>
                    </m:sub>
                  </m:sSub>
                  <m:r>
                    <w:rPr>
                      <w:rFonts w:ascii="Cambria Math" w:hAnsi="Cambria Math"/>
                    </w:rPr>
                    <m:t>+Phg1</m:t>
                  </m:r>
                </m:den>
              </m:f>
            </m:e>
          </m:d>
          <m:r>
            <w:rPr>
              <w:rFonts w:ascii="Cambria Math" w:hAnsi="Cambria Math"/>
            </w:rPr>
            <m:t>*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</w:rPr>
                    <m:t>il61</m:t>
                  </m:r>
                </m:sub>
              </m:sSub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il62</m:t>
                      </m:r>
                    </m:sub>
                  </m:sSub>
                  <m:r>
                    <w:rPr>
                      <w:rFonts w:ascii="Cambria Math" w:hAnsi="Cambria Math"/>
                    </w:rPr>
                    <m:t>*(TNF+IL6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n10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Km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il6tn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f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n10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+(TNF+IL6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n10</m:t>
                      </m:r>
                    </m:sup>
                  </m:sSup>
                  <m:r>
                    <w:rPr>
                      <w:rFonts w:ascii="Cambria Math" w:hAnsi="Cambria Math"/>
                    </w:rPr>
                    <m:t>)</m:t>
                  </m:r>
                </m:den>
              </m:f>
            </m:e>
          </m:d>
          <m:r>
            <w:rPr>
              <w:rFonts w:ascii="Cambria Math" w:hAnsi="Cambria Math"/>
            </w:rPr>
            <m:t>*</m:t>
          </m:r>
        </m:oMath>
      </m:oMathPara>
    </w:p>
    <w:p w:rsidR="00F542DB" w:rsidRPr="00612C5F" w:rsidRDefault="00F068E8">
      <w:pPr>
        <w:pStyle w:val="normal1"/>
        <w:spacing w:after="16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2" w:name="_yrxdt5bynfvd"/>
      <w:bookmarkEnd w:id="2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il102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il102</m:t>
                    </m:r>
                  </m:sub>
                </m:sSub>
                <m:r>
                  <w:rPr>
                    <w:rFonts w:ascii="Cambria Math" w:hAnsi="Cambria Math"/>
                  </w:rPr>
                  <m:t>+(IL10))</m:t>
                </m:r>
              </m:den>
            </m:f>
          </m:e>
        </m:d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il6</m:t>
            </m:r>
          </m:sub>
        </m:sSub>
        <m:r>
          <w:rPr>
            <w:rFonts w:ascii="Cambria Math" w:hAnsi="Cambria Math"/>
          </w:rPr>
          <m:t>*IL6-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il6</m:t>
            </m:r>
          </m:sub>
        </m:sSub>
        <m:r>
          <w:rPr>
            <w:rFonts w:ascii="Cambria Math" w:hAnsi="Cambria Math"/>
          </w:rPr>
          <m:t>*IL6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— (21)</w:t>
      </w:r>
    </w:p>
    <w:p w:rsidR="00F542DB" w:rsidRPr="00612C5F" w:rsidRDefault="00F068E8">
      <w:pPr>
        <w:pStyle w:val="normal1"/>
        <w:spacing w:after="16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Positive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signaling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in the production of IL 6 cytokine are provided by the phagocytes, TNF, and IL6 (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proinflammatory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cytokines), which are defined </w:t>
      </w:r>
      <w:proofErr w:type="gramStart"/>
      <w:r w:rsidRPr="00612C5F">
        <w:rPr>
          <w:rFonts w:ascii="Times New Roman" w:eastAsia="Times New Roman" w:hAnsi="Times New Roman" w:cs="Times New Roman"/>
          <w:sz w:val="24"/>
          <w:szCs w:val="24"/>
        </w:rPr>
        <w:t>by  the</w:t>
      </w:r>
      <w:proofErr w:type="gram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given equation 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Phg1</m:t>
                </m:r>
              </m:num>
              <m:den>
                <m:r>
                  <w:rPr>
                    <w:rFonts w:ascii="Cambria Math" w:hAnsi="Cambria Math"/>
                  </w:rPr>
                  <m:t>K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phg3</m:t>
                    </m:r>
                  </m:sub>
                </m:sSub>
                <m:r>
                  <w:rPr>
                    <w:rFonts w:ascii="Cambria Math" w:hAnsi="Cambria Math"/>
                  </w:rPr>
                  <m:t>+Phg1</m:t>
                </m:r>
              </m:den>
            </m:f>
          </m:e>
        </m:d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V</m:t>
                </m:r>
              </m:e>
              <m:sub>
                <m:r>
                  <w:rPr>
                    <w:rFonts w:ascii="Cambria Math" w:hAnsi="Cambria Math"/>
                  </w:rPr>
                  <m:t>il61</m:t>
                </m:r>
              </m:sub>
            </m:sSub>
            <m:r>
              <w:rPr>
                <w:rFonts w:ascii="Cambria Math" w:hAnsi="Cambria Math"/>
              </w:rPr>
              <m:t>+</m:t>
            </m:r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il62</m:t>
                    </m:r>
                  </m:sub>
                </m:sSub>
                <m:r>
                  <w:rPr>
                    <w:rFonts w:ascii="Cambria Math" w:hAnsi="Cambria Math"/>
                  </w:rPr>
                  <m:t>*(TNF+IL6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n10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Km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il6tn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n10</m:t>
                    </m:r>
                  </m:sup>
                </m:sSup>
                <m:r>
                  <w:rPr>
                    <w:rFonts w:ascii="Cambria Math" w:hAnsi="Cambria Math"/>
                  </w:rPr>
                  <m:t>+(TNF+IL6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n10</m:t>
                    </m:r>
                  </m:sup>
                </m:sSup>
                <m:r>
                  <w:rPr>
                    <w:rFonts w:ascii="Cambria Math" w:hAnsi="Cambria Math"/>
                  </w:rPr>
                  <m:t>)</m:t>
                </m:r>
              </m:den>
            </m:f>
          </m:e>
        </m:d>
        <m: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</w:rPr>
            </m:ctrlPr>
          </m:dPr>
          <m:e>
            <m:f>
              <m:fPr>
                <m:ctrlPr>
                  <w:rPr>
                    <w:rFonts w:ascii="Cambria Math" w:hAnsi="Cambria Math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il102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il102</m:t>
                    </m:r>
                  </m:sub>
                </m:sSub>
                <m:r>
                  <w:rPr>
                    <w:rFonts w:ascii="Cambria Math" w:hAnsi="Cambria Math"/>
                  </w:rPr>
                  <m:t>+(IL10))</m:t>
                </m:r>
              </m:den>
            </m:f>
          </m:e>
        </m:d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, wherein the signaling is 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provided by considering the hill kinetic equation. IL6 degradation dynamics is considered by the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il6</m:t>
            </m:r>
          </m:sub>
        </m:sSub>
        <m:r>
          <w:rPr>
            <w:rFonts w:ascii="Cambria Math" w:hAnsi="Cambria Math"/>
          </w:rPr>
          <m:t>*IL6</m:t>
        </m:r>
      </m:oMath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equation. </w:t>
      </w:r>
    </w:p>
    <w:p w:rsidR="00F542DB" w:rsidRPr="00612C5F" w:rsidRDefault="00F068E8">
      <w:pPr>
        <w:pStyle w:val="normal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initial values for each of the variables and the parameter values for normal condition are taken from the previous study of </w:t>
      </w:r>
      <w:r w:rsidRPr="00612C5F">
        <w:rPr>
          <w:rFonts w:ascii="Times New Roman" w:eastAsia="Times New Roman" w:hAnsi="Times New Roman" w:cs="Times New Roman"/>
          <w:color w:val="212121"/>
          <w:sz w:val="24"/>
          <w:szCs w:val="24"/>
        </w:rPr>
        <w:t>(</w:t>
      </w:r>
      <w:proofErr w:type="spellStart"/>
      <w:r w:rsidRPr="00612C5F">
        <w:rPr>
          <w:rFonts w:ascii="Times New Roman" w:eastAsia="Times New Roman" w:hAnsi="Times New Roman" w:cs="Times New Roman"/>
          <w:color w:val="212121"/>
          <w:sz w:val="24"/>
          <w:szCs w:val="24"/>
        </w:rPr>
        <w:t>Somvanshi</w:t>
      </w:r>
      <w:proofErr w:type="spellEnd"/>
      <w:r w:rsidRPr="00612C5F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 et al., 2020), and respective values of each parameter are shown along with their descriptions in the </w:t>
      </w:r>
      <w:r w:rsidRPr="00612C5F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Supplemental Table S1</w:t>
      </w:r>
      <w:r w:rsidRPr="00612C5F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. </w:t>
      </w:r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The model is also calibrated to determine the time-dependent dose effects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dexamethasone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on the human HPA-inflammation system. To determine the optimal timing of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Dex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-induced effects, we analyzed phase and amplitude differences in the HPA-immune axis (normal system) following </w:t>
      </w:r>
      <w:proofErr w:type="spellStart"/>
      <w:r w:rsidRPr="00612C5F">
        <w:rPr>
          <w:rFonts w:ascii="Times New Roman" w:eastAsia="Times New Roman" w:hAnsi="Times New Roman" w:cs="Times New Roman"/>
          <w:sz w:val="24"/>
          <w:szCs w:val="24"/>
        </w:rPr>
        <w:t>Dex</w:t>
      </w:r>
      <w:proofErr w:type="spellEnd"/>
      <w:r w:rsidRPr="00612C5F">
        <w:rPr>
          <w:rFonts w:ascii="Times New Roman" w:eastAsia="Times New Roman" w:hAnsi="Times New Roman" w:cs="Times New Roman"/>
          <w:sz w:val="24"/>
          <w:szCs w:val="24"/>
        </w:rPr>
        <w:t xml:space="preserve"> administration. </w:t>
      </w:r>
    </w:p>
    <w:p w:rsidR="00F542DB" w:rsidRPr="00612C5F" w:rsidRDefault="00F542DB">
      <w:pPr>
        <w:pStyle w:val="normal1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2DB" w:rsidRPr="00612C5F" w:rsidRDefault="00F542DB">
      <w:pPr>
        <w:pStyle w:val="normal1"/>
        <w:rPr>
          <w:rFonts w:ascii="Times New Roman" w:eastAsia="Times New Roman" w:hAnsi="Times New Roman" w:cs="Times New Roman"/>
        </w:rPr>
      </w:pPr>
    </w:p>
    <w:p w:rsidR="00F542DB" w:rsidRPr="00612C5F" w:rsidRDefault="00F068E8">
      <w:pPr>
        <w:pStyle w:val="normal1"/>
        <w:rPr>
          <w:rFonts w:ascii="Times New Roman" w:eastAsia="Times New Roman" w:hAnsi="Times New Roman" w:cs="Times New Roman"/>
          <w:sz w:val="24"/>
          <w:szCs w:val="24"/>
        </w:rPr>
      </w:pPr>
      <w:r w:rsidRPr="00612C5F">
        <w:rPr>
          <w:rFonts w:ascii="Times New Roman" w:eastAsia="Times New Roman" w:hAnsi="Times New Roman" w:cs="Times New Roman"/>
          <w:b/>
          <w:bCs/>
        </w:rPr>
        <w:t>References:</w:t>
      </w:r>
    </w:p>
    <w:p w:rsidR="00F068E8" w:rsidRPr="00612C5F" w:rsidRDefault="00F068E8" w:rsidP="00F068E8">
      <w:pPr>
        <w:shd w:val="clear" w:color="auto" w:fill="FFFFFF"/>
        <w:suppressAutoHyphens w:val="0"/>
        <w:spacing w:before="240" w:line="253" w:lineRule="atLeast"/>
        <w:jc w:val="both"/>
        <w:rPr>
          <w:rFonts w:eastAsia="Times New Roman"/>
          <w:color w:val="222222"/>
          <w:lang w:val="en-US" w:eastAsia="en-US" w:bidi="ar-SA"/>
        </w:rPr>
      </w:pP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Bauer J,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Hohagen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F, Ebert T,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Timmer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J,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Ganter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U, Krieger S et al. (1994). Interleukin-6 s</w:t>
      </w: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e</w:t>
      </w: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rum levels in healthy persons correspond to the sleep-wake cycle.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Clin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Investig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, 72(4).</w:t>
      </w:r>
    </w:p>
    <w:p w:rsidR="00F068E8" w:rsidRPr="00612C5F" w:rsidRDefault="00F068E8" w:rsidP="00F068E8">
      <w:pPr>
        <w:shd w:val="clear" w:color="auto" w:fill="FFFFFF"/>
        <w:suppressAutoHyphens w:val="0"/>
        <w:spacing w:before="240" w:line="253" w:lineRule="atLeast"/>
        <w:jc w:val="both"/>
        <w:rPr>
          <w:rFonts w:eastAsia="Times New Roman"/>
          <w:color w:val="222222"/>
          <w:lang w:val="en-US" w:eastAsia="en-US" w:bidi="ar-SA"/>
        </w:rPr>
      </w:pP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Grigoleit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J-S,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Oberbeck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JR,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Lichte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P,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Kobbe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P, Wolf OT,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Montag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T et al. (2010).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Lipopol</w:t>
      </w: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y</w:t>
      </w: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saccharide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-induced experimental immune activation does not impair memory functions in humans.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Neurobiol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Learn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Mem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, 94(4):561–567.</w:t>
      </w:r>
    </w:p>
    <w:p w:rsidR="00F068E8" w:rsidRPr="00612C5F" w:rsidRDefault="00F068E8" w:rsidP="00F068E8">
      <w:pPr>
        <w:shd w:val="clear" w:color="auto" w:fill="FFFFFF"/>
        <w:suppressAutoHyphens w:val="0"/>
        <w:spacing w:before="240" w:line="253" w:lineRule="atLeast"/>
        <w:jc w:val="both"/>
        <w:rPr>
          <w:rFonts w:eastAsia="Times New Roman"/>
          <w:color w:val="222222"/>
          <w:lang w:val="en-US" w:eastAsia="en-US" w:bidi="ar-SA"/>
        </w:rPr>
      </w:pPr>
      <w:proofErr w:type="spellStart"/>
      <w:proofErr w:type="gram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Somvanshi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PR, Mellon SH,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Yehuda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R, Flory JD,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Makotkine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I,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Bierer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L et al. (2020).</w:t>
      </w:r>
      <w:proofErr w:type="gram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Role of enhanced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glucocorticoid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receptor sensitivity in inflammation in PTSD: insights from comp</w:t>
      </w: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u</w:t>
      </w: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tational model for circadian-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neuroendocrine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-immune interactions. American Journal of Phy</w:t>
      </w: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s</w:t>
      </w: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iology-Endocrinology and Metabolism, 319(1):E48–E66.</w:t>
      </w:r>
    </w:p>
    <w:p w:rsidR="00F068E8" w:rsidRPr="00F068E8" w:rsidRDefault="00F068E8" w:rsidP="00F068E8">
      <w:pPr>
        <w:shd w:val="clear" w:color="auto" w:fill="FFFFFF"/>
        <w:suppressAutoHyphens w:val="0"/>
        <w:spacing w:before="240" w:line="253" w:lineRule="atLeast"/>
        <w:jc w:val="both"/>
        <w:rPr>
          <w:rFonts w:eastAsia="Times New Roman"/>
          <w:color w:val="222222"/>
          <w:lang w:val="en-US" w:eastAsia="en-US" w:bidi="ar-SA"/>
        </w:rPr>
      </w:pP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Wright KP, Drake AL, Frey DJ,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Fleshner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M,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Desouza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CA,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Gronfier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C et al. (2015). Influence of sleep deprivation and circadian misalignment on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cortisol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, inflammatory markers, and cyt</w:t>
      </w: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o</w:t>
      </w:r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kine balance. Brain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Behav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 xml:space="preserve"> </w:t>
      </w:r>
      <w:proofErr w:type="spellStart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Immun</w:t>
      </w:r>
      <w:proofErr w:type="spellEnd"/>
      <w:r w:rsidRPr="00612C5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 w:bidi="ar-SA"/>
        </w:rPr>
        <w:t>, 47:24–34.</w:t>
      </w:r>
    </w:p>
    <w:p w:rsidR="00F542DB" w:rsidRDefault="00F068E8">
      <w:pPr>
        <w:pStyle w:val="normal1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F542DB" w:rsidRDefault="00F542DB">
      <w:pPr>
        <w:pStyle w:val="normal1"/>
      </w:pPr>
    </w:p>
    <w:sectPr w:rsidR="00F542DB" w:rsidSect="00F542DB">
      <w:pgSz w:w="11906" w:h="16838"/>
      <w:pgMar w:top="1440" w:right="1440" w:bottom="1440" w:left="1440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  <w:embedRegular r:id="rId1" w:fontKey="{B1C27BA0-D80E-4DCE-941A-DC7DDA008B30}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A4F16134-0B70-4C1B-86A8-78B3425016D4}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5DBBC2A5-DE40-472E-9EC8-B90FDD0EE1BC}"/>
    <w:embedItalic r:id="rId4" w:fontKey="{FF3A00B8-9CB1-4FCC-9A93-829264A2241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1021C52A-AEE4-49BD-A579-78135C252C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AF82BDF-BB85-4A03-9DCF-6894CBFAD191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B1BA4"/>
    <w:multiLevelType w:val="multilevel"/>
    <w:tmpl w:val="50A437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5F6519"/>
    <w:multiLevelType w:val="multilevel"/>
    <w:tmpl w:val="856278A0"/>
    <w:lvl w:ilvl="0">
      <w:start w:val="1"/>
      <w:numFmt w:val="decimal"/>
      <w:lvlText w:val="S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7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autoHyphenation/>
  <w:hyphenationZone w:val="0"/>
  <w:characterSpacingControl w:val="doNotCompress"/>
  <w:compat/>
  <w:rsids>
    <w:rsidRoot w:val="00F542DB"/>
    <w:rsid w:val="00270EAE"/>
    <w:rsid w:val="00402CFC"/>
    <w:rsid w:val="004D35EB"/>
    <w:rsid w:val="00612C5F"/>
    <w:rsid w:val="007B5442"/>
    <w:rsid w:val="00A42C42"/>
    <w:rsid w:val="00F068E8"/>
    <w:rsid w:val="00F542DB"/>
    <w:rsid w:val="00FF0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IN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2DB"/>
    <w:pPr>
      <w:spacing w:line="276" w:lineRule="auto"/>
    </w:pPr>
  </w:style>
  <w:style w:type="paragraph" w:styleId="Heading1">
    <w:name w:val="heading 1"/>
    <w:basedOn w:val="normal1"/>
    <w:next w:val="normal1"/>
    <w:qFormat/>
    <w:rsid w:val="00F542DB"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qFormat/>
    <w:rsid w:val="00F542DB"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qFormat/>
    <w:rsid w:val="00F542DB"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rsid w:val="00F542DB"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rsid w:val="00F542DB"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Heading6">
    <w:name w:val="heading 6"/>
    <w:basedOn w:val="normal1"/>
    <w:next w:val="normal1"/>
    <w:qFormat/>
    <w:rsid w:val="00F542DB"/>
    <w:pPr>
      <w:keepNext/>
      <w:keepLines/>
      <w:spacing w:before="240" w:after="80" w:line="240" w:lineRule="auto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rsid w:val="00F542DB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rsid w:val="00F542DB"/>
    <w:pPr>
      <w:spacing w:after="140"/>
    </w:pPr>
  </w:style>
  <w:style w:type="paragraph" w:styleId="List">
    <w:name w:val="List"/>
    <w:basedOn w:val="BodyText"/>
    <w:rsid w:val="00F542DB"/>
    <w:rPr>
      <w:rFonts w:cs="Lohit Devanagari"/>
    </w:rPr>
  </w:style>
  <w:style w:type="paragraph" w:styleId="Caption">
    <w:name w:val="caption"/>
    <w:basedOn w:val="Normal"/>
    <w:qFormat/>
    <w:rsid w:val="00F542DB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F542DB"/>
    <w:pPr>
      <w:suppressLineNumbers/>
    </w:pPr>
    <w:rPr>
      <w:rFonts w:cs="Lohit Devanagari"/>
    </w:rPr>
  </w:style>
  <w:style w:type="paragraph" w:customStyle="1" w:styleId="normal1">
    <w:name w:val="normal1"/>
    <w:qFormat/>
    <w:rsid w:val="00F542DB"/>
    <w:pPr>
      <w:spacing w:line="276" w:lineRule="auto"/>
    </w:pPr>
  </w:style>
  <w:style w:type="paragraph" w:styleId="Title">
    <w:name w:val="Title"/>
    <w:basedOn w:val="normal1"/>
    <w:next w:val="normal1"/>
    <w:qFormat/>
    <w:rsid w:val="00F542DB"/>
    <w:pPr>
      <w:keepNext/>
      <w:keepLines/>
      <w:spacing w:after="60" w:line="240" w:lineRule="auto"/>
    </w:pPr>
    <w:rPr>
      <w:sz w:val="52"/>
      <w:szCs w:val="52"/>
    </w:rPr>
  </w:style>
  <w:style w:type="paragraph" w:styleId="Subtitle">
    <w:name w:val="Subtitle"/>
    <w:basedOn w:val="normal1"/>
    <w:next w:val="normal1"/>
    <w:qFormat/>
    <w:rsid w:val="00F542DB"/>
    <w:pPr>
      <w:keepNext/>
      <w:keepLines/>
      <w:spacing w:after="320" w:line="240" w:lineRule="auto"/>
    </w:pPr>
    <w:rPr>
      <w:color w:val="666666"/>
      <w:sz w:val="30"/>
      <w:szCs w:val="30"/>
    </w:rPr>
  </w:style>
  <w:style w:type="table" w:customStyle="1" w:styleId="TableNormal0">
    <w:name w:val="TableNormal"/>
    <w:rsid w:val="00F542D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68E8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68E8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0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13</Pages>
  <Words>3472</Words>
  <Characters>19791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PRAMOD RS</dc:creator>
  <cp:lastModifiedBy>PRAMOD RS</cp:lastModifiedBy>
  <cp:revision>5</cp:revision>
  <cp:lastPrinted>2026-09-11T07:21:00Z</cp:lastPrinted>
  <dcterms:created xsi:type="dcterms:W3CDTF">2026-09-11T10:12:00Z</dcterms:created>
  <dcterms:modified xsi:type="dcterms:W3CDTF">2026-10-28T11:01:00Z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24414e6d-eabf-4d1e-83fe-a207f820188d</vt:lpwstr>
  </property>
</Properties>
</file>