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8DBA" w14:textId="77777777" w:rsidR="001C09AF" w:rsidRPr="001C09AF" w:rsidRDefault="001C09AF" w:rsidP="001C09AF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1C09AF">
        <w:rPr>
          <w:rFonts w:ascii="Times New Roman" w:hAnsi="Times New Roman" w:cs="Times New Roman"/>
          <w:color w:val="000000" w:themeColor="text1"/>
        </w:rPr>
        <w:t>Supplemental Tables</w:t>
      </w:r>
    </w:p>
    <w:p w14:paraId="27E7F8A1" w14:textId="77777777" w:rsidR="001C09AF" w:rsidRPr="00AE3B2D" w:rsidRDefault="001C09AF" w:rsidP="001C09AF">
      <w:pPr>
        <w:rPr>
          <w:rFonts w:ascii="Times New Roman" w:eastAsia="Times New Roman" w:hAnsi="Times New Roman" w:cs="Times New Roman"/>
          <w:b/>
          <w:bCs/>
        </w:rPr>
      </w:pPr>
      <w:r w:rsidRPr="00AE3B2D">
        <w:rPr>
          <w:rFonts w:ascii="Times New Roman" w:eastAsia="Times New Roman" w:hAnsi="Times New Roman" w:cs="Times New Roman"/>
          <w:b/>
          <w:bCs/>
        </w:rPr>
        <w:t>Supplemental Table 1. Cadence of ctDNA testing following positive or negative ctDNA test results in postoperative surveillance.</w:t>
      </w:r>
      <w:r w:rsidRPr="00AE3B2D">
        <w:rPr>
          <w:rFonts w:ascii="Times New Roman" w:eastAsia="Gungsuh" w:hAnsi="Times New Roman" w:cs="Times New Roman"/>
        </w:rPr>
        <w:t xml:space="preserve"> Patients with ≥2 postoperative ctDNA tests who had a positive ctDNA test result tended to have a shorter median time to next test compared to those with negative ctDNA results.</w:t>
      </w:r>
    </w:p>
    <w:tbl>
      <w:tblPr>
        <w:tblW w:w="82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730"/>
        <w:gridCol w:w="3180"/>
      </w:tblGrid>
      <w:tr w:rsidR="001C09AF" w:rsidRPr="00AE3B2D" w14:paraId="06FF490D" w14:textId="77777777" w:rsidTr="00583C15">
        <w:trPr>
          <w:trHeight w:val="585"/>
        </w:trPr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A0D16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  <w:vertAlign w:val="superscript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Event Group</w:t>
            </w:r>
          </w:p>
        </w:tc>
        <w:tc>
          <w:tcPr>
            <w:tcW w:w="27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14BB3E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Informative events** (n)</w:t>
            </w:r>
          </w:p>
        </w:tc>
        <w:tc>
          <w:tcPr>
            <w:tcW w:w="31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60007C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Time to next test, months; median (range)</w:t>
            </w:r>
          </w:p>
        </w:tc>
      </w:tr>
      <w:tr w:rsidR="001C09AF" w:rsidRPr="00AE3B2D" w14:paraId="1F1251AE" w14:textId="77777777" w:rsidTr="00583C15">
        <w:trPr>
          <w:trHeight w:val="585"/>
        </w:trPr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A22D73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After positive</w:t>
            </w:r>
            <w:r w:rsidRPr="00AE3B2D">
              <w:rPr>
                <w:rFonts w:ascii="Times New Roman" w:eastAsia="Arial" w:hAnsi="Times New Roman" w:cs="Times New Roman"/>
                <w:sz w:val="22"/>
                <w:szCs w:val="22"/>
                <w:vertAlign w:val="superscript"/>
              </w:rPr>
              <w:t>*</w:t>
            </w: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ctDNA test result</w:t>
            </w:r>
          </w:p>
        </w:tc>
        <w:tc>
          <w:tcPr>
            <w:tcW w:w="27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65153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0"/>
                <w:szCs w:val="20"/>
              </w:rPr>
              <w:t>1418</w:t>
            </w:r>
          </w:p>
        </w:tc>
        <w:tc>
          <w:tcPr>
            <w:tcW w:w="31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5A87A4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1.84 (0.1–16.3)</w:t>
            </w:r>
          </w:p>
        </w:tc>
      </w:tr>
      <w:tr w:rsidR="001C09AF" w:rsidRPr="00AE3B2D" w14:paraId="54E8B948" w14:textId="77777777" w:rsidTr="00583C15">
        <w:trPr>
          <w:trHeight w:val="585"/>
        </w:trPr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D45568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After negative</w:t>
            </w:r>
            <w:r w:rsidRPr="00AE3B2D">
              <w:rPr>
                <w:rFonts w:ascii="Times New Roman" w:eastAsia="Arial" w:hAnsi="Times New Roman" w:cs="Times New Roman"/>
                <w:sz w:val="22"/>
                <w:szCs w:val="22"/>
                <w:vertAlign w:val="superscript"/>
              </w:rPr>
              <w:t>*</w:t>
            </w: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ctDNA test result</w:t>
            </w:r>
          </w:p>
        </w:tc>
        <w:tc>
          <w:tcPr>
            <w:tcW w:w="27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DD3E6A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0"/>
                <w:szCs w:val="20"/>
              </w:rPr>
              <w:t>4642</w:t>
            </w:r>
          </w:p>
        </w:tc>
        <w:tc>
          <w:tcPr>
            <w:tcW w:w="31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034DB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3.21 (0.13–37.25)</w:t>
            </w:r>
          </w:p>
        </w:tc>
      </w:tr>
      <w:tr w:rsidR="001C09AF" w:rsidRPr="00AE3B2D" w14:paraId="2CD9B251" w14:textId="77777777" w:rsidTr="00583C15">
        <w:trPr>
          <w:trHeight w:val="870"/>
        </w:trPr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18E56E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After two consecutive negative ctDNA test results</w:t>
            </w:r>
          </w:p>
        </w:tc>
        <w:tc>
          <w:tcPr>
            <w:tcW w:w="273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6AAD6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0"/>
                <w:szCs w:val="20"/>
              </w:rPr>
              <w:t>3321</w:t>
            </w:r>
          </w:p>
        </w:tc>
        <w:tc>
          <w:tcPr>
            <w:tcW w:w="31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74D9F0" w14:textId="77777777" w:rsidR="001C09AF" w:rsidRPr="00AE3B2D" w:rsidRDefault="001C09AF" w:rsidP="00583C15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3.02 (0.03–24.82)</w:t>
            </w:r>
          </w:p>
        </w:tc>
      </w:tr>
      <w:tr w:rsidR="001C09AF" w:rsidRPr="00AE3B2D" w14:paraId="639FE970" w14:textId="77777777" w:rsidTr="00583C15">
        <w:trPr>
          <w:trHeight w:val="300"/>
        </w:trPr>
        <w:tc>
          <w:tcPr>
            <w:tcW w:w="8250" w:type="dxa"/>
            <w:gridSpan w:val="3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A9702" w14:textId="77777777" w:rsidR="001C09AF" w:rsidRPr="00AE3B2D" w:rsidRDefault="001C09AF" w:rsidP="00583C1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*: independent of any prior ctDNA test result</w:t>
            </w:r>
          </w:p>
        </w:tc>
      </w:tr>
      <w:tr w:rsidR="001C09AF" w:rsidRPr="00AE3B2D" w14:paraId="7B3BA3ED" w14:textId="77777777" w:rsidTr="00583C15">
        <w:trPr>
          <w:trHeight w:val="300"/>
        </w:trPr>
        <w:tc>
          <w:tcPr>
            <w:tcW w:w="8250" w:type="dxa"/>
            <w:gridSpan w:val="3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B52FF" w14:textId="77777777" w:rsidR="001C09AF" w:rsidRPr="00AE3B2D" w:rsidRDefault="001C09AF" w:rsidP="00583C15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** Events with subsequent ctDNA testing</w:t>
            </w:r>
          </w:p>
        </w:tc>
      </w:tr>
    </w:tbl>
    <w:p w14:paraId="3A0CAA24" w14:textId="77777777" w:rsidR="001C09AF" w:rsidRPr="00AE3B2D" w:rsidRDefault="001C09AF" w:rsidP="001C09AF">
      <w:pPr>
        <w:rPr>
          <w:rFonts w:ascii="Times New Roman" w:eastAsia="Times New Roman" w:hAnsi="Times New Roman" w:cs="Times New Roman"/>
        </w:rPr>
      </w:pPr>
    </w:p>
    <w:p w14:paraId="12E80843" w14:textId="77777777" w:rsidR="001C09AF" w:rsidRPr="00AE3B2D" w:rsidRDefault="001C09AF" w:rsidP="001C09AF">
      <w:pPr>
        <w:rPr>
          <w:rFonts w:ascii="Times New Roman" w:eastAsia="Arial" w:hAnsi="Times New Roman" w:cs="Times New Roman"/>
          <w:color w:val="0000FF"/>
          <w:sz w:val="22"/>
          <w:szCs w:val="22"/>
        </w:rPr>
      </w:pPr>
      <w:r w:rsidRPr="00AE3B2D">
        <w:rPr>
          <w:rFonts w:ascii="Times New Roman" w:eastAsia="Times New Roman" w:hAnsi="Times New Roman" w:cs="Times New Roman"/>
          <w:b/>
          <w:bCs/>
        </w:rPr>
        <w:t>Supplemental Table 2. Time to next test and relapse rates among patients grouped by results of subsequent ctDNA testing</w:t>
      </w:r>
      <w:r w:rsidRPr="00AE3B2D">
        <w:rPr>
          <w:rFonts w:ascii="Times New Roman" w:eastAsia="Times New Roman" w:hAnsi="Times New Roman" w:cs="Times New Roman"/>
        </w:rPr>
        <w:t>.</w:t>
      </w:r>
      <w:r w:rsidRPr="00AE3B2D">
        <w:rPr>
          <w:rFonts w:ascii="Times New Roman" w:hAnsi="Times New Roman" w:cs="Times New Roman"/>
        </w:rPr>
        <w:br/>
      </w:r>
    </w:p>
    <w:tbl>
      <w:tblPr>
        <w:tblW w:w="90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1275"/>
        <w:gridCol w:w="1785"/>
        <w:gridCol w:w="1305"/>
        <w:gridCol w:w="1065"/>
        <w:gridCol w:w="1305"/>
      </w:tblGrid>
      <w:tr w:rsidR="001C09AF" w:rsidRPr="00AE3B2D" w14:paraId="78106D61" w14:textId="77777777" w:rsidTr="00583C15"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91BC5E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Subsequent ctDNA test results</w:t>
            </w:r>
          </w:p>
          <w:p w14:paraId="73F44DAB" w14:textId="77777777" w:rsidR="001C09AF" w:rsidRPr="00AE3B2D" w:rsidRDefault="00000000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85"/>
                <w:id w:val="1813680908"/>
              </w:sdtPr>
              <w:sdtContent>
                <w:r w:rsidR="001C09AF" w:rsidRPr="00AE3B2D">
                  <w:rPr>
                    <w:rFonts w:ascii="Times New Roman" w:eastAsia="Arial Unicode MS" w:hAnsi="Times New Roman" w:cs="Times New Roman"/>
                    <w:b/>
                    <w:bCs/>
                    <w:sz w:val="22"/>
                    <w:szCs w:val="22"/>
                  </w:rPr>
                  <w:t xml:space="preserve">(test → next </w:t>
                </w:r>
                <w:proofErr w:type="gramStart"/>
                <w:r w:rsidR="001C09AF" w:rsidRPr="00AE3B2D">
                  <w:rPr>
                    <w:rFonts w:ascii="Times New Roman" w:eastAsia="Arial Unicode MS" w:hAnsi="Times New Roman" w:cs="Times New Roman"/>
                    <w:b/>
                    <w:bCs/>
                    <w:sz w:val="22"/>
                    <w:szCs w:val="22"/>
                  </w:rPr>
                  <w:t>test )</w:t>
                </w:r>
                <w:proofErr w:type="gramEnd"/>
              </w:sdtContent>
            </w:sdt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48C0F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n Patients*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8E0DB8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 xml:space="preserve">Time to next test, </w:t>
            </w:r>
            <w:proofErr w:type="gramStart"/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months;</w:t>
            </w:r>
            <w:proofErr w:type="gramEnd"/>
          </w:p>
          <w:p w14:paraId="40B0FF78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median (range)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57E33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Relapse (n)</w:t>
            </w:r>
          </w:p>
        </w:tc>
        <w:tc>
          <w:tcPr>
            <w:tcW w:w="10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7620A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No Relapse (n)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8E89C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b/>
                <w:bCs/>
                <w:sz w:val="22"/>
                <w:szCs w:val="22"/>
              </w:rPr>
              <w:t>Relapse rate (%)</w:t>
            </w:r>
          </w:p>
        </w:tc>
      </w:tr>
      <w:tr w:rsidR="001C09AF" w:rsidRPr="00AE3B2D" w14:paraId="58CCD2D6" w14:textId="77777777" w:rsidTr="00583C15">
        <w:trPr>
          <w:trHeight w:val="411"/>
        </w:trPr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4111BC" w14:textId="77777777" w:rsidR="001C09AF" w:rsidRPr="00AE3B2D" w:rsidRDefault="00000000" w:rsidP="00583C1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86"/>
                <w:id w:val="-1872498593"/>
              </w:sdtPr>
              <w:sdtContent>
                <w:r w:rsidR="001C09AF" w:rsidRPr="00AE3B2D"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  <w:t>Negative → Negative</w:t>
                </w:r>
              </w:sdtContent>
            </w:sdt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21790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4991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5EC6FB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3.41 (0.033-33.5)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45297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10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E148AA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4922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AD8B7B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1.38%</w:t>
            </w:r>
          </w:p>
        </w:tc>
      </w:tr>
      <w:tr w:rsidR="001C09AF" w:rsidRPr="00AE3B2D" w14:paraId="538DE4C9" w14:textId="77777777" w:rsidTr="00583C15"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C13DD3" w14:textId="77777777" w:rsidR="001C09AF" w:rsidRPr="00AE3B2D" w:rsidRDefault="00000000" w:rsidP="00583C1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87"/>
                <w:id w:val="190875612"/>
              </w:sdtPr>
              <w:sdtContent>
                <w:r w:rsidR="001C09AF" w:rsidRPr="00AE3B2D"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  <w:t>Positive → Negative</w:t>
                </w:r>
              </w:sdtContent>
            </w:sdt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D9893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831FD6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2.77 (0.45-10.3)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6925D1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0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C8AEE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ABBA8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8.49%</w:t>
            </w:r>
          </w:p>
        </w:tc>
      </w:tr>
      <w:tr w:rsidR="001C09AF" w:rsidRPr="00AE3B2D" w14:paraId="4FFF273B" w14:textId="77777777" w:rsidTr="00583C15"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DB2C" w14:textId="77777777" w:rsidR="001C09AF" w:rsidRPr="00AE3B2D" w:rsidRDefault="00000000" w:rsidP="00583C1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88"/>
                <w:id w:val="2032080991"/>
              </w:sdtPr>
              <w:sdtContent>
                <w:r w:rsidR="001C09AF" w:rsidRPr="00AE3B2D"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  <w:t>Negative → Positive</w:t>
                </w:r>
              </w:sdtContent>
            </w:sdt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7AECE4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188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ED2BA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1.69 (0.46-6.13)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6F2A1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0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D6C1C9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517CE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18.62%</w:t>
            </w:r>
          </w:p>
        </w:tc>
      </w:tr>
      <w:tr w:rsidR="001C09AF" w:rsidRPr="00AE3B2D" w14:paraId="36B6CABB" w14:textId="77777777" w:rsidTr="00583C15">
        <w:tc>
          <w:tcPr>
            <w:tcW w:w="23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90E3C5" w14:textId="77777777" w:rsidR="001C09AF" w:rsidRPr="00AE3B2D" w:rsidRDefault="00000000" w:rsidP="00583C15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889"/>
                <w:id w:val="-1608067256"/>
              </w:sdtPr>
              <w:sdtContent>
                <w:r w:rsidR="001C09AF" w:rsidRPr="00AE3B2D">
                  <w:rPr>
                    <w:rFonts w:ascii="Times New Roman" w:eastAsia="Arial Unicode MS" w:hAnsi="Times New Roman" w:cs="Times New Roman"/>
                    <w:sz w:val="22"/>
                    <w:szCs w:val="22"/>
                  </w:rPr>
                  <w:t>Positive → Positive</w:t>
                </w:r>
              </w:sdtContent>
            </w:sdt>
          </w:p>
        </w:tc>
        <w:tc>
          <w:tcPr>
            <w:tcW w:w="127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7EAE2B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407</w:t>
            </w:r>
          </w:p>
        </w:tc>
        <w:tc>
          <w:tcPr>
            <w:tcW w:w="17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EC8AE6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2.07 (0.20-16.3)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998D51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148</w:t>
            </w:r>
          </w:p>
        </w:tc>
        <w:tc>
          <w:tcPr>
            <w:tcW w:w="106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CF4E9D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259</w:t>
            </w:r>
          </w:p>
        </w:tc>
        <w:tc>
          <w:tcPr>
            <w:tcW w:w="130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shd w:val="clear" w:color="auto" w:fill="F3F3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07D658" w14:textId="77777777" w:rsidR="001C09AF" w:rsidRPr="00AE3B2D" w:rsidRDefault="001C09AF" w:rsidP="00583C15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AE3B2D">
              <w:rPr>
                <w:rFonts w:ascii="Times New Roman" w:eastAsia="Arial" w:hAnsi="Times New Roman" w:cs="Times New Roman"/>
                <w:sz w:val="22"/>
                <w:szCs w:val="22"/>
              </w:rPr>
              <w:t>36.36%</w:t>
            </w:r>
          </w:p>
        </w:tc>
      </w:tr>
    </w:tbl>
    <w:p w14:paraId="1D8C3CD4" w14:textId="77777777" w:rsidR="001C09AF" w:rsidRPr="00AE3B2D" w:rsidRDefault="001C09AF" w:rsidP="001C09AF">
      <w:pPr>
        <w:spacing w:before="240" w:after="240"/>
        <w:jc w:val="both"/>
        <w:rPr>
          <w:rFonts w:ascii="Times New Roman" w:hAnsi="Times New Roman" w:cs="Times New Roman"/>
        </w:rPr>
      </w:pPr>
    </w:p>
    <w:p w14:paraId="28066324" w14:textId="77777777" w:rsidR="001C09AF" w:rsidRPr="00AE3B2D" w:rsidRDefault="001C09AF" w:rsidP="001C09AF">
      <w:pPr>
        <w:rPr>
          <w:rFonts w:ascii="Times New Roman" w:hAnsi="Times New Roman" w:cs="Times New Roman"/>
        </w:rPr>
      </w:pPr>
    </w:p>
    <w:p w14:paraId="1816128E" w14:textId="77777777" w:rsidR="001C09AF" w:rsidRPr="00AE3B2D" w:rsidRDefault="001C09AF" w:rsidP="001C09AF">
      <w:pPr>
        <w:pStyle w:val="Heading2"/>
        <w:spacing w:line="480" w:lineRule="auto"/>
      </w:pPr>
      <w:bookmarkStart w:id="0" w:name="_heading=h.vnqk5ip6lvgw" w:colFirst="0" w:colLast="0"/>
      <w:bookmarkEnd w:id="0"/>
      <w:r w:rsidRPr="00AE3B2D">
        <w:lastRenderedPageBreak/>
        <w:t>Supplemental Figures</w:t>
      </w:r>
    </w:p>
    <w:p w14:paraId="21D28716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E3B2D">
        <w:rPr>
          <w:rFonts w:ascii="Times New Roman" w:eastAsia="Times New Roman" w:hAnsi="Times New Roman" w:cs="Times New Roman"/>
          <w:noProof/>
        </w:rPr>
        <w:drawing>
          <wp:inline distT="19050" distB="19050" distL="19050" distR="19050" wp14:anchorId="0AF5923C" wp14:editId="09F7B103">
            <wp:extent cx="5943600" cy="2514600"/>
            <wp:effectExtent l="0" t="0" r="0" b="0"/>
            <wp:docPr id="1" name="image8.png" descr="Fig_S1A_MRD_MTM_overall_plo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Fig_S1A_MRD_MTM_overall_plot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E3B2D">
        <w:rPr>
          <w:rFonts w:ascii="Times New Roman" w:eastAsia="Times New Roman" w:hAnsi="Times New Roman" w:cs="Times New Roman"/>
          <w:b/>
          <w:bCs/>
        </w:rPr>
        <w:t xml:space="preserve">Supplemental Figure 1. </w:t>
      </w:r>
      <w:r w:rsidRPr="00AE3B2D">
        <w:rPr>
          <w:rFonts w:ascii="Times New Roman" w:eastAsia="Times New Roman" w:hAnsi="Times New Roman" w:cs="Times New Roman"/>
        </w:rPr>
        <w:t>Wilcox-test (non-parametric unpaired test) of ctDNA levels (MTM/mL) in patients who experienced relapse vs. those who did not among A) all patients and B) patients grouped by breast cancer molecular subtype.</w:t>
      </w:r>
    </w:p>
    <w:p w14:paraId="249524FF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08B9017D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E3B2D">
        <w:rPr>
          <w:rFonts w:ascii="Times New Roman" w:eastAsia="Times New Roman" w:hAnsi="Times New Roman" w:cs="Times New Roman"/>
          <w:noProof/>
        </w:rPr>
        <w:drawing>
          <wp:inline distT="19050" distB="19050" distL="19050" distR="19050" wp14:anchorId="7E4E6FD1" wp14:editId="222499D1">
            <wp:extent cx="5943600" cy="1917700"/>
            <wp:effectExtent l="0" t="0" r="0" b="0"/>
            <wp:docPr id="3" name="image1.png" descr="Supplemental S2_postop window MRD status DRFS_by subtyp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upplemental S2_postop window MRD status DRFS_by subtype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7ACA63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873883">
        <w:rPr>
          <w:rFonts w:ascii="Times New Roman" w:eastAsia="Times New Roman" w:hAnsi="Times New Roman" w:cs="Times New Roman"/>
          <w:b/>
          <w:bCs/>
        </w:rPr>
        <w:t xml:space="preserve">Supplemental Figure 2. </w:t>
      </w:r>
      <w:r w:rsidRPr="00AE3B2D">
        <w:rPr>
          <w:rFonts w:ascii="Times New Roman" w:eastAsia="Times New Roman" w:hAnsi="Times New Roman" w:cs="Times New Roman"/>
        </w:rPr>
        <w:t xml:space="preserve">Prognostic significance of molecular residual disease (MRD) at 3-months post-surgery by receptor subtype.  A-C. Kaplan-Meier survival analysis indicated that patients who were ctDNA-positive in the post-operative window (MRD+) experienced significantly inferior DRFS compared to those who were ctDNA-negative in A) TNBC, B) ER+/HER2-, and C) HER2+ </w:t>
      </w:r>
    </w:p>
    <w:p w14:paraId="4DB317B9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E3B2D"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712DA830" wp14:editId="2CF1BE51">
            <wp:extent cx="4692073" cy="3860800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057" b="19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073" cy="386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1F34A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F2115C">
        <w:rPr>
          <w:rFonts w:ascii="Times New Roman" w:eastAsia="Times New Roman" w:hAnsi="Times New Roman" w:cs="Times New Roman"/>
          <w:b/>
          <w:bCs/>
        </w:rPr>
        <w:t>Supplemental Figure 3.</w:t>
      </w:r>
      <w:r w:rsidRPr="00AE3B2D">
        <w:rPr>
          <w:rFonts w:ascii="Times New Roman" w:eastAsia="Times New Roman" w:hAnsi="Times New Roman" w:cs="Times New Roman"/>
        </w:rPr>
        <w:t xml:space="preserve"> In the single-institution actionability cohort, tumor stage distribution was significantly different among the MRD-positive (MRD+</w:t>
      </w:r>
      <w:proofErr w:type="gramStart"/>
      <w:r w:rsidRPr="00AE3B2D">
        <w:rPr>
          <w:rFonts w:ascii="Times New Roman" w:eastAsia="Times New Roman" w:hAnsi="Times New Roman" w:cs="Times New Roman"/>
        </w:rPr>
        <w:t>)  and</w:t>
      </w:r>
      <w:proofErr w:type="gramEnd"/>
      <w:r w:rsidRPr="00AE3B2D">
        <w:rPr>
          <w:rFonts w:ascii="Times New Roman" w:eastAsia="Times New Roman" w:hAnsi="Times New Roman" w:cs="Times New Roman"/>
        </w:rPr>
        <w:t xml:space="preserve"> MRD-negative (MRD-) groups. </w:t>
      </w:r>
    </w:p>
    <w:p w14:paraId="61FF4AFA" w14:textId="77777777" w:rsidR="001C09AF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B29AA00" w14:textId="77777777" w:rsidR="00F2115C" w:rsidRDefault="00F2115C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4638201E" w14:textId="77777777" w:rsidR="00F2115C" w:rsidRPr="00AE3B2D" w:rsidRDefault="00F2115C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19EC44A5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AE3B2D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5615EEA0" wp14:editId="22705CFF">
            <wp:extent cx="5943600" cy="13716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123008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0CC95E54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00F2115C">
        <w:rPr>
          <w:rFonts w:ascii="Times New Roman" w:eastAsia="Times New Roman" w:hAnsi="Times New Roman" w:cs="Times New Roman"/>
          <w:b/>
          <w:bCs/>
        </w:rPr>
        <w:t>Supplemental Figure 4.</w:t>
      </w:r>
      <w:r w:rsidRPr="00AE3B2D">
        <w:rPr>
          <w:rFonts w:ascii="Times New Roman" w:eastAsia="Times New Roman" w:hAnsi="Times New Roman" w:cs="Times New Roman"/>
        </w:rPr>
        <w:t xml:space="preserve"> ctDNA dynamics for patients in single-institution cohort with ctDNA-informed medication change who did not clear ctDNA</w:t>
      </w:r>
    </w:p>
    <w:p w14:paraId="24347191" w14:textId="77777777" w:rsidR="001C09AF" w:rsidRPr="00AE3B2D" w:rsidRDefault="001C09AF" w:rsidP="001C09AF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25BCC44" w14:textId="77777777" w:rsidR="00BD5233" w:rsidRDefault="00BD5233"/>
    <w:sectPr w:rsidR="00BD5233" w:rsidSect="001C09AF">
      <w:headerReference w:type="default" r:id="rId10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253E" w14:textId="77777777" w:rsidR="00446EF1" w:rsidRDefault="00446EF1">
      <w:pPr>
        <w:spacing w:after="0" w:line="240" w:lineRule="auto"/>
      </w:pPr>
      <w:r>
        <w:separator/>
      </w:r>
    </w:p>
  </w:endnote>
  <w:endnote w:type="continuationSeparator" w:id="0">
    <w:p w14:paraId="46C2CDA7" w14:textId="77777777" w:rsidR="00446EF1" w:rsidRDefault="00446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A947A" w14:textId="77777777" w:rsidR="00446EF1" w:rsidRDefault="00446EF1">
      <w:pPr>
        <w:spacing w:after="0" w:line="240" w:lineRule="auto"/>
      </w:pPr>
      <w:r>
        <w:separator/>
      </w:r>
    </w:p>
  </w:footnote>
  <w:footnote w:type="continuationSeparator" w:id="0">
    <w:p w14:paraId="58E8C2C1" w14:textId="77777777" w:rsidR="00446EF1" w:rsidRDefault="00446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798E" w14:textId="77777777" w:rsidR="001C09AF" w:rsidRDefault="001C09AF">
    <w:pPr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Page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  <w:r>
      <w:rPr>
        <w:rFonts w:ascii="Arial" w:eastAsia="Arial" w:hAnsi="Arial" w:cs="Arial"/>
        <w:sz w:val="16"/>
        <w:szCs w:val="16"/>
      </w:rPr>
      <w:t xml:space="preserve"> of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NUMPAGES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noProof/>
        <w:sz w:val="16"/>
        <w:szCs w:val="16"/>
      </w:rPr>
      <w:t>2</w:t>
    </w:r>
    <w:r>
      <w:rPr>
        <w:rFonts w:ascii="Arial" w:eastAsia="Arial" w:hAnsi="Arial" w:cs="Arial"/>
        <w:sz w:val="16"/>
        <w:szCs w:val="1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AF"/>
    <w:rsid w:val="000B31DE"/>
    <w:rsid w:val="000B6A18"/>
    <w:rsid w:val="00127895"/>
    <w:rsid w:val="00165118"/>
    <w:rsid w:val="00181F47"/>
    <w:rsid w:val="00194180"/>
    <w:rsid w:val="001A2F77"/>
    <w:rsid w:val="001C09AF"/>
    <w:rsid w:val="001F5FB2"/>
    <w:rsid w:val="002118F2"/>
    <w:rsid w:val="002960A0"/>
    <w:rsid w:val="00377BA0"/>
    <w:rsid w:val="003A4F6B"/>
    <w:rsid w:val="003F6CDF"/>
    <w:rsid w:val="00446EF1"/>
    <w:rsid w:val="00457072"/>
    <w:rsid w:val="0056503E"/>
    <w:rsid w:val="005B7EFD"/>
    <w:rsid w:val="00602C18"/>
    <w:rsid w:val="00614CBD"/>
    <w:rsid w:val="00634EF1"/>
    <w:rsid w:val="00640286"/>
    <w:rsid w:val="00652F03"/>
    <w:rsid w:val="006D303F"/>
    <w:rsid w:val="00742125"/>
    <w:rsid w:val="0076547B"/>
    <w:rsid w:val="00822603"/>
    <w:rsid w:val="008E7892"/>
    <w:rsid w:val="00902694"/>
    <w:rsid w:val="00936B45"/>
    <w:rsid w:val="00967FAB"/>
    <w:rsid w:val="00A61C2A"/>
    <w:rsid w:val="00AA1203"/>
    <w:rsid w:val="00AB4222"/>
    <w:rsid w:val="00AB422F"/>
    <w:rsid w:val="00AD3EEA"/>
    <w:rsid w:val="00AE7508"/>
    <w:rsid w:val="00B81EA8"/>
    <w:rsid w:val="00BB5E00"/>
    <w:rsid w:val="00BB7961"/>
    <w:rsid w:val="00BC36FA"/>
    <w:rsid w:val="00BC73F3"/>
    <w:rsid w:val="00BD5233"/>
    <w:rsid w:val="00BD7B1F"/>
    <w:rsid w:val="00BD7B6B"/>
    <w:rsid w:val="00C3230C"/>
    <w:rsid w:val="00C85377"/>
    <w:rsid w:val="00CB1900"/>
    <w:rsid w:val="00CC39F6"/>
    <w:rsid w:val="00D64C94"/>
    <w:rsid w:val="00D7199C"/>
    <w:rsid w:val="00DE479C"/>
    <w:rsid w:val="00DF1423"/>
    <w:rsid w:val="00ED5875"/>
    <w:rsid w:val="00F2115C"/>
    <w:rsid w:val="00F240AF"/>
    <w:rsid w:val="00F63381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CF1387"/>
  <w15:chartTrackingRefBased/>
  <w15:docId w15:val="{AD209EA0-14C4-374B-98E1-176E336A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9AF"/>
    <w:rPr>
      <w:rFonts w:ascii="Aptos" w:eastAsia="Aptos" w:hAnsi="Aptos" w:cs="Aptos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0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0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0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A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09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AF"/>
    <w:pPr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09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A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C0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311</Words>
  <Characters>1846</Characters>
  <Application>Microsoft Office Word</Application>
  <DocSecurity>0</DocSecurity>
  <Lines>30</Lines>
  <Paragraphs>6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Miller</dc:creator>
  <cp:keywords/>
  <dc:description/>
  <cp:lastModifiedBy>Philip Miller</cp:lastModifiedBy>
  <cp:revision>2</cp:revision>
  <cp:lastPrinted>2026-08-26T16:17:00Z</cp:lastPrinted>
  <dcterms:created xsi:type="dcterms:W3CDTF">2026-08-26T16:18:00Z</dcterms:created>
  <dcterms:modified xsi:type="dcterms:W3CDTF">2026-08-26T16:18:00Z</dcterms:modified>
</cp:coreProperties>
</file>