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A4A73" w14:textId="77777777" w:rsidR="00BB7F68" w:rsidRPr="00E46D51" w:rsidRDefault="00BB7F68" w:rsidP="00BB7F68">
      <w:pPr>
        <w:spacing w:after="0" w:line="480" w:lineRule="auto"/>
        <w:jc w:val="center"/>
        <w:rPr>
          <w:rFonts w:asciiTheme="majorBidi" w:hAnsiTheme="majorBidi" w:cstheme="majorBidi"/>
          <w:b/>
          <w:bCs/>
        </w:rPr>
      </w:pPr>
      <w:r w:rsidRPr="0016439A">
        <w:rPr>
          <w:rFonts w:asciiTheme="majorBidi" w:hAnsiTheme="majorBidi" w:cstheme="majorBidi"/>
          <w:b/>
          <w:bCs/>
        </w:rPr>
        <w:t xml:space="preserve">A Multi-Epitope Vaccine Candidate with Predicted Broad Genotype </w:t>
      </w:r>
      <w:r w:rsidRPr="00E46D51">
        <w:rPr>
          <w:rFonts w:asciiTheme="majorBidi" w:hAnsiTheme="majorBidi" w:cstheme="majorBidi"/>
          <w:b/>
          <w:bCs/>
        </w:rPr>
        <w:t xml:space="preserve">Coverage Against </w:t>
      </w:r>
      <w:r w:rsidRPr="00E46D51">
        <w:rPr>
          <w:rFonts w:asciiTheme="majorBidi" w:hAnsiTheme="majorBidi" w:cstheme="majorBidi"/>
          <w:b/>
          <w:bCs/>
          <w:i/>
          <w:iCs/>
        </w:rPr>
        <w:t>Toxoplasma gondii</w:t>
      </w:r>
      <w:r w:rsidRPr="00E46D51">
        <w:rPr>
          <w:rFonts w:asciiTheme="majorBidi" w:hAnsiTheme="majorBidi" w:cstheme="majorBidi"/>
          <w:b/>
          <w:bCs/>
        </w:rPr>
        <w:t xml:space="preserve"> Designed by Reverse Vaccinology and </w:t>
      </w:r>
      <w:proofErr w:type="spellStart"/>
      <w:r w:rsidRPr="00E46D51">
        <w:rPr>
          <w:rFonts w:asciiTheme="majorBidi" w:hAnsiTheme="majorBidi" w:cstheme="majorBidi"/>
          <w:b/>
          <w:bCs/>
        </w:rPr>
        <w:t>Immunoinformatics</w:t>
      </w:r>
      <w:proofErr w:type="spellEnd"/>
      <w:r w:rsidRPr="00E46D51">
        <w:rPr>
          <w:rFonts w:asciiTheme="majorBidi" w:hAnsiTheme="majorBidi" w:cstheme="majorBidi"/>
          <w:b/>
          <w:bCs/>
        </w:rPr>
        <w:t xml:space="preserve"> Strategies</w:t>
      </w:r>
    </w:p>
    <w:p w14:paraId="1D9CAB95" w14:textId="388E5E71" w:rsidR="0017556B" w:rsidRPr="0017556B" w:rsidRDefault="0017556B" w:rsidP="0017556B">
      <w:pPr>
        <w:spacing w:after="0" w:line="480" w:lineRule="auto"/>
        <w:jc w:val="center"/>
        <w:rPr>
          <w:rFonts w:asciiTheme="majorBidi" w:hAnsiTheme="majorBidi" w:cstheme="majorBidi"/>
          <w:b/>
          <w:bCs/>
          <w:color w:val="00B050"/>
          <w:sz w:val="28"/>
          <w:szCs w:val="28"/>
        </w:rPr>
      </w:pPr>
      <w:r w:rsidRPr="0017556B">
        <w:rPr>
          <w:rFonts w:asciiTheme="majorBidi" w:hAnsiTheme="majorBidi" w:cstheme="majorBidi"/>
          <w:b/>
          <w:bCs/>
          <w:color w:val="00B050"/>
          <w:sz w:val="28"/>
          <w:szCs w:val="28"/>
        </w:rPr>
        <w:t>Supplementary Material 3</w:t>
      </w:r>
      <w:r w:rsidR="00272AC9">
        <w:rPr>
          <w:rFonts w:asciiTheme="majorBidi" w:hAnsiTheme="majorBidi" w:cstheme="majorBidi"/>
          <w:b/>
          <w:bCs/>
          <w:color w:val="00B050"/>
          <w:sz w:val="28"/>
          <w:szCs w:val="28"/>
        </w:rPr>
        <w:t xml:space="preserve">: </w:t>
      </w:r>
      <w:r w:rsidR="00272AC9" w:rsidRPr="00272AC9">
        <w:rPr>
          <w:rFonts w:asciiTheme="majorBidi" w:hAnsiTheme="majorBidi" w:cstheme="majorBidi"/>
          <w:sz w:val="28"/>
          <w:szCs w:val="28"/>
        </w:rPr>
        <w:t>Figures</w:t>
      </w:r>
    </w:p>
    <w:p w14:paraId="7636FD75" w14:textId="698B3C7E" w:rsidR="00BB7F68" w:rsidRDefault="00BB7F68" w:rsidP="00BB7F68">
      <w:pPr>
        <w:spacing w:after="0" w:line="48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Mostafa R. Zaher</w:t>
      </w:r>
      <w:r w:rsidRPr="00332326">
        <w:rPr>
          <w:rFonts w:asciiTheme="majorBidi" w:hAnsiTheme="majorBidi" w:cstheme="majorBidi"/>
          <w:b/>
          <w:bCs/>
          <w:vertAlign w:val="superscript"/>
        </w:rPr>
        <w:t>1</w:t>
      </w:r>
      <w:r>
        <w:rPr>
          <w:rFonts w:asciiTheme="majorBidi" w:hAnsiTheme="majorBidi" w:cstheme="majorBidi"/>
          <w:b/>
          <w:bCs/>
          <w:vertAlign w:val="superscript"/>
        </w:rPr>
        <w:t>*</w:t>
      </w:r>
      <w:r>
        <w:rPr>
          <w:rFonts w:asciiTheme="majorBidi" w:hAnsiTheme="majorBidi" w:cstheme="majorBidi"/>
          <w:b/>
          <w:bCs/>
        </w:rPr>
        <w:t xml:space="preserve"> and Dalia M. El-Husseini</w:t>
      </w:r>
      <w:r>
        <w:rPr>
          <w:rFonts w:asciiTheme="majorBidi" w:hAnsiTheme="majorBidi" w:cstheme="majorBidi"/>
          <w:b/>
          <w:bCs/>
          <w:vertAlign w:val="superscript"/>
        </w:rPr>
        <w:t>2</w:t>
      </w:r>
    </w:p>
    <w:p w14:paraId="36A66FFC" w14:textId="77777777" w:rsidR="00BB7F68" w:rsidRPr="00DD56D9" w:rsidRDefault="00BB7F68" w:rsidP="00BB7F68">
      <w:pPr>
        <w:spacing w:after="0" w:line="480" w:lineRule="auto"/>
        <w:jc w:val="both"/>
        <w:rPr>
          <w:rFonts w:asciiTheme="majorBidi" w:hAnsiTheme="majorBidi" w:cstheme="majorBidi"/>
        </w:rPr>
      </w:pPr>
      <w:r w:rsidRPr="00DD56D9">
        <w:rPr>
          <w:rFonts w:asciiTheme="majorBidi" w:hAnsiTheme="majorBidi" w:cstheme="majorBidi"/>
          <w:vertAlign w:val="superscript"/>
        </w:rPr>
        <w:t>1</w:t>
      </w:r>
      <w:r w:rsidRPr="00DD56D9">
        <w:rPr>
          <w:rFonts w:asciiTheme="majorBidi" w:hAnsiTheme="majorBidi" w:cstheme="majorBidi"/>
        </w:rPr>
        <w:t xml:space="preserve"> Genome Research Unit, Animal Health Research Institute (AHRI), Agricultural Research Center (ARC), Giza 12618, Egypt.</w:t>
      </w:r>
    </w:p>
    <w:p w14:paraId="3F4D4795" w14:textId="77777777" w:rsidR="0017556B" w:rsidRDefault="00BB7F68" w:rsidP="0017556B">
      <w:pPr>
        <w:spacing w:after="0" w:line="480" w:lineRule="auto"/>
        <w:jc w:val="both"/>
        <w:rPr>
          <w:rFonts w:asciiTheme="majorBidi" w:hAnsiTheme="majorBidi" w:cstheme="majorBidi"/>
        </w:rPr>
      </w:pPr>
      <w:r w:rsidRPr="00DD56D9">
        <w:rPr>
          <w:rFonts w:asciiTheme="majorBidi" w:hAnsiTheme="majorBidi" w:cstheme="majorBidi"/>
          <w:vertAlign w:val="superscript"/>
        </w:rPr>
        <w:t>2</w:t>
      </w:r>
      <w:r w:rsidRPr="00DD56D9">
        <w:rPr>
          <w:rFonts w:asciiTheme="majorBidi" w:hAnsiTheme="majorBidi" w:cstheme="majorBidi"/>
        </w:rPr>
        <w:t xml:space="preserve"> Nanomaterials Research and Synthesis Unit, Animal Health Research Institute (AHRI), Agricultural Research Center (ARC), Giza 12618, Egypt.</w:t>
      </w:r>
    </w:p>
    <w:p w14:paraId="5C38ED43" w14:textId="77816016" w:rsidR="00B638E8" w:rsidRDefault="00BB7F68" w:rsidP="0017556B">
      <w:pPr>
        <w:spacing w:after="0" w:line="48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Corresponding Author: Mostafa R. Zaher, e-mail: </w:t>
      </w:r>
      <w:hyperlink r:id="rId5" w:history="1">
        <w:r w:rsidRPr="0093591E">
          <w:rPr>
            <w:rStyle w:val="Hyperlink"/>
            <w:rFonts w:asciiTheme="majorBidi" w:hAnsiTheme="majorBidi" w:cstheme="majorBidi"/>
            <w:b/>
            <w:bCs/>
          </w:rPr>
          <w:t>mostafa.r.zaher@ahri.gov.eg</w:t>
        </w:r>
      </w:hyperlink>
      <w:r>
        <w:rPr>
          <w:rFonts w:asciiTheme="majorBidi" w:hAnsiTheme="majorBidi" w:cstheme="majorBidi"/>
          <w:b/>
          <w:bCs/>
        </w:rPr>
        <w:br/>
      </w:r>
      <w:r w:rsidR="00B638E8">
        <w:rPr>
          <w:rFonts w:asciiTheme="majorBidi" w:hAnsiTheme="majorBidi" w:cstheme="majorBidi"/>
          <w:b/>
          <w:bCs/>
        </w:rPr>
        <w:t>Data</w:t>
      </w:r>
      <w:r w:rsidR="00B638E8" w:rsidRPr="00B638E8">
        <w:rPr>
          <w:rFonts w:asciiTheme="majorBidi" w:hAnsiTheme="majorBidi" w:cstheme="majorBidi"/>
          <w:b/>
          <w:bCs/>
        </w:rPr>
        <w:t xml:space="preserve"> represented here are:</w:t>
      </w:r>
    </w:p>
    <w:p w14:paraId="555A3949" w14:textId="7FAA8BC8" w:rsidR="00B638E8" w:rsidRPr="00A01116" w:rsidRDefault="00B638E8" w:rsidP="00A0111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A01116">
        <w:rPr>
          <w:rFonts w:asciiTheme="majorBidi" w:hAnsiTheme="majorBidi" w:cstheme="majorBidi"/>
          <w:b/>
          <w:bCs/>
          <w:sz w:val="28"/>
          <w:szCs w:val="28"/>
        </w:rPr>
        <w:t>Fig S1:</w:t>
      </w:r>
      <w:r w:rsidRPr="00A01116">
        <w:rPr>
          <w:rFonts w:asciiTheme="majorBidi" w:hAnsiTheme="majorBidi" w:cstheme="majorBidi"/>
          <w:sz w:val="28"/>
          <w:szCs w:val="28"/>
        </w:rPr>
        <w:t xml:space="preserve"> secondary structure prediction analysis of vaccine constructs.</w:t>
      </w:r>
    </w:p>
    <w:p w14:paraId="34E9670D" w14:textId="0C647B50" w:rsidR="00B638E8" w:rsidRPr="00A01116" w:rsidRDefault="00B638E8" w:rsidP="00A0111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A01116">
        <w:rPr>
          <w:rFonts w:asciiTheme="majorBidi" w:hAnsiTheme="majorBidi" w:cstheme="majorBidi"/>
          <w:b/>
          <w:bCs/>
          <w:sz w:val="28"/>
          <w:szCs w:val="28"/>
        </w:rPr>
        <w:t>Fig S2:</w:t>
      </w:r>
      <w:r w:rsidRPr="00A01116">
        <w:rPr>
          <w:rFonts w:asciiTheme="majorBidi" w:hAnsiTheme="majorBidi" w:cstheme="majorBidi"/>
          <w:sz w:val="28"/>
          <w:szCs w:val="28"/>
        </w:rPr>
        <w:t xml:space="preserve"> </w:t>
      </w:r>
      <w:r w:rsidR="00DD6EC3" w:rsidRPr="00A01116">
        <w:rPr>
          <w:rFonts w:asciiTheme="majorBidi" w:hAnsiTheme="majorBidi" w:cstheme="majorBidi"/>
          <w:sz w:val="28"/>
          <w:szCs w:val="28"/>
        </w:rPr>
        <w:t>Immune simulation analysis using the C-</w:t>
      </w:r>
      <w:proofErr w:type="spellStart"/>
      <w:r w:rsidR="00DD6EC3" w:rsidRPr="00A01116">
        <w:rPr>
          <w:rFonts w:asciiTheme="majorBidi" w:hAnsiTheme="majorBidi" w:cstheme="majorBidi"/>
          <w:sz w:val="28"/>
          <w:szCs w:val="28"/>
        </w:rPr>
        <w:t>ImmSim</w:t>
      </w:r>
      <w:proofErr w:type="spellEnd"/>
      <w:r w:rsidR="00DD6EC3" w:rsidRPr="00A01116">
        <w:rPr>
          <w:rFonts w:asciiTheme="majorBidi" w:hAnsiTheme="majorBidi" w:cstheme="majorBidi"/>
          <w:sz w:val="28"/>
          <w:szCs w:val="28"/>
        </w:rPr>
        <w:t xml:space="preserve"> webserver.</w:t>
      </w:r>
    </w:p>
    <w:p w14:paraId="4A913274" w14:textId="422A65C4" w:rsidR="00DD6EC3" w:rsidRPr="00A01116" w:rsidRDefault="00DD6EC3" w:rsidP="00A0111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A01116">
        <w:rPr>
          <w:rFonts w:asciiTheme="majorBidi" w:hAnsiTheme="majorBidi" w:cstheme="majorBidi"/>
          <w:b/>
          <w:bCs/>
          <w:sz w:val="28"/>
          <w:szCs w:val="28"/>
        </w:rPr>
        <w:t>Fig S3:</w:t>
      </w:r>
      <w:r w:rsidRPr="00A01116">
        <w:rPr>
          <w:rFonts w:asciiTheme="majorBidi" w:hAnsiTheme="majorBidi" w:cstheme="majorBidi"/>
          <w:sz w:val="28"/>
          <w:szCs w:val="28"/>
        </w:rPr>
        <w:t xml:space="preserve"> Per-residue Cα root-mean-square fluctuation (RMSF). </w:t>
      </w:r>
    </w:p>
    <w:p w14:paraId="151FEB1E" w14:textId="59B26E49" w:rsidR="00DD6EC3" w:rsidRPr="00A01116" w:rsidRDefault="00DD6EC3" w:rsidP="00A0111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A01116">
        <w:rPr>
          <w:rFonts w:asciiTheme="majorBidi" w:hAnsiTheme="majorBidi" w:cstheme="majorBidi"/>
          <w:b/>
          <w:bCs/>
          <w:sz w:val="28"/>
          <w:szCs w:val="28"/>
        </w:rPr>
        <w:t>Fig S4</w:t>
      </w:r>
      <w:r w:rsidR="00A01116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A01116">
        <w:rPr>
          <w:rFonts w:asciiTheme="majorBidi" w:hAnsiTheme="majorBidi" w:cstheme="majorBidi"/>
          <w:sz w:val="28"/>
          <w:szCs w:val="28"/>
        </w:rPr>
        <w:t xml:space="preserve"> Radius of gyration (</w:t>
      </w:r>
      <w:proofErr w:type="spellStart"/>
      <w:r w:rsidRPr="00A01116">
        <w:rPr>
          <w:rFonts w:asciiTheme="majorBidi" w:hAnsiTheme="majorBidi" w:cstheme="majorBidi"/>
          <w:sz w:val="28"/>
          <w:szCs w:val="28"/>
        </w:rPr>
        <w:t>Rg</w:t>
      </w:r>
      <w:proofErr w:type="spellEnd"/>
      <w:r w:rsidRPr="00A01116">
        <w:rPr>
          <w:rFonts w:asciiTheme="majorBidi" w:hAnsiTheme="majorBidi" w:cstheme="majorBidi"/>
          <w:sz w:val="28"/>
          <w:szCs w:val="28"/>
        </w:rPr>
        <w:t>) versus time.</w:t>
      </w:r>
    </w:p>
    <w:p w14:paraId="056DCDAC" w14:textId="4192BC5B" w:rsidR="00DD6EC3" w:rsidRPr="00A01116" w:rsidRDefault="00DD6EC3" w:rsidP="00A0111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A01116">
        <w:rPr>
          <w:rFonts w:asciiTheme="majorBidi" w:hAnsiTheme="majorBidi" w:cstheme="majorBidi"/>
          <w:b/>
          <w:bCs/>
          <w:sz w:val="28"/>
          <w:szCs w:val="28"/>
        </w:rPr>
        <w:t>Fig S5</w:t>
      </w:r>
      <w:r w:rsidR="00A01116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A01116">
        <w:rPr>
          <w:rFonts w:asciiTheme="majorBidi" w:hAnsiTheme="majorBidi" w:cstheme="majorBidi"/>
          <w:sz w:val="28"/>
          <w:szCs w:val="28"/>
        </w:rPr>
        <w:t xml:space="preserve"> Solvent-accessible surface area (SASA) versus time.</w:t>
      </w:r>
    </w:p>
    <w:p w14:paraId="1B582A3D" w14:textId="7543C7BA" w:rsidR="00DD6EC3" w:rsidRPr="00A01116" w:rsidRDefault="00DD6EC3" w:rsidP="00A0111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A01116">
        <w:rPr>
          <w:rFonts w:asciiTheme="majorBidi" w:hAnsiTheme="majorBidi" w:cstheme="majorBidi"/>
          <w:b/>
          <w:bCs/>
          <w:sz w:val="28"/>
          <w:szCs w:val="28"/>
        </w:rPr>
        <w:t>Fig S6</w:t>
      </w:r>
      <w:r w:rsidR="00A01116" w:rsidRPr="00A01116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A01116">
        <w:rPr>
          <w:rFonts w:asciiTheme="majorBidi" w:hAnsiTheme="majorBidi" w:cstheme="majorBidi"/>
          <w:sz w:val="28"/>
          <w:szCs w:val="28"/>
        </w:rPr>
        <w:t xml:space="preserve"> Number of intermolecular hydrogen bonds at the receptor-vaccine interface versus time</w:t>
      </w:r>
    </w:p>
    <w:p w14:paraId="0D2677A3" w14:textId="1D6854E3" w:rsidR="00DD6EC3" w:rsidRPr="00A01116" w:rsidRDefault="00DD6EC3" w:rsidP="00A0111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A01116">
        <w:rPr>
          <w:rFonts w:asciiTheme="majorBidi" w:hAnsiTheme="majorBidi" w:cstheme="majorBidi"/>
          <w:b/>
          <w:bCs/>
          <w:sz w:val="28"/>
          <w:szCs w:val="28"/>
        </w:rPr>
        <w:t>Fig S7</w:t>
      </w:r>
      <w:r w:rsidR="00A01116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A01116">
        <w:rPr>
          <w:rFonts w:asciiTheme="majorBidi" w:hAnsiTheme="majorBidi" w:cstheme="majorBidi"/>
          <w:sz w:val="28"/>
          <w:szCs w:val="28"/>
        </w:rPr>
        <w:t xml:space="preserve"> Top interface residues for each chain and complex. </w:t>
      </w:r>
    </w:p>
    <w:p w14:paraId="3BA69836" w14:textId="37C7CA1B" w:rsidR="00DD6EC3" w:rsidRPr="00A01116" w:rsidRDefault="00DD6EC3" w:rsidP="00A0111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A01116">
        <w:rPr>
          <w:rFonts w:asciiTheme="majorBidi" w:hAnsiTheme="majorBidi" w:cstheme="majorBidi"/>
          <w:b/>
          <w:bCs/>
          <w:sz w:val="28"/>
          <w:szCs w:val="28"/>
        </w:rPr>
        <w:t>Fig S8</w:t>
      </w:r>
      <w:r w:rsidR="00A01116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A01116">
        <w:rPr>
          <w:rFonts w:asciiTheme="majorBidi" w:hAnsiTheme="majorBidi" w:cstheme="majorBidi"/>
          <w:sz w:val="28"/>
          <w:szCs w:val="28"/>
        </w:rPr>
        <w:t xml:space="preserve"> Time course of the top interface contacts.</w:t>
      </w:r>
    </w:p>
    <w:p w14:paraId="7F204213" w14:textId="6DB5382C" w:rsidR="00BB7F68" w:rsidRPr="0017556B" w:rsidRDefault="00BB7F68" w:rsidP="0017556B">
      <w:pPr>
        <w:spacing w:after="0"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br/>
      </w:r>
    </w:p>
    <w:p w14:paraId="2AE26FDD" w14:textId="77777777" w:rsidR="00BB7F68" w:rsidRDefault="00BB7F68" w:rsidP="00FF601E">
      <w:pPr>
        <w:keepNext/>
      </w:pPr>
    </w:p>
    <w:p w14:paraId="1D45D1A0" w14:textId="1393DF19" w:rsidR="00FF601E" w:rsidRDefault="00FF601E" w:rsidP="00FF601E">
      <w:pPr>
        <w:keepNext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10B61C" wp14:editId="10FAF4C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101480" cy="3994484"/>
            <wp:effectExtent l="0" t="0" r="4445" b="6350"/>
            <wp:wrapTight wrapText="bothSides">
              <wp:wrapPolygon edited="0">
                <wp:start x="0" y="0"/>
                <wp:lineTo x="0" y="21531"/>
                <wp:lineTo x="21556" y="21531"/>
                <wp:lineTo x="21556" y="0"/>
                <wp:lineTo x="0" y="0"/>
              </wp:wrapPolygon>
            </wp:wrapTight>
            <wp:docPr id="10275446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544628" name="Picture 102754462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1480" cy="3994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58CD9E" w14:textId="30F35F85" w:rsidR="006A31B0" w:rsidRDefault="00FF601E" w:rsidP="00FF601E">
      <w:pPr>
        <w:pStyle w:val="Caption"/>
      </w:pPr>
      <w:r>
        <w:t xml:space="preserve">Fig. </w:t>
      </w:r>
      <w:r w:rsidR="00205574">
        <w:t>S</w:t>
      </w:r>
      <w:fldSimple w:instr=" SEQ Fig. \* ARABIC ">
        <w:r>
          <w:rPr>
            <w:noProof/>
          </w:rPr>
          <w:t>1</w:t>
        </w:r>
      </w:fldSimple>
      <w:r>
        <w:t xml:space="preserve"> </w:t>
      </w:r>
      <w:r w:rsidRPr="00FF601E">
        <w:t>secondary structure prediction analysis of vaccine constructs A) MEV</w:t>
      </w:r>
      <w:r>
        <w:t>-</w:t>
      </w:r>
      <w:r w:rsidRPr="00FF601E">
        <w:t>1A, B) MEV</w:t>
      </w:r>
      <w:r>
        <w:t>-</w:t>
      </w:r>
      <w:r w:rsidRPr="00FF601E">
        <w:t>2A, and C) MEV</w:t>
      </w:r>
      <w:r>
        <w:t>-</w:t>
      </w:r>
      <w:r w:rsidRPr="00FF601E">
        <w:t>3A</w:t>
      </w:r>
    </w:p>
    <w:p w14:paraId="71AEFE61" w14:textId="77777777" w:rsidR="00FF601E" w:rsidRPr="00FF601E" w:rsidRDefault="00FF601E" w:rsidP="00FF601E"/>
    <w:p w14:paraId="750C65F2" w14:textId="2F46D3D1" w:rsidR="00FF601E" w:rsidRDefault="00FF601E" w:rsidP="00BB7F68">
      <w:pPr>
        <w:tabs>
          <w:tab w:val="left" w:pos="8488"/>
        </w:tabs>
      </w:pPr>
    </w:p>
    <w:p w14:paraId="7B2F11B8" w14:textId="77777777" w:rsidR="00FF601E" w:rsidRDefault="00FF601E" w:rsidP="00FF601E">
      <w:pPr>
        <w:keepNext/>
        <w:tabs>
          <w:tab w:val="left" w:pos="8488"/>
        </w:tabs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E1E7A14" wp14:editId="1602421B">
            <wp:simplePos x="0" y="0"/>
            <wp:positionH relativeFrom="column">
              <wp:posOffset>-681820</wp:posOffset>
            </wp:positionH>
            <wp:positionV relativeFrom="paragraph">
              <wp:posOffset>0</wp:posOffset>
            </wp:positionV>
            <wp:extent cx="7047705" cy="2936674"/>
            <wp:effectExtent l="0" t="0" r="1270" b="0"/>
            <wp:wrapTight wrapText="bothSides">
              <wp:wrapPolygon edited="0">
                <wp:start x="0" y="0"/>
                <wp:lineTo x="0" y="21441"/>
                <wp:lineTo x="21546" y="21441"/>
                <wp:lineTo x="21546" y="0"/>
                <wp:lineTo x="0" y="0"/>
              </wp:wrapPolygon>
            </wp:wrapTight>
            <wp:docPr id="2053442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44253" name="Picture 20534425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7705" cy="2936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2B2ED7" w14:textId="04D315AE" w:rsidR="00FF601E" w:rsidRDefault="00FF601E" w:rsidP="00FF601E">
      <w:pPr>
        <w:pStyle w:val="Caption"/>
      </w:pPr>
      <w:r>
        <w:t xml:space="preserve">Fig. </w:t>
      </w:r>
      <w:r w:rsidR="00205574">
        <w:t>S</w:t>
      </w:r>
      <w:fldSimple w:instr=" SEQ Fig. \* ARABIC ">
        <w:r>
          <w:rPr>
            <w:noProof/>
          </w:rPr>
          <w:t>2</w:t>
        </w:r>
      </w:fldSimple>
      <w:r>
        <w:t xml:space="preserve"> </w:t>
      </w:r>
      <w:r w:rsidRPr="00543FBF">
        <w:t>Immune simulation analysis using the C-</w:t>
      </w:r>
      <w:proofErr w:type="spellStart"/>
      <w:r w:rsidRPr="00543FBF">
        <w:t>ImmSim</w:t>
      </w:r>
      <w:proofErr w:type="spellEnd"/>
      <w:r w:rsidRPr="00543FBF">
        <w:t xml:space="preserve"> webserver for highly performing vaccine constructs against Human leukocyte alleles.</w:t>
      </w:r>
    </w:p>
    <w:p w14:paraId="6B8718E4" w14:textId="77777777" w:rsidR="00581F16" w:rsidRDefault="00581F16" w:rsidP="00581F16"/>
    <w:p w14:paraId="0DD25647" w14:textId="5944ABAC" w:rsidR="00581F16" w:rsidRDefault="00581F16">
      <w:r>
        <w:br w:type="page"/>
      </w:r>
    </w:p>
    <w:p w14:paraId="1EB31649" w14:textId="77777777" w:rsidR="00D332E6" w:rsidRDefault="00581F16" w:rsidP="00D332E6">
      <w:pPr>
        <w:keepNext/>
        <w:spacing w:before="160" w:after="40"/>
        <w:jc w:val="both"/>
      </w:pPr>
      <w:r w:rsidRPr="006365B5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710E3B28" wp14:editId="4A006438">
            <wp:extent cx="5760720" cy="412002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_RMSF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20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5B774" w14:textId="6EC41131" w:rsidR="00581F16" w:rsidRPr="006365B5" w:rsidRDefault="00D332E6" w:rsidP="00D332E6">
      <w:pPr>
        <w:pStyle w:val="Caption"/>
        <w:jc w:val="both"/>
        <w:rPr>
          <w:rFonts w:asciiTheme="majorBidi" w:hAnsiTheme="majorBidi" w:cstheme="majorBidi"/>
          <w:sz w:val="24"/>
          <w:szCs w:val="24"/>
        </w:rPr>
      </w:pPr>
      <w:r>
        <w:t xml:space="preserve">Fig. S3 </w:t>
      </w:r>
      <w:r w:rsidRPr="008C4BA3">
        <w:t xml:space="preserve">Per-residue Cα root-mean-square fluctuation (RMSF). (A, C) TLR2 and TLR4 receptors; (B, D) the MEV-2A construct. Receptor fluctuations are low and uniform, whereas MEV-2A flexibility </w:t>
      </w:r>
      <w:proofErr w:type="spellStart"/>
      <w:r w:rsidRPr="008C4BA3">
        <w:t>localises</w:t>
      </w:r>
      <w:proofErr w:type="spellEnd"/>
      <w:r w:rsidRPr="008C4BA3">
        <w:t xml:space="preserve"> to the inter-epitope linker and terminal regions.</w:t>
      </w:r>
    </w:p>
    <w:p w14:paraId="0E42E948" w14:textId="77777777" w:rsidR="00205574" w:rsidRDefault="00581F16" w:rsidP="00205574">
      <w:pPr>
        <w:keepNext/>
        <w:spacing w:before="160" w:after="40"/>
        <w:jc w:val="both"/>
      </w:pPr>
      <w:r w:rsidRPr="006365B5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0C118766" wp14:editId="1783F95F">
            <wp:extent cx="5760720" cy="412230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_Rg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2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6CA02" w14:textId="1B4F7F08" w:rsidR="00581F16" w:rsidRPr="006365B5" w:rsidRDefault="00205574" w:rsidP="00205574">
      <w:pPr>
        <w:pStyle w:val="Caption"/>
        <w:jc w:val="both"/>
        <w:rPr>
          <w:rFonts w:asciiTheme="majorBidi" w:hAnsiTheme="majorBidi" w:cstheme="majorBidi"/>
          <w:sz w:val="24"/>
          <w:szCs w:val="24"/>
        </w:rPr>
      </w:pPr>
      <w:r>
        <w:t xml:space="preserve">Fig. S4 </w:t>
      </w:r>
      <w:r w:rsidRPr="00972423">
        <w:t>Radius of gyration (</w:t>
      </w:r>
      <w:proofErr w:type="spellStart"/>
      <w:r w:rsidRPr="00972423">
        <w:t>Rg</w:t>
      </w:r>
      <w:proofErr w:type="spellEnd"/>
      <w:r w:rsidRPr="00972423">
        <w:t xml:space="preserve">) versus time. Receptors (A, C) remain compact and invariant, whereas MEV-2A (B, D) compacts progressively before </w:t>
      </w:r>
      <w:proofErr w:type="spellStart"/>
      <w:r w:rsidRPr="00972423">
        <w:t>stabilising</w:t>
      </w:r>
      <w:proofErr w:type="spellEnd"/>
      <w:r w:rsidRPr="00972423">
        <w:t>.</w:t>
      </w:r>
    </w:p>
    <w:p w14:paraId="33661CB3" w14:textId="77777777" w:rsidR="00205574" w:rsidRDefault="00581F16" w:rsidP="00205574">
      <w:pPr>
        <w:keepNext/>
        <w:spacing w:before="160" w:after="40"/>
        <w:jc w:val="both"/>
      </w:pPr>
      <w:r w:rsidRPr="006365B5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3D027685" wp14:editId="2289B152">
            <wp:extent cx="5760720" cy="412458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_SAS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24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BCB0A" w14:textId="20DA5159" w:rsidR="00581F16" w:rsidRPr="006365B5" w:rsidRDefault="00205574" w:rsidP="00205574">
      <w:pPr>
        <w:pStyle w:val="Caption"/>
        <w:jc w:val="both"/>
        <w:rPr>
          <w:rFonts w:asciiTheme="majorBidi" w:hAnsiTheme="majorBidi" w:cstheme="majorBidi"/>
          <w:sz w:val="24"/>
          <w:szCs w:val="24"/>
        </w:rPr>
      </w:pPr>
      <w:r>
        <w:t>Fig. S</w:t>
      </w:r>
      <w:r w:rsidR="000607E9">
        <w:t>5</w:t>
      </w:r>
      <w:r>
        <w:t xml:space="preserve"> </w:t>
      </w:r>
      <w:r w:rsidRPr="0011344C">
        <w:t>Solvent-accessible surface area (SASA) versus time. Receptor SASA (A, C) is essentially constant; MEV-2A SASA (B, D) decreases and plateaus, with the extent of compaction varying between replicates.</w:t>
      </w:r>
    </w:p>
    <w:p w14:paraId="736A7DFC" w14:textId="77777777" w:rsidR="000607E9" w:rsidRDefault="00581F16" w:rsidP="000607E9">
      <w:pPr>
        <w:keepNext/>
        <w:spacing w:before="160" w:after="40"/>
        <w:jc w:val="both"/>
      </w:pPr>
      <w:r w:rsidRPr="006365B5">
        <w:rPr>
          <w:rFonts w:asciiTheme="majorBidi" w:hAnsiTheme="majorBidi" w:cstheme="majorBidi"/>
          <w:noProof/>
        </w:rPr>
        <w:drawing>
          <wp:inline distT="0" distB="0" distL="0" distR="0" wp14:anchorId="17646AF0" wp14:editId="02672BFE">
            <wp:extent cx="5760720" cy="23556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_Hbond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5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ED935" w14:textId="71F18F57" w:rsidR="00581F16" w:rsidRPr="006365B5" w:rsidRDefault="000607E9" w:rsidP="000607E9">
      <w:pPr>
        <w:pStyle w:val="Caption"/>
        <w:jc w:val="both"/>
        <w:rPr>
          <w:rFonts w:asciiTheme="majorBidi" w:hAnsiTheme="majorBidi" w:cstheme="majorBidi"/>
          <w:sz w:val="24"/>
          <w:szCs w:val="24"/>
        </w:rPr>
      </w:pPr>
      <w:r>
        <w:t xml:space="preserve">Fig. S6 </w:t>
      </w:r>
      <w:r w:rsidRPr="00E73B58">
        <w:t>Number of intermolecular hydrogen bonds at the receptor-vaccine interface versus time for the (A) MEV-2A-TLR2 and (B) MEV-2A-TLR4 complexes across the three replicates. Bold lines, running averages.</w:t>
      </w:r>
    </w:p>
    <w:p w14:paraId="11A4C5E8" w14:textId="77777777" w:rsidR="000607E9" w:rsidRDefault="00581F16" w:rsidP="000607E9">
      <w:pPr>
        <w:keepNext/>
        <w:spacing w:before="160" w:after="40"/>
        <w:jc w:val="both"/>
      </w:pPr>
      <w:r w:rsidRPr="006365B5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4B0F6898" wp14:editId="292C6757">
            <wp:extent cx="5760720" cy="521725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6_InterfaceFingerprin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17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E62BD" w14:textId="4289D4D0" w:rsidR="000607E9" w:rsidRPr="006365B5" w:rsidRDefault="000607E9" w:rsidP="000607E9">
      <w:pPr>
        <w:spacing w:before="40" w:after="240"/>
        <w:jc w:val="both"/>
        <w:rPr>
          <w:rFonts w:asciiTheme="majorBidi" w:hAnsiTheme="majorBidi" w:cstheme="majorBidi"/>
        </w:rPr>
      </w:pPr>
      <w:r>
        <w:t xml:space="preserve">Fig. S7 </w:t>
      </w:r>
      <w:r w:rsidRPr="006365B5">
        <w:rPr>
          <w:rFonts w:asciiTheme="majorBidi" w:hAnsiTheme="majorBidi" w:cstheme="majorBidi"/>
          <w:i/>
        </w:rPr>
        <w:t>Top interface residues for each chain and complex. The heatmaps show the contact occupancy (fraction of frames within 4.5 Å of the partner chain) of the 22 most frequently contacting residues, for the three replicates. (A, B) TLR2 receptor and MEV-2A residues in MEV-2A-TLR2; (C, D) TLR4 receptor and MEV-2A residues in MEV-2A-TLR4. Residues are labelled by name and number and ordered by mean occupancy from top to bottom.</w:t>
      </w:r>
    </w:p>
    <w:p w14:paraId="011758AD" w14:textId="210EBBDD" w:rsidR="00581F16" w:rsidRPr="006365B5" w:rsidRDefault="00581F16" w:rsidP="000607E9">
      <w:pPr>
        <w:pStyle w:val="Caption"/>
        <w:jc w:val="both"/>
        <w:rPr>
          <w:rFonts w:asciiTheme="majorBidi" w:hAnsiTheme="majorBidi" w:cstheme="majorBidi"/>
          <w:sz w:val="24"/>
          <w:szCs w:val="24"/>
        </w:rPr>
      </w:pPr>
    </w:p>
    <w:p w14:paraId="5DE55070" w14:textId="52A1E30B" w:rsidR="000607E9" w:rsidRDefault="00412459" w:rsidP="000607E9">
      <w:pPr>
        <w:keepNext/>
        <w:spacing w:before="160" w:after="40"/>
        <w:jc w:val="both"/>
      </w:pPr>
      <w:r>
        <w:rPr>
          <w:noProof/>
        </w:rPr>
        <w:lastRenderedPageBreak/>
        <w:drawing>
          <wp:inline distT="0" distB="0" distL="0" distR="0" wp14:anchorId="278FF650" wp14:editId="008709D5">
            <wp:extent cx="5943600" cy="4843780"/>
            <wp:effectExtent l="0" t="0" r="0" b="0"/>
            <wp:docPr id="234763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763451" name="Picture 23476345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4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D07D9" w14:textId="0FED8759" w:rsidR="00581F16" w:rsidRPr="006365B5" w:rsidRDefault="000607E9" w:rsidP="000607E9">
      <w:pPr>
        <w:pStyle w:val="Caption"/>
        <w:jc w:val="both"/>
        <w:rPr>
          <w:rFonts w:asciiTheme="majorBidi" w:hAnsiTheme="majorBidi" w:cstheme="majorBidi"/>
          <w:sz w:val="24"/>
          <w:szCs w:val="24"/>
        </w:rPr>
      </w:pPr>
      <w:r>
        <w:t>Fig</w:t>
      </w:r>
      <w:r w:rsidR="00BE0BD6">
        <w:t>.</w:t>
      </w:r>
      <w:r>
        <w:t xml:space="preserve"> S8 </w:t>
      </w:r>
      <w:r w:rsidRPr="006365B5">
        <w:rPr>
          <w:rFonts w:asciiTheme="majorBidi" w:hAnsiTheme="majorBidi" w:cstheme="majorBidi"/>
          <w:sz w:val="24"/>
          <w:szCs w:val="24"/>
        </w:rPr>
        <w:t xml:space="preserve">Time course of the top interface contacts. For each of the top interface residues (y-axis, named) and each time point (x-axis), the </w:t>
      </w:r>
      <w:proofErr w:type="spellStart"/>
      <w:r w:rsidRPr="006365B5">
        <w:rPr>
          <w:rFonts w:asciiTheme="majorBidi" w:hAnsiTheme="majorBidi" w:cstheme="majorBidi"/>
          <w:sz w:val="24"/>
          <w:szCs w:val="24"/>
        </w:rPr>
        <w:t>colour</w:t>
      </w:r>
      <w:proofErr w:type="spellEnd"/>
      <w:r w:rsidRPr="006365B5">
        <w:rPr>
          <w:rFonts w:asciiTheme="majorBidi" w:hAnsiTheme="majorBidi" w:cstheme="majorBidi"/>
          <w:sz w:val="24"/>
          <w:szCs w:val="24"/>
        </w:rPr>
        <w:t xml:space="preserve"> shows the number of replicates (0 to 3) in which that residue is in contact with the partner chain. (A, B) MEV-2A-TLR2; (C, D) MEV-2A-TLR4. Solid dark bands mark residues engaged in all three replicates for the whole trajectory; lighter shading marks transient or replicate-specific contacts.</w:t>
      </w:r>
    </w:p>
    <w:p w14:paraId="3A7AC312" w14:textId="77777777" w:rsidR="00581F16" w:rsidRPr="00581F16" w:rsidRDefault="00581F16" w:rsidP="00581F16"/>
    <w:sectPr w:rsidR="00581F16" w:rsidRPr="00581F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5492B"/>
    <w:multiLevelType w:val="hybridMultilevel"/>
    <w:tmpl w:val="78AA72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91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48D"/>
    <w:rsid w:val="000607E9"/>
    <w:rsid w:val="000B1F22"/>
    <w:rsid w:val="0014422E"/>
    <w:rsid w:val="0017556B"/>
    <w:rsid w:val="00205574"/>
    <w:rsid w:val="00272AC9"/>
    <w:rsid w:val="002A0837"/>
    <w:rsid w:val="00412459"/>
    <w:rsid w:val="004332C3"/>
    <w:rsid w:val="00581F16"/>
    <w:rsid w:val="006365B5"/>
    <w:rsid w:val="006A31B0"/>
    <w:rsid w:val="008A3EBC"/>
    <w:rsid w:val="00A01116"/>
    <w:rsid w:val="00B638E8"/>
    <w:rsid w:val="00BB7F68"/>
    <w:rsid w:val="00BE0BD6"/>
    <w:rsid w:val="00D332E6"/>
    <w:rsid w:val="00D4448D"/>
    <w:rsid w:val="00D72030"/>
    <w:rsid w:val="00DB13C4"/>
    <w:rsid w:val="00DD6EC3"/>
    <w:rsid w:val="00EA6C7D"/>
    <w:rsid w:val="00EC7D35"/>
    <w:rsid w:val="00ED6351"/>
    <w:rsid w:val="00F63A61"/>
    <w:rsid w:val="00FF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D351E"/>
  <w15:chartTrackingRefBased/>
  <w15:docId w15:val="{6EE69F15-A19A-4A36-96D0-29EE16994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44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4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44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4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44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44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44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44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44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44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44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44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4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4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4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4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44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44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44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4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44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44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44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44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44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44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4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4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448D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FF601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B7F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7F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tiff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11" Type="http://schemas.openxmlformats.org/officeDocument/2006/relationships/image" Target="media/image6.png"/><Relationship Id="rId5" Type="http://schemas.openxmlformats.org/officeDocument/2006/relationships/hyperlink" Target="mailto:mostafa.r.zaher@ahri.gov.eg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</dc:creator>
  <cp:keywords/>
  <dc:description/>
  <cp:lastModifiedBy>mustafa raafat</cp:lastModifiedBy>
  <cp:revision>10</cp:revision>
  <dcterms:created xsi:type="dcterms:W3CDTF">2026-01-09T08:40:00Z</dcterms:created>
  <dcterms:modified xsi:type="dcterms:W3CDTF">2026-06-27T07:42:00Z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0339274c-1c28-45ea-97c8-0de0afd339f9</vt:lpwstr>
  </property>
</Properties>
</file>