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956" w:rsidRDefault="005349F5">
      <w:r>
        <w:rPr>
          <w:noProof/>
        </w:rPr>
        <w:drawing>
          <wp:inline distT="0" distB="0" distL="0" distR="0">
            <wp:extent cx="5486400" cy="441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M Fig 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49F5" w:rsidRPr="00515C83" w:rsidRDefault="005349F5" w:rsidP="005349F5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515C83">
        <w:rPr>
          <w:rFonts w:asciiTheme="majorBidi" w:hAnsiTheme="majorBidi" w:cstheme="majorBidi"/>
          <w:b/>
          <w:bCs/>
          <w:sz w:val="24"/>
          <w:szCs w:val="24"/>
        </w:rPr>
        <w:t>Figure S1</w:t>
      </w:r>
      <w:r w:rsidRPr="00515C83">
        <w:rPr>
          <w:rFonts w:asciiTheme="majorBidi" w:hAnsiTheme="majorBidi" w:cstheme="majorBidi"/>
          <w:sz w:val="24"/>
          <w:szCs w:val="24"/>
        </w:rPr>
        <w:t>. Effect of quercetin (A) and luteolin (B), G-1 (positive control), and 0.2% DMSO (negative control) on the protein expression of T-AKT, P-AKT/T-AKT, T-ERK, P-ERK/T-ERK, T-FAK, and p-FAK/T-FAK in MeWo cells, assessed by Western blotting. Statistical significance was determined using one-way ANOVA followed by Dunnett’s multiple comparisons test. (*p &lt; 0.05, **p &lt; 0.01, ***p &lt; 0.001, ****p &lt; 0.0001 compared to DMSO; †p &lt; 0.05, ††p &lt; 0.01, †††p &lt; 0.001, ††††p &lt; 0.0001 compared to G-1). In the presence of 3 µM of the antagonist G15, the relative protein expressions were significantly reversed, with the following levels of significance: ■p &lt; 0.05, ■■p &lt; 0.01, ■■■p &lt; 0.001, ■■■■p &lt; 0.0001 compared to the same concentration and ligand in the absence of G15.</w:t>
      </w:r>
    </w:p>
    <w:p w:rsidR="005349F5" w:rsidRDefault="005349F5" w:rsidP="005349F5">
      <w:pPr>
        <w:spacing w:line="480" w:lineRule="auto"/>
        <w:jc w:val="both"/>
        <w:rPr>
          <w:rFonts w:asciiTheme="majorBidi" w:hAnsiTheme="majorBidi" w:cstheme="majorBidi"/>
          <w:bCs/>
          <w:sz w:val="24"/>
          <w:szCs w:val="24"/>
          <w:lang w:bidi="en-US"/>
        </w:rPr>
      </w:pPr>
    </w:p>
    <w:p w:rsidR="005349F5" w:rsidRDefault="005349F5" w:rsidP="005349F5">
      <w:pPr>
        <w:spacing w:line="480" w:lineRule="auto"/>
        <w:jc w:val="both"/>
        <w:rPr>
          <w:rFonts w:asciiTheme="majorBidi" w:hAnsiTheme="majorBidi" w:cstheme="majorBidi"/>
          <w:bCs/>
          <w:sz w:val="24"/>
          <w:szCs w:val="24"/>
          <w:lang w:bidi="en-US"/>
        </w:rPr>
      </w:pPr>
      <w:r>
        <w:rPr>
          <w:rFonts w:asciiTheme="majorBidi" w:hAnsiTheme="majorBidi" w:cstheme="majorBidi"/>
          <w:bCs/>
          <w:noProof/>
          <w:sz w:val="24"/>
          <w:szCs w:val="24"/>
        </w:rPr>
        <w:drawing>
          <wp:inline distT="0" distB="0" distL="0" distR="0" wp14:anchorId="5D8BB9ED" wp14:editId="54689B7A">
            <wp:extent cx="5943600" cy="54864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M Fig 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49F5" w:rsidRPr="00393A7E" w:rsidRDefault="005349F5" w:rsidP="005349F5">
      <w:pPr>
        <w:spacing w:line="480" w:lineRule="auto"/>
        <w:jc w:val="both"/>
        <w:rPr>
          <w:rFonts w:asciiTheme="majorBidi" w:hAnsiTheme="majorBidi" w:cstheme="majorBidi"/>
          <w:bCs/>
          <w:noProof/>
          <w:sz w:val="24"/>
          <w:szCs w:val="24"/>
          <w:lang w:bidi="en-US"/>
        </w:rPr>
      </w:pPr>
      <w:r w:rsidRPr="00393A7E">
        <w:rPr>
          <w:rFonts w:asciiTheme="majorBidi" w:hAnsiTheme="majorBidi" w:cstheme="majorBidi"/>
          <w:b/>
          <w:bCs/>
          <w:noProof/>
          <w:sz w:val="24"/>
          <w:szCs w:val="24"/>
          <w:lang w:bidi="en-US"/>
        </w:rPr>
        <w:t xml:space="preserve">Figure </w:t>
      </w:r>
      <w:r>
        <w:rPr>
          <w:rFonts w:asciiTheme="majorBidi" w:hAnsiTheme="majorBidi" w:cstheme="majorBidi"/>
          <w:b/>
          <w:bCs/>
          <w:noProof/>
          <w:sz w:val="24"/>
          <w:szCs w:val="24"/>
          <w:lang w:bidi="en-US"/>
        </w:rPr>
        <w:t>S2</w:t>
      </w:r>
      <w:r w:rsidRPr="00393A7E">
        <w:rPr>
          <w:rFonts w:asciiTheme="majorBidi" w:hAnsiTheme="majorBidi" w:cstheme="majorBidi"/>
          <w:b/>
          <w:bCs/>
          <w:noProof/>
          <w:sz w:val="24"/>
          <w:szCs w:val="24"/>
          <w:lang w:bidi="en-US"/>
        </w:rPr>
        <w:t xml:space="preserve">. </w:t>
      </w:r>
      <w:r w:rsidRPr="00393A7E">
        <w:rPr>
          <w:rFonts w:asciiTheme="majorBidi" w:hAnsiTheme="majorBidi" w:cstheme="majorBidi"/>
          <w:bCs/>
          <w:noProof/>
          <w:sz w:val="24"/>
          <w:szCs w:val="24"/>
          <w:lang w:bidi="en-US"/>
        </w:rPr>
        <w:t>Cell cycle distribution of cultured MeWo cell line. Cells were treated with the indicated concentrations of quercetin (</w:t>
      </w:r>
      <w:r w:rsidRPr="00393A7E">
        <w:rPr>
          <w:rFonts w:asciiTheme="majorBidi" w:hAnsiTheme="majorBidi" w:cstheme="majorBidi"/>
          <w:b/>
          <w:bCs/>
          <w:noProof/>
          <w:sz w:val="24"/>
          <w:szCs w:val="24"/>
          <w:lang w:bidi="en-US"/>
        </w:rPr>
        <w:t>A</w:t>
      </w:r>
      <w:r w:rsidRPr="00393A7E">
        <w:rPr>
          <w:rFonts w:asciiTheme="majorBidi" w:hAnsiTheme="majorBidi" w:cstheme="majorBidi"/>
          <w:bCs/>
          <w:noProof/>
          <w:sz w:val="24"/>
          <w:szCs w:val="24"/>
          <w:lang w:bidi="en-US"/>
        </w:rPr>
        <w:t>) or luteolin (</w:t>
      </w:r>
      <w:r w:rsidRPr="00393A7E">
        <w:rPr>
          <w:rFonts w:asciiTheme="majorBidi" w:hAnsiTheme="majorBidi" w:cstheme="majorBidi"/>
          <w:b/>
          <w:bCs/>
          <w:noProof/>
          <w:sz w:val="24"/>
          <w:szCs w:val="24"/>
          <w:lang w:bidi="en-US"/>
        </w:rPr>
        <w:t>B</w:t>
      </w:r>
      <w:r w:rsidRPr="00393A7E">
        <w:rPr>
          <w:rFonts w:asciiTheme="majorBidi" w:hAnsiTheme="majorBidi" w:cstheme="majorBidi"/>
          <w:bCs/>
          <w:noProof/>
          <w:sz w:val="24"/>
          <w:szCs w:val="24"/>
          <w:lang w:bidi="en-US"/>
        </w:rPr>
        <w:t>), 1µM of G-1 as a positive control, and 0.2% DMSO as a negative control. After 48 hrs. cells were fixed, stained with PI, and analyzed by flow cytometry (</w:t>
      </w:r>
      <w:r w:rsidRPr="00393A7E">
        <w:rPr>
          <w:rFonts w:asciiTheme="majorBidi" w:hAnsiTheme="majorBidi" w:cstheme="majorBidi"/>
          <w:bCs/>
          <w:i/>
          <w:iCs/>
          <w:noProof/>
          <w:sz w:val="24"/>
          <w:szCs w:val="24"/>
          <w:lang w:bidi="en-US"/>
        </w:rPr>
        <w:t>left panels</w:t>
      </w:r>
      <w:r w:rsidRPr="00393A7E">
        <w:rPr>
          <w:rFonts w:asciiTheme="majorBidi" w:hAnsiTheme="majorBidi" w:cstheme="majorBidi"/>
          <w:bCs/>
          <w:noProof/>
          <w:sz w:val="24"/>
          <w:szCs w:val="24"/>
          <w:lang w:bidi="en-US"/>
        </w:rPr>
        <w:t>). The percentage of cells in G1, S and G2/M phases for each treatment was calculated and analyzed (</w:t>
      </w:r>
      <w:r w:rsidRPr="00393A7E">
        <w:rPr>
          <w:rFonts w:asciiTheme="majorBidi" w:hAnsiTheme="majorBidi" w:cstheme="majorBidi"/>
          <w:bCs/>
          <w:i/>
          <w:iCs/>
          <w:noProof/>
          <w:sz w:val="24"/>
          <w:szCs w:val="24"/>
          <w:lang w:bidi="en-US"/>
        </w:rPr>
        <w:t>right panels</w:t>
      </w:r>
      <w:r w:rsidRPr="00393A7E">
        <w:rPr>
          <w:rFonts w:asciiTheme="majorBidi" w:hAnsiTheme="majorBidi" w:cstheme="majorBidi"/>
          <w:bCs/>
          <w:noProof/>
          <w:sz w:val="24"/>
          <w:szCs w:val="24"/>
          <w:lang w:bidi="en-US"/>
        </w:rPr>
        <w:t xml:space="preserve">). Data are presented as the means ± SD of three independent experiments. Statistical significance was determined </w:t>
      </w:r>
      <w:r w:rsidRPr="00393A7E">
        <w:rPr>
          <w:rFonts w:asciiTheme="majorBidi" w:hAnsiTheme="majorBidi" w:cstheme="majorBidi"/>
          <w:bCs/>
          <w:noProof/>
          <w:sz w:val="24"/>
          <w:szCs w:val="24"/>
          <w:lang w:bidi="en-US"/>
        </w:rPr>
        <w:lastRenderedPageBreak/>
        <w:t>using 2-way ANOVA followed by Dunnett's multiple comparisons test. *p &lt; 0.05, **P &lt; 0.01****p &lt; 0.0001 compared to DMSO; † p &lt; 0.05, ††p &lt;0.01, ††† p&lt;0.001, †††† p &lt;0.0001 compared to G-1.</w:t>
      </w:r>
    </w:p>
    <w:p w:rsidR="00222E6B" w:rsidRDefault="00222E6B"/>
    <w:p w:rsidR="00222E6B" w:rsidRDefault="00222E6B"/>
    <w:p w:rsidR="00222E6B" w:rsidRDefault="00222E6B"/>
    <w:p w:rsidR="00222E6B" w:rsidRDefault="00222E6B"/>
    <w:p w:rsidR="00222E6B" w:rsidRPr="00282ED1" w:rsidRDefault="00222E6B" w:rsidP="00222E6B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en-US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inline distT="0" distB="0" distL="0" distR="0" wp14:anchorId="5137F79C" wp14:editId="6B23064B">
            <wp:extent cx="5942283" cy="3106090"/>
            <wp:effectExtent l="0" t="0" r="190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M Fig S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8412" cy="3145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49F5" w:rsidRPr="00C92B3C" w:rsidRDefault="005349F5" w:rsidP="005349F5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C92B3C">
        <w:rPr>
          <w:rFonts w:asciiTheme="majorBidi" w:hAnsiTheme="majorBidi" w:cstheme="majorBidi"/>
          <w:b/>
          <w:bCs/>
          <w:sz w:val="24"/>
          <w:szCs w:val="24"/>
        </w:rPr>
        <w:t>Figure S</w:t>
      </w:r>
      <w:r>
        <w:rPr>
          <w:rFonts w:asciiTheme="majorBidi" w:hAnsiTheme="majorBidi" w:cstheme="majorBidi"/>
          <w:b/>
          <w:bCs/>
          <w:sz w:val="24"/>
          <w:szCs w:val="24"/>
        </w:rPr>
        <w:t>3</w:t>
      </w:r>
      <w:r w:rsidRPr="00C92B3C">
        <w:rPr>
          <w:rFonts w:asciiTheme="majorBidi" w:hAnsiTheme="majorBidi" w:cstheme="majorBidi"/>
          <w:sz w:val="24"/>
          <w:szCs w:val="24"/>
        </w:rPr>
        <w:t xml:space="preserve">. Effect of quercetin (A) and luteolin (B), G-1 (positive control), and 0.2% DMSO (negative control) on the protein expression of T-AKT, P-AKT/T-AKT, T-ERK, P-ERK/T-ERK, T-FAK, and p-FAK/T-FAK in MeWo cells, assessed by Western blotting. Statistical significance was determined using one-way ANOVA followed by Dunnett’s multiple comparisons test. (*p &lt; 0.05, **p &lt; 0.01, ***p &lt; 0.001, ****p &lt; 0.0001 compared to DMSO; †p &lt; 0.05, ††p &lt; 0.01, †††p &lt; 0.001, ††††p &lt; 0.0001 compared to G-1). In the presence of 3 µM of the antagonist G15, the relative protein </w:t>
      </w:r>
      <w:r w:rsidRPr="00C92B3C">
        <w:rPr>
          <w:rFonts w:asciiTheme="majorBidi" w:hAnsiTheme="majorBidi" w:cstheme="majorBidi"/>
          <w:sz w:val="24"/>
          <w:szCs w:val="24"/>
        </w:rPr>
        <w:lastRenderedPageBreak/>
        <w:t>expressions were significantly reversed, with the following levels of significance: ■p &lt; 0.05, ■■p &lt; 0.01, ■■■p &lt; 0.001, ■■■■p &lt; 0.0001 compared to the same concentration and ligand in the absence of G15.</w:t>
      </w:r>
    </w:p>
    <w:p w:rsidR="00222E6B" w:rsidRDefault="00222E6B">
      <w:bookmarkStart w:id="0" w:name="_GoBack"/>
      <w:bookmarkEnd w:id="0"/>
    </w:p>
    <w:sectPr w:rsidR="00222E6B">
      <w:headerReference w:type="default" r:id="rId9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57EE" w:rsidRDefault="002B57EE" w:rsidP="005349F5">
      <w:pPr>
        <w:spacing w:after="0" w:line="240" w:lineRule="auto"/>
      </w:pPr>
      <w:r>
        <w:separator/>
      </w:r>
    </w:p>
  </w:endnote>
  <w:endnote w:type="continuationSeparator" w:id="0">
    <w:p w:rsidR="002B57EE" w:rsidRDefault="002B57EE" w:rsidP="00534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57EE" w:rsidRDefault="002B57EE" w:rsidP="005349F5">
      <w:pPr>
        <w:spacing w:after="0" w:line="240" w:lineRule="auto"/>
      </w:pPr>
      <w:r>
        <w:separator/>
      </w:r>
    </w:p>
  </w:footnote>
  <w:footnote w:type="continuationSeparator" w:id="0">
    <w:p w:rsidR="002B57EE" w:rsidRDefault="002B57EE" w:rsidP="00534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9F5" w:rsidRPr="005349F5" w:rsidRDefault="005349F5">
    <w:pPr>
      <w:pStyle w:val="Header"/>
      <w:rPr>
        <w:rFonts w:asciiTheme="majorBidi" w:hAnsiTheme="majorBidi" w:cstheme="majorBidi"/>
        <w:b/>
        <w:bCs/>
      </w:rPr>
    </w:pPr>
    <w:r w:rsidRPr="005349F5">
      <w:rPr>
        <w:rFonts w:asciiTheme="majorBidi" w:hAnsiTheme="majorBidi" w:cstheme="majorBidi"/>
        <w:b/>
        <w:bCs/>
      </w:rPr>
      <w:t>Supplementary Figures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E6B"/>
    <w:rsid w:val="00222E6B"/>
    <w:rsid w:val="002B57EE"/>
    <w:rsid w:val="005349F5"/>
    <w:rsid w:val="00671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00DBA"/>
  <w15:chartTrackingRefBased/>
  <w15:docId w15:val="{46AFD0F1-5281-45A8-AA2B-51797C351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2E6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49F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49F5"/>
  </w:style>
  <w:style w:type="paragraph" w:styleId="Footer">
    <w:name w:val="footer"/>
    <w:basedOn w:val="Normal"/>
    <w:link w:val="FooterChar"/>
    <w:uiPriority w:val="99"/>
    <w:unhideWhenUsed/>
    <w:rsid w:val="005349F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49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335</Words>
  <Characters>1945</Characters>
  <Application>Microsoft Office Word</Application>
  <DocSecurity>0</DocSecurity>
  <Lines>34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Shtaywy Abdallah</dc:creator>
  <cp:keywords/>
  <dc:description/>
  <cp:lastModifiedBy>Shtaywy Abdallah</cp:lastModifiedBy>
  <cp:revision>1</cp:revision>
  <dcterms:created xsi:type="dcterms:W3CDTF">2026-10-14T08:28:00Z</dcterms:created>
  <dcterms:modified xsi:type="dcterms:W3CDTF">2026-10-14T08:49:00Z</dcterms:modified>
</cp:coreProperties>
</file>