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07C1F" w14:textId="77777777" w:rsidR="00913309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b/>
          <w:bCs/>
          <w:sz w:val="24"/>
          <w:szCs w:val="24"/>
        </w:rPr>
      </w:pPr>
      <w:r w:rsidRPr="00F8663F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18368688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b/>
          <w:bCs/>
          <w:sz w:val="24"/>
          <w:szCs w:val="24"/>
        </w:rPr>
      </w:pPr>
      <w:r w:rsidRPr="00D24A6D">
        <w:rPr>
          <w:rFonts w:ascii="Times New Roman" w:hAnsi="Times New Roman" w:cs="Times New Roman"/>
          <w:b/>
          <w:bCs/>
          <w:sz w:val="24"/>
          <w:szCs w:val="24"/>
        </w:rPr>
        <w:t>SUPPLEMENTARY TABLES</w:t>
      </w:r>
    </w:p>
    <w:p w14:paraId="7ED3DE01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sz w:val="24"/>
          <w:szCs w:val="24"/>
        </w:rPr>
      </w:pPr>
      <w:r w:rsidRPr="00D24A6D">
        <w:rPr>
          <w:rFonts w:ascii="Times New Roman" w:hAnsi="Times New Roman" w:cs="Times New Roman"/>
          <w:b/>
          <w:bCs/>
          <w:sz w:val="24"/>
          <w:szCs w:val="24"/>
        </w:rPr>
        <w:t>Supplementary Table 1. Clinical and pathologic characteristics of the scRNA-seq Discovery Cohort (n=42).</w:t>
      </w:r>
      <w:r w:rsidRPr="00D24A6D">
        <w:rPr>
          <w:rFonts w:ascii="Times New Roman" w:hAnsi="Times New Roman" w:cs="Times New Roman"/>
          <w:sz w:val="24"/>
          <w:szCs w:val="24"/>
        </w:rPr>
        <w:br/>
        <w:t>Clinical and pathologic data are summarized for the two publicly available datasets (Werba et al., n=20; Peng et al., n=22) that were integrated for single-cell RNA sequencing analyses.</w:t>
      </w:r>
    </w:p>
    <w:p w14:paraId="20F8BAF6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sz w:val="24"/>
          <w:szCs w:val="24"/>
        </w:rPr>
      </w:pPr>
      <w:r w:rsidRPr="00D24A6D">
        <w:rPr>
          <w:rFonts w:ascii="Times New Roman" w:hAnsi="Times New Roman" w:cs="Times New Roman"/>
          <w:b/>
          <w:bCs/>
          <w:sz w:val="24"/>
          <w:szCs w:val="24"/>
        </w:rPr>
        <w:t>Supplementary Table 2. Clinical and pathologic characteristics of the mIHC Validation Cohort (n=24).</w:t>
      </w:r>
      <w:r w:rsidRPr="00D24A6D">
        <w:rPr>
          <w:rFonts w:ascii="Times New Roman" w:hAnsi="Times New Roman" w:cs="Times New Roman"/>
          <w:sz w:val="24"/>
          <w:szCs w:val="24"/>
        </w:rPr>
        <w:br/>
        <w:t>This cohort was used to validate the mIHC assay and confirm that tissue-based cell state distributions recapitulated findings from the scRNA-seq discovery cohort.</w:t>
      </w:r>
    </w:p>
    <w:p w14:paraId="012926BE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sz w:val="24"/>
          <w:szCs w:val="24"/>
        </w:rPr>
      </w:pPr>
      <w:r w:rsidRPr="00D24A6D">
        <w:rPr>
          <w:rFonts w:ascii="Times New Roman" w:hAnsi="Times New Roman" w:cs="Times New Roman"/>
          <w:b/>
          <w:bCs/>
          <w:sz w:val="24"/>
          <w:szCs w:val="24"/>
        </w:rPr>
        <w:t>Supplementary Table 3. Clinical and pathologic characteristics of the mIHC Gland Differentiation Cohort (n=40).</w:t>
      </w:r>
      <w:r w:rsidRPr="00D24A6D">
        <w:rPr>
          <w:rFonts w:ascii="Times New Roman" w:hAnsi="Times New Roman" w:cs="Times New Roman"/>
          <w:sz w:val="24"/>
          <w:szCs w:val="24"/>
        </w:rPr>
        <w:br/>
        <w:t>This cohort was used to quantify the proportions of the four cell states across different glandular differentiation grades (G1–G3).</w:t>
      </w:r>
    </w:p>
    <w:p w14:paraId="22C0036B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sz w:val="24"/>
          <w:szCs w:val="24"/>
        </w:rPr>
      </w:pPr>
      <w:r w:rsidRPr="00D24A6D">
        <w:rPr>
          <w:rFonts w:ascii="Times New Roman" w:hAnsi="Times New Roman" w:cs="Times New Roman"/>
          <w:b/>
          <w:bCs/>
          <w:sz w:val="24"/>
          <w:szCs w:val="24"/>
        </w:rPr>
        <w:t>Supplementary Table 4. Clinical and pathologic characteristics of the mIHC Local Invasion Cohort (n=10).</w:t>
      </w:r>
      <w:r w:rsidRPr="00D24A6D">
        <w:rPr>
          <w:rFonts w:ascii="Times New Roman" w:hAnsi="Times New Roman" w:cs="Times New Roman"/>
          <w:sz w:val="24"/>
          <w:szCs w:val="24"/>
        </w:rPr>
        <w:br/>
        <w:t>This cohort was selected for cases with clear histologic evidence of invasion into the duodenum and was used exclusively for spatial analysis at the invasive front.</w:t>
      </w:r>
    </w:p>
    <w:p w14:paraId="3B4FE2C9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sz w:val="24"/>
          <w:szCs w:val="24"/>
        </w:rPr>
      </w:pPr>
      <w:r w:rsidRPr="00D24A6D">
        <w:rPr>
          <w:rFonts w:ascii="Times New Roman" w:hAnsi="Times New Roman" w:cs="Times New Roman"/>
          <w:b/>
          <w:bCs/>
          <w:sz w:val="24"/>
          <w:szCs w:val="24"/>
        </w:rPr>
        <w:t>Supplementary Table 5. Clinical and pathologic characteristics of the Matched Primary–Metastasis Cohort (n=25).</w:t>
      </w:r>
      <w:r w:rsidRPr="00D24A6D">
        <w:rPr>
          <w:rFonts w:ascii="Times New Roman" w:hAnsi="Times New Roman" w:cs="Times New Roman"/>
          <w:sz w:val="24"/>
          <w:szCs w:val="24"/>
        </w:rPr>
        <w:br/>
        <w:t>This cohort consists of cases with matched primary PDAC and distant metastases obtained from the University of Nebraska Medical Center Rapid Autopsy Program (RAP).</w:t>
      </w:r>
    </w:p>
    <w:p w14:paraId="02BBFFDE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sz w:val="24"/>
          <w:szCs w:val="24"/>
        </w:rPr>
      </w:pPr>
      <w:r w:rsidRPr="00D24A6D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6. Antibodies and reagents used for multiplex immunohistochemistry (mIHC).</w:t>
      </w:r>
      <w:r w:rsidRPr="00D24A6D">
        <w:rPr>
          <w:rFonts w:ascii="Times New Roman" w:hAnsi="Times New Roman" w:cs="Times New Roman"/>
          <w:sz w:val="24"/>
          <w:szCs w:val="24"/>
        </w:rPr>
        <w:br/>
        <w:t>List of targeted proteins, primary antibody details, incubation times, chromogens, and localization of each marker used in the sequential mIHC staining protocol.</w:t>
      </w:r>
    </w:p>
    <w:p w14:paraId="0153A458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F77A3B8">
          <v:rect id="_x0000_i1025" style="width:0;height:1.5pt" o:hralign="center" o:hrstd="t" o:hr="t" fillcolor="#a0a0a0" stroked="f"/>
        </w:pict>
      </w:r>
    </w:p>
    <w:p w14:paraId="00D47C65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b/>
          <w:bCs/>
          <w:sz w:val="24"/>
          <w:szCs w:val="24"/>
        </w:rPr>
      </w:pPr>
      <w:r w:rsidRPr="00D24A6D">
        <w:rPr>
          <w:rFonts w:ascii="Times New Roman" w:hAnsi="Times New Roman" w:cs="Times New Roman"/>
          <w:b/>
          <w:bCs/>
          <w:sz w:val="24"/>
          <w:szCs w:val="24"/>
        </w:rPr>
        <w:t>SUPPLEMENTARY FIGURES</w:t>
      </w:r>
    </w:p>
    <w:p w14:paraId="72B4F08B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sz w:val="24"/>
          <w:szCs w:val="24"/>
        </w:rPr>
      </w:pPr>
      <w:r w:rsidRPr="00D24A6D">
        <w:rPr>
          <w:rFonts w:ascii="Times New Roman" w:hAnsi="Times New Roman" w:cs="Times New Roman"/>
          <w:b/>
          <w:bCs/>
          <w:sz w:val="24"/>
          <w:szCs w:val="24"/>
        </w:rPr>
        <w:t>Supplementary Figure 1. Quantitative Justification for Selecting KRT17 and GATA6 as Framework Markers.</w:t>
      </w:r>
      <w:r w:rsidRPr="00D24A6D">
        <w:rPr>
          <w:rFonts w:ascii="Times New Roman" w:hAnsi="Times New Roman" w:cs="Times New Roman"/>
          <w:sz w:val="24"/>
          <w:szCs w:val="24"/>
        </w:rPr>
        <w:br/>
        <w:t>(A-C) UMAP visualizations of the malignant epithelial cell population colored by expression of three different canonical classical/basal marker pairs: (A) KRT17/GATA6, (B) S100A4/CLDN18, and (C) S100A2/HNF4A. The KRT17/GATA6 pair provides the most balanced distribution, capturing the major poles of heterogeneity and intermediary populations.</w:t>
      </w:r>
    </w:p>
    <w:p w14:paraId="227D0AFA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sz w:val="24"/>
          <w:szCs w:val="24"/>
        </w:rPr>
      </w:pPr>
      <w:r w:rsidRPr="00D24A6D">
        <w:rPr>
          <w:rFonts w:ascii="Times New Roman" w:hAnsi="Times New Roman" w:cs="Times New Roman"/>
          <w:b/>
          <w:bCs/>
          <w:sz w:val="24"/>
          <w:szCs w:val="24"/>
        </w:rPr>
        <w:t>Supplementary Figure 2. The KRT17/GATA6 Single-Cell Framework Aligns with Established Bulk Transcriptomic Subtypes.</w:t>
      </w:r>
      <w:r w:rsidRPr="00D24A6D">
        <w:rPr>
          <w:rFonts w:ascii="Times New Roman" w:hAnsi="Times New Roman" w:cs="Times New Roman"/>
          <w:sz w:val="24"/>
          <w:szCs w:val="24"/>
        </w:rPr>
        <w:br/>
        <w:t>The proportional contribution of the four KRT17/GATA6-defined single-cell categories to each bulk subtype is displayed as stacked bar plots for: (A) Moffitt et al. subtypes, (B) Bailey et al. subtypes, and (C) Collisson et al. subtypes. Significant correlations are observed across all systems (Chi-squared test).</w:t>
      </w:r>
    </w:p>
    <w:p w14:paraId="321AD5E3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sz w:val="24"/>
          <w:szCs w:val="24"/>
        </w:rPr>
      </w:pPr>
      <w:r w:rsidRPr="00D24A6D">
        <w:rPr>
          <w:rFonts w:ascii="Times New Roman" w:hAnsi="Times New Roman" w:cs="Times New Roman"/>
          <w:b/>
          <w:bCs/>
          <w:sz w:val="24"/>
          <w:szCs w:val="24"/>
        </w:rPr>
        <w:t>Supplementary Figure 3. GSEA Reveals Unique Functional Identities for Each KRT17/GATA6-Defined Cell State.</w:t>
      </w:r>
      <w:r w:rsidRPr="00D24A6D">
        <w:rPr>
          <w:rFonts w:ascii="Times New Roman" w:hAnsi="Times New Roman" w:cs="Times New Roman"/>
          <w:sz w:val="24"/>
          <w:szCs w:val="24"/>
        </w:rPr>
        <w:br/>
        <w:t xml:space="preserve">The heatmap displays the Normalized Enrichment Score (NES) from Gene Set Enrichment Analysis (GSEA) using MSigDB Hallmark gene sets. Each column represents a cell state </w:t>
      </w:r>
      <w:r w:rsidRPr="00D24A6D">
        <w:rPr>
          <w:rFonts w:ascii="Times New Roman" w:hAnsi="Times New Roman" w:cs="Times New Roman"/>
          <w:sz w:val="24"/>
          <w:szCs w:val="24"/>
        </w:rPr>
        <w:lastRenderedPageBreak/>
        <w:t>compared against all other malignant cells. Red indicates enrichment and blue indicates depletion (FDR &lt; 0.05).</w:t>
      </w:r>
    </w:p>
    <w:p w14:paraId="4A8C40BA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sz w:val="24"/>
          <w:szCs w:val="24"/>
        </w:rPr>
      </w:pPr>
      <w:r w:rsidRPr="00D24A6D">
        <w:rPr>
          <w:rFonts w:ascii="Times New Roman" w:hAnsi="Times New Roman" w:cs="Times New Roman"/>
          <w:b/>
          <w:bCs/>
          <w:sz w:val="24"/>
          <w:szCs w:val="24"/>
        </w:rPr>
        <w:t>Supplementary Figure 4. Cellular Subcategory Composition Across Discovery (scRNA-seq) and Validation (mIHC) Cohorts.</w:t>
      </w:r>
      <w:r w:rsidRPr="00D24A6D">
        <w:rPr>
          <w:rFonts w:ascii="Times New Roman" w:hAnsi="Times New Roman" w:cs="Times New Roman"/>
          <w:sz w:val="24"/>
          <w:szCs w:val="24"/>
        </w:rPr>
        <w:br/>
        <w:t>Stacked bar plots illustrate the relative proportion of the four cellular subcategories on a per-case basis. (A) The Discovery Cohort (n=42), with proportions derived from scRNA-seq. (B) The Validation Cohort (n=24), with proportions quantified from mIHC.</w:t>
      </w:r>
    </w:p>
    <w:p w14:paraId="019C028E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sz w:val="24"/>
          <w:szCs w:val="24"/>
        </w:rPr>
      </w:pPr>
      <w:r w:rsidRPr="00D24A6D">
        <w:rPr>
          <w:rFonts w:ascii="Times New Roman" w:hAnsi="Times New Roman" w:cs="Times New Roman"/>
          <w:b/>
          <w:bCs/>
          <w:sz w:val="24"/>
          <w:szCs w:val="24"/>
        </w:rPr>
        <w:t>Supplementary Figure 5. Quantitative Abundance of Cell States Across (A) Glandular Grades, (B) Local Invasion Sites, and (C) Distant Metastatic Sites.</w:t>
      </w:r>
      <w:r w:rsidRPr="00D24A6D">
        <w:rPr>
          <w:rFonts w:ascii="Times New Roman" w:hAnsi="Times New Roman" w:cs="Times New Roman"/>
          <w:sz w:val="24"/>
          <w:szCs w:val="24"/>
        </w:rPr>
        <w:br/>
        <w:t>Boxplots showing the fractional abundance of each of the four cell states across distinct biological contexts. P-values from appropriate statistical tests are shown.</w:t>
      </w:r>
    </w:p>
    <w:p w14:paraId="591AB30A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sz w:val="24"/>
          <w:szCs w:val="24"/>
        </w:rPr>
      </w:pPr>
      <w:r w:rsidRPr="00D24A6D">
        <w:rPr>
          <w:rFonts w:ascii="Times New Roman" w:hAnsi="Times New Roman" w:cs="Times New Roman"/>
          <w:b/>
          <w:bCs/>
          <w:sz w:val="24"/>
          <w:szCs w:val="24"/>
        </w:rPr>
        <w:t>Supplementary Figure 6. Dynamic Phenotypic Shifts during Pancreatic Cancer Invasion of the Duodenum.</w:t>
      </w:r>
      <w:r w:rsidRPr="00D24A6D">
        <w:rPr>
          <w:rFonts w:ascii="Times New Roman" w:hAnsi="Times New Roman" w:cs="Times New Roman"/>
          <w:sz w:val="24"/>
          <w:szCs w:val="24"/>
        </w:rPr>
        <w:br/>
        <w:t>(A) Workflow illustrating the analysis of cell abundance across five anatomical sites. (B) Panoramic mIHC image of a PDAC tumor invading the duodenum. (C–H) Close-up views of cell subcategories across anatomical sites. (I) Fold change in cell state abundance across anatomical sites at the invasive front. Stain Key: KRT17 (purple), GATA6 (brown), and PanCK (teal).</w:t>
      </w:r>
    </w:p>
    <w:p w14:paraId="70535BFA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sz w:val="24"/>
          <w:szCs w:val="24"/>
        </w:rPr>
      </w:pPr>
      <w:r w:rsidRPr="00D24A6D">
        <w:rPr>
          <w:rFonts w:ascii="Times New Roman" w:hAnsi="Times New Roman" w:cs="Times New Roman"/>
          <w:b/>
          <w:bCs/>
          <w:sz w:val="24"/>
          <w:szCs w:val="24"/>
        </w:rPr>
        <w:t>Supplementary Figure 7. Per-Patient Shifts in Cellular Composition During Metastasis.</w:t>
      </w:r>
      <w:r w:rsidRPr="00D24A6D">
        <w:rPr>
          <w:rFonts w:ascii="Times New Roman" w:hAnsi="Times New Roman" w:cs="Times New Roman"/>
          <w:sz w:val="24"/>
          <w:szCs w:val="24"/>
        </w:rPr>
        <w:br/>
        <w:t>Paired plots showing the change in fractional abundance for each of the four KRT17/GATA6-defined cell states between the primary tumor and the matched metastasis for each of the 25 patients in the Rapid Autopsy Program cohort.</w:t>
      </w:r>
    </w:p>
    <w:p w14:paraId="48FC66DA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sz w:val="24"/>
          <w:szCs w:val="24"/>
        </w:rPr>
      </w:pPr>
      <w:r w:rsidRPr="00D24A6D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8. Tumor Evolution from Diagnosis to Time of Death.</w:t>
      </w:r>
      <w:r w:rsidRPr="00D24A6D">
        <w:rPr>
          <w:rFonts w:ascii="Times New Roman" w:hAnsi="Times New Roman" w:cs="Times New Roman"/>
          <w:sz w:val="24"/>
          <w:szCs w:val="24"/>
        </w:rPr>
        <w:br/>
        <w:t>Boxplots comparing the fractional abundance of KRT17/GATA6-defined cell populations in primary tumors resected at diagnosis versus primary tumors collected at time of death from the rapid autopsy program. Statistical significance was determined using a Mann-Whitney U test.</w:t>
      </w:r>
    </w:p>
    <w:p w14:paraId="16029BBB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sz w:val="24"/>
          <w:szCs w:val="24"/>
        </w:rPr>
      </w:pPr>
      <w:r w:rsidRPr="00D24A6D">
        <w:rPr>
          <w:rFonts w:ascii="Times New Roman" w:hAnsi="Times New Roman" w:cs="Times New Roman"/>
          <w:b/>
          <w:bCs/>
          <w:sz w:val="24"/>
          <w:szCs w:val="24"/>
        </w:rPr>
        <w:t>Supplementary Figure 9. MYC Signaling is a Key Dependency in Aggressive PDAC States.</w:t>
      </w:r>
      <w:r w:rsidRPr="00D24A6D">
        <w:rPr>
          <w:rFonts w:ascii="Times New Roman" w:hAnsi="Times New Roman" w:cs="Times New Roman"/>
          <w:sz w:val="24"/>
          <w:szCs w:val="24"/>
        </w:rPr>
        <w:br/>
        <w:t>DepMap-based pathway dependency analysis across KRT17/GATA6-defined groups shows increasing functional vulnerabilities on MYC towards the hybrid KRT17⁺/GATA6⁺ population.</w:t>
      </w:r>
    </w:p>
    <w:p w14:paraId="7D1D02F0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sz w:val="24"/>
          <w:szCs w:val="24"/>
        </w:rPr>
      </w:pPr>
      <w:r w:rsidRPr="00D24A6D">
        <w:rPr>
          <w:rFonts w:ascii="Times New Roman" w:hAnsi="Times New Roman" w:cs="Times New Roman"/>
          <w:b/>
          <w:bCs/>
          <w:sz w:val="24"/>
          <w:szCs w:val="24"/>
        </w:rPr>
        <w:t>Supplementary Figure 10. Shared and Unique Proteins in the LCM/MS PDAC Proteomics Cohort.</w:t>
      </w:r>
      <w:r w:rsidRPr="00D24A6D">
        <w:rPr>
          <w:rFonts w:ascii="Times New Roman" w:hAnsi="Times New Roman" w:cs="Times New Roman"/>
          <w:sz w:val="24"/>
          <w:szCs w:val="24"/>
        </w:rPr>
        <w:br/>
        <w:t>Upset plot visualizing the intersections of differentially expressed proteins identified by proteomics across the four cell states.</w:t>
      </w:r>
    </w:p>
    <w:p w14:paraId="5D069F41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sz w:val="24"/>
          <w:szCs w:val="24"/>
        </w:rPr>
      </w:pPr>
      <w:r w:rsidRPr="00D24A6D">
        <w:rPr>
          <w:rFonts w:ascii="Times New Roman" w:hAnsi="Times New Roman" w:cs="Times New Roman"/>
          <w:b/>
          <w:bCs/>
          <w:sz w:val="24"/>
          <w:szCs w:val="24"/>
        </w:rPr>
        <w:t>Supplementary Figure 11. PCA-based Projection of Cellular Centroids onto a GATA6→KRT17 Axis and Bootstrapped Confidence.</w:t>
      </w:r>
      <w:r w:rsidRPr="00D24A6D">
        <w:rPr>
          <w:rFonts w:ascii="Times New Roman" w:hAnsi="Times New Roman" w:cs="Times New Roman"/>
          <w:sz w:val="24"/>
          <w:szCs w:val="24"/>
        </w:rPr>
        <w:br/>
        <w:t>(A) Projection of cellular centroids onto a GATA6→KRT17 axis in 2-dimensional PCA space. (B-E) Bootstrapping distributions of the projection point (P) for each cellular centroid, with 95% confidence intervals (CI) indicating the robustness of the projection.</w:t>
      </w:r>
    </w:p>
    <w:p w14:paraId="62187A5F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sz w:val="24"/>
          <w:szCs w:val="24"/>
        </w:rPr>
      </w:pPr>
      <w:r w:rsidRPr="00D24A6D">
        <w:rPr>
          <w:rFonts w:ascii="Times New Roman" w:hAnsi="Times New Roman" w:cs="Times New Roman"/>
          <w:b/>
          <w:bCs/>
          <w:sz w:val="24"/>
          <w:szCs w:val="24"/>
        </w:rPr>
        <w:t>Supplementary Figure 12. Differential Proteomics Defines Unique Pathway and Regulator Activities Across PDAC States.</w:t>
      </w:r>
      <w:r w:rsidRPr="00D24A6D">
        <w:rPr>
          <w:rFonts w:ascii="Times New Roman" w:hAnsi="Times New Roman" w:cs="Times New Roman"/>
          <w:sz w:val="24"/>
          <w:szCs w:val="24"/>
        </w:rPr>
        <w:br/>
        <w:t>Pathway Enrichment Analysis (GSEA) and Transcription Factor Enrichment Analysis (ChEA) of differentially expressed proteins across each cell state as determined by limma analysis of LCM-proteomics data.</w:t>
      </w:r>
    </w:p>
    <w:p w14:paraId="601B6EB8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sz w:val="24"/>
          <w:szCs w:val="24"/>
        </w:rPr>
      </w:pPr>
      <w:r w:rsidRPr="00D24A6D">
        <w:rPr>
          <w:rFonts w:ascii="Times New Roman" w:hAnsi="Times New Roman" w:cs="Times New Roman"/>
          <w:b/>
          <w:bCs/>
          <w:sz w:val="24"/>
          <w:szCs w:val="24"/>
        </w:rPr>
        <w:t>Supplementary Figure 13. The Hybrid State is Characterized by a Distinct Metabolic Program.</w:t>
      </w:r>
      <w:r w:rsidRPr="00D24A6D">
        <w:rPr>
          <w:rFonts w:ascii="Times New Roman" w:hAnsi="Times New Roman" w:cs="Times New Roman"/>
          <w:sz w:val="24"/>
          <w:szCs w:val="24"/>
        </w:rPr>
        <w:br/>
      </w:r>
      <w:r w:rsidRPr="00D24A6D">
        <w:rPr>
          <w:rFonts w:ascii="Times New Roman" w:hAnsi="Times New Roman" w:cs="Times New Roman"/>
          <w:sz w:val="24"/>
          <w:szCs w:val="24"/>
        </w:rPr>
        <w:lastRenderedPageBreak/>
        <w:t>(A) Bubble plot from scRNA-seq data showing co-enrichment of Hypoxia and Oxidative Phosphorylation hallmark pathways. (B) Representative MALDI imaging mass spectrometry (MALDI-IMS) showing spatial co-localization of high ATP with Hybrid (KRT17⁺/GATA6⁺) cells. (C) Boxplot quantifying ATP levels in the four cell states, confirming that Hybrid cells are hyper-energetic.</w:t>
      </w:r>
    </w:p>
    <w:p w14:paraId="17736B61" w14:textId="77777777" w:rsidR="00913309" w:rsidRPr="00D24A6D" w:rsidRDefault="00913309" w:rsidP="00913309">
      <w:pPr>
        <w:tabs>
          <w:tab w:val="left" w:pos="3600"/>
        </w:tabs>
        <w:spacing w:line="480" w:lineRule="auto"/>
        <w:ind w:right="80"/>
        <w:rPr>
          <w:rFonts w:ascii="Times New Roman" w:hAnsi="Times New Roman" w:cs="Times New Roman"/>
          <w:sz w:val="24"/>
          <w:szCs w:val="24"/>
        </w:rPr>
      </w:pPr>
      <w:r w:rsidRPr="00D24A6D">
        <w:rPr>
          <w:rFonts w:ascii="Times New Roman" w:hAnsi="Times New Roman" w:cs="Times New Roman"/>
          <w:b/>
          <w:bCs/>
          <w:sz w:val="24"/>
          <w:szCs w:val="24"/>
        </w:rPr>
        <w:t>Supplementary Figure 14. Hybrid Cell Abundance is Associated with Poor Prognosis in Patients Receiving 5-FU.</w:t>
      </w:r>
      <w:r w:rsidRPr="00D24A6D">
        <w:rPr>
          <w:rFonts w:ascii="Times New Roman" w:hAnsi="Times New Roman" w:cs="Times New Roman"/>
          <w:sz w:val="24"/>
          <w:szCs w:val="24"/>
        </w:rPr>
        <w:br/>
        <w:t>Kaplan-Meier analysis of Progression-Free Survival (PFS) in patients who received 5-FU based adjuvant therapy (n=24), stratified by the abundance of KRT17⁺/GATA6⁺ Hybrid cells.</w:t>
      </w:r>
    </w:p>
    <w:p w14:paraId="356293EA" w14:textId="77777777" w:rsidR="009542D6" w:rsidRDefault="009542D6"/>
    <w:sectPr w:rsidR="00954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309"/>
    <w:rsid w:val="00264C10"/>
    <w:rsid w:val="00470242"/>
    <w:rsid w:val="00726E03"/>
    <w:rsid w:val="007F1DEA"/>
    <w:rsid w:val="00913309"/>
    <w:rsid w:val="00934BC8"/>
    <w:rsid w:val="009542D6"/>
    <w:rsid w:val="00C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EEF5A"/>
  <w15:chartTrackingRefBased/>
  <w15:docId w15:val="{06ECD8CF-9714-4A2B-924B-98856B037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309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330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330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330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330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330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330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330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330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330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33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33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33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33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33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33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33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33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33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33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13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330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133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3309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133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3309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133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3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3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33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997</Words>
  <Characters>5683</Characters>
  <Application>Microsoft Office Word</Application>
  <DocSecurity>0</DocSecurity>
  <Lines>47</Lines>
  <Paragraphs>13</Paragraphs>
  <ScaleCrop>false</ScaleCrop>
  <Company/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2026-10-28T17:05:00Z</dcterms:created>
  <dcterms:modified xsi:type="dcterms:W3CDTF">2026-10-28T17:06:00Z</dcterms:modified>
</cp:coreProperties>
</file>