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7630D" w14:textId="77777777" w:rsidR="00281096" w:rsidRPr="00CB1C30" w:rsidRDefault="00281096" w:rsidP="00281096">
      <w:pPr>
        <w:jc w:val="both"/>
        <w:rPr>
          <w:rFonts w:ascii="Arial" w:eastAsia="Arial" w:hAnsi="Arial" w:cs="Arial"/>
          <w:b/>
          <w:sz w:val="32"/>
          <w:szCs w:val="36"/>
        </w:rPr>
      </w:pPr>
      <w:r w:rsidRPr="00CB1C30">
        <w:rPr>
          <w:rFonts w:ascii="Arial" w:eastAsia="Arial" w:hAnsi="Arial" w:cs="Arial"/>
          <w:b/>
          <w:sz w:val="32"/>
          <w:szCs w:val="36"/>
        </w:rPr>
        <w:t>Characterization of a murine model of endothelial dysfunction induced by chronic intraperitoneal administration of angiotensin II</w:t>
      </w:r>
    </w:p>
    <w:p w14:paraId="255FE368" w14:textId="5221A6BC" w:rsidR="00281096" w:rsidRPr="00D940B2" w:rsidRDefault="00281096" w:rsidP="00281096">
      <w:pPr>
        <w:jc w:val="both"/>
        <w:rPr>
          <w:rFonts w:ascii="Arial" w:eastAsia="Arial" w:hAnsi="Arial" w:cs="Arial"/>
          <w:lang w:val="es-MX"/>
        </w:rPr>
      </w:pPr>
      <w:r w:rsidRPr="00D940B2">
        <w:rPr>
          <w:rFonts w:ascii="Arial" w:eastAsia="Arial" w:hAnsi="Arial" w:cs="Arial"/>
          <w:lang w:val="es-MX"/>
        </w:rPr>
        <w:t>Celeste Trejo-Moreno</w:t>
      </w:r>
      <w:r w:rsidRPr="00D940B2">
        <w:rPr>
          <w:rFonts w:ascii="Arial" w:eastAsia="Arial" w:hAnsi="Arial" w:cs="Arial"/>
          <w:vertAlign w:val="superscript"/>
          <w:lang w:val="es-MX"/>
        </w:rPr>
        <w:t>1</w:t>
      </w:r>
      <w:r w:rsidRPr="00D940B2">
        <w:rPr>
          <w:rFonts w:ascii="Arial" w:eastAsia="Arial" w:hAnsi="Arial" w:cs="Arial"/>
          <w:lang w:val="es-MX"/>
        </w:rPr>
        <w:t>, Enrique Jiménez-Ferrer</w:t>
      </w:r>
      <w:r w:rsidRPr="00D940B2">
        <w:rPr>
          <w:rFonts w:ascii="Arial" w:eastAsia="Arial" w:hAnsi="Arial" w:cs="Arial"/>
          <w:vertAlign w:val="superscript"/>
          <w:lang w:val="es-MX"/>
        </w:rPr>
        <w:t>2</w:t>
      </w:r>
      <w:r>
        <w:rPr>
          <w:rFonts w:ascii="Arial" w:eastAsia="Arial" w:hAnsi="Arial" w:cs="Arial"/>
          <w:vertAlign w:val="superscript"/>
          <w:lang w:val="es-MX"/>
        </w:rPr>
        <w:t>,</w:t>
      </w:r>
      <w:r w:rsidRPr="00D940B2">
        <w:rPr>
          <w:rFonts w:ascii="Arial" w:eastAsia="Arial" w:hAnsi="Arial" w:cs="Arial"/>
          <w:vertAlign w:val="superscript"/>
          <w:lang w:val="es-MX"/>
        </w:rPr>
        <w:t>*</w:t>
      </w:r>
      <w:r w:rsidRPr="00D940B2">
        <w:rPr>
          <w:rFonts w:ascii="Arial" w:eastAsia="Arial" w:hAnsi="Arial" w:cs="Arial"/>
          <w:lang w:val="es-MX"/>
        </w:rPr>
        <w:t>, Gabriela Castro-Martínez</w:t>
      </w:r>
      <w:r w:rsidRPr="00D940B2">
        <w:rPr>
          <w:rFonts w:ascii="Arial" w:eastAsia="Arial" w:hAnsi="Arial" w:cs="Arial"/>
          <w:vertAlign w:val="superscript"/>
          <w:lang w:val="es-MX"/>
        </w:rPr>
        <w:t>3</w:t>
      </w:r>
      <w:r w:rsidRPr="00D940B2">
        <w:rPr>
          <w:rFonts w:ascii="Arial" w:eastAsia="Arial" w:hAnsi="Arial" w:cs="Arial"/>
          <w:lang w:val="es-MX"/>
        </w:rPr>
        <w:t>, Marisol Méndez-Martínez</w:t>
      </w:r>
      <w:r w:rsidRPr="00D940B2">
        <w:rPr>
          <w:rFonts w:ascii="Arial" w:eastAsia="Arial" w:hAnsi="Arial" w:cs="Arial"/>
          <w:vertAlign w:val="superscript"/>
          <w:lang w:val="es-MX"/>
        </w:rPr>
        <w:t>3</w:t>
      </w:r>
      <w:r w:rsidRPr="00D940B2">
        <w:rPr>
          <w:rFonts w:ascii="Arial" w:eastAsia="Arial" w:hAnsi="Arial" w:cs="Arial"/>
          <w:lang w:val="es-MX"/>
        </w:rPr>
        <w:t>, María Angélica Santana</w:t>
      </w:r>
      <w:r w:rsidRPr="00D940B2">
        <w:rPr>
          <w:rFonts w:ascii="Arial" w:eastAsia="Arial" w:hAnsi="Arial" w:cs="Arial"/>
          <w:vertAlign w:val="superscript"/>
          <w:lang w:val="es-MX"/>
        </w:rPr>
        <w:t>4</w:t>
      </w:r>
      <w:r w:rsidRPr="00D940B2">
        <w:rPr>
          <w:rFonts w:ascii="Arial" w:eastAsia="Arial" w:hAnsi="Arial" w:cs="Arial"/>
          <w:lang w:val="es-MX"/>
        </w:rPr>
        <w:t>, Gerardo Arrellín-Rosas</w:t>
      </w:r>
      <w:r w:rsidRPr="00D940B2">
        <w:rPr>
          <w:rFonts w:ascii="Arial" w:eastAsia="Arial" w:hAnsi="Arial" w:cs="Arial"/>
          <w:vertAlign w:val="superscript"/>
          <w:lang w:val="es-MX"/>
        </w:rPr>
        <w:t>3,5</w:t>
      </w:r>
      <w:r w:rsidRPr="00D940B2">
        <w:rPr>
          <w:rFonts w:ascii="Arial" w:eastAsia="Arial" w:hAnsi="Arial" w:cs="Arial"/>
          <w:lang w:val="es-MX"/>
        </w:rPr>
        <w:t>, José Pedraza-Chaverri</w:t>
      </w:r>
      <w:r w:rsidRPr="00D940B2">
        <w:rPr>
          <w:rFonts w:ascii="Arial" w:eastAsia="Arial" w:hAnsi="Arial" w:cs="Arial"/>
          <w:vertAlign w:val="superscript"/>
          <w:lang w:val="es-MX"/>
        </w:rPr>
        <w:t>6</w:t>
      </w:r>
      <w:r w:rsidRPr="00D940B2">
        <w:rPr>
          <w:rFonts w:ascii="Arial" w:eastAsia="Arial" w:hAnsi="Arial" w:cs="Arial"/>
          <w:lang w:val="es-MX"/>
        </w:rPr>
        <w:t>, Omar N. Medina-Campos</w:t>
      </w:r>
      <w:r w:rsidRPr="00D940B2">
        <w:rPr>
          <w:rFonts w:ascii="Arial" w:eastAsia="Arial" w:hAnsi="Arial" w:cs="Arial"/>
          <w:vertAlign w:val="superscript"/>
          <w:lang w:val="es-MX"/>
        </w:rPr>
        <w:t>6</w:t>
      </w:r>
      <w:r w:rsidRPr="00D940B2">
        <w:rPr>
          <w:rFonts w:ascii="Arial" w:eastAsia="Arial" w:hAnsi="Arial" w:cs="Arial"/>
          <w:lang w:val="es-MX"/>
        </w:rPr>
        <w:t>, Beatriz Hernández-Téllez</w:t>
      </w:r>
      <w:r w:rsidRPr="00D940B2">
        <w:rPr>
          <w:rFonts w:ascii="Arial" w:eastAsia="Arial" w:hAnsi="Arial" w:cs="Arial"/>
          <w:vertAlign w:val="superscript"/>
          <w:lang w:val="es-MX"/>
        </w:rPr>
        <w:t>7</w:t>
      </w:r>
      <w:r w:rsidRPr="00D940B2">
        <w:rPr>
          <w:rFonts w:ascii="Arial" w:eastAsia="Arial" w:hAnsi="Arial" w:cs="Arial"/>
          <w:lang w:val="es-MX"/>
        </w:rPr>
        <w:t>, Joel Barrita-Cruz</w:t>
      </w:r>
      <w:r w:rsidRPr="00D940B2">
        <w:rPr>
          <w:rFonts w:ascii="Arial" w:eastAsia="Arial" w:hAnsi="Arial" w:cs="Arial"/>
          <w:vertAlign w:val="superscript"/>
          <w:lang w:val="es-MX"/>
        </w:rPr>
        <w:t>3</w:t>
      </w:r>
      <w:r w:rsidRPr="00D940B2">
        <w:rPr>
          <w:rFonts w:ascii="Arial" w:eastAsia="Arial" w:hAnsi="Arial" w:cs="Arial"/>
          <w:lang w:val="es-MX"/>
        </w:rPr>
        <w:t>, , Oscar Ramírez-Pliego</w:t>
      </w:r>
      <w:r w:rsidRPr="00D940B2">
        <w:rPr>
          <w:rFonts w:ascii="Arial" w:eastAsia="Arial" w:hAnsi="Arial" w:cs="Arial"/>
          <w:vertAlign w:val="superscript"/>
          <w:lang w:val="es-MX"/>
        </w:rPr>
        <w:t>4</w:t>
      </w:r>
      <w:r w:rsidRPr="00D940B2">
        <w:rPr>
          <w:rFonts w:ascii="Arial" w:eastAsia="Arial" w:hAnsi="Arial" w:cs="Arial"/>
          <w:lang w:val="es-MX"/>
        </w:rPr>
        <w:t>, Maribel Herrera-Ruíz</w:t>
      </w:r>
      <w:r w:rsidRPr="00D940B2">
        <w:rPr>
          <w:rFonts w:ascii="Arial" w:eastAsia="Arial" w:hAnsi="Arial" w:cs="Arial"/>
          <w:vertAlign w:val="superscript"/>
          <w:lang w:val="es-MX"/>
        </w:rPr>
        <w:t>2</w:t>
      </w:r>
      <w:r w:rsidRPr="00D940B2">
        <w:rPr>
          <w:rFonts w:ascii="Arial" w:eastAsia="Arial" w:hAnsi="Arial" w:cs="Arial"/>
          <w:lang w:val="es-MX"/>
        </w:rPr>
        <w:t>, Gladis Fragoso</w:t>
      </w:r>
      <w:r w:rsidRPr="00D940B2">
        <w:rPr>
          <w:rFonts w:ascii="Arial" w:eastAsia="Arial" w:hAnsi="Arial" w:cs="Arial"/>
          <w:vertAlign w:val="superscript"/>
          <w:lang w:val="es-MX"/>
        </w:rPr>
        <w:t>8</w:t>
      </w:r>
      <w:r w:rsidRPr="00D940B2">
        <w:rPr>
          <w:rFonts w:ascii="Arial" w:eastAsia="Arial" w:hAnsi="Arial" w:cs="Arial"/>
          <w:lang w:val="es-MX"/>
        </w:rPr>
        <w:t>, Gabriela Rosas-Salgado</w:t>
      </w:r>
      <w:r w:rsidRPr="00D940B2">
        <w:rPr>
          <w:rFonts w:ascii="Arial" w:eastAsia="Arial" w:hAnsi="Arial" w:cs="Arial"/>
          <w:vertAlign w:val="superscript"/>
          <w:lang w:val="es-MX"/>
        </w:rPr>
        <w:t>3</w:t>
      </w:r>
      <w:r>
        <w:rPr>
          <w:rFonts w:ascii="Arial" w:eastAsia="Arial" w:hAnsi="Arial" w:cs="Arial"/>
          <w:vertAlign w:val="superscript"/>
          <w:lang w:val="es-MX"/>
        </w:rPr>
        <w:t>,</w:t>
      </w:r>
      <w:r w:rsidRPr="00D940B2">
        <w:rPr>
          <w:rFonts w:ascii="Arial" w:eastAsia="Arial" w:hAnsi="Arial" w:cs="Arial"/>
          <w:vertAlign w:val="superscript"/>
          <w:lang w:val="es-MX"/>
        </w:rPr>
        <w:t>*</w:t>
      </w:r>
      <w:r w:rsidRPr="00D940B2">
        <w:rPr>
          <w:rFonts w:ascii="Arial" w:eastAsia="Arial" w:hAnsi="Arial" w:cs="Arial"/>
          <w:lang w:val="es-MX"/>
        </w:rPr>
        <w:t>.</w:t>
      </w:r>
    </w:p>
    <w:p w14:paraId="6AA3E605" w14:textId="77777777" w:rsidR="00281096" w:rsidRPr="00D940B2" w:rsidRDefault="00281096" w:rsidP="00281096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bookmarkStart w:id="0" w:name="_Hlk47357979"/>
      <w:r w:rsidRPr="00D940B2">
        <w:rPr>
          <w:rFonts w:ascii="Arial" w:hAnsi="Arial" w:cs="Arial"/>
          <w:sz w:val="20"/>
          <w:szCs w:val="20"/>
          <w:vertAlign w:val="superscript"/>
          <w:lang w:val="es-MX"/>
        </w:rPr>
        <w:t>1</w:t>
      </w:r>
      <w:r w:rsidRPr="00D940B2">
        <w:rPr>
          <w:rFonts w:ascii="Arial" w:hAnsi="Arial" w:cs="Arial"/>
          <w:sz w:val="20"/>
          <w:szCs w:val="20"/>
          <w:lang w:val="es-MX"/>
        </w:rPr>
        <w:t xml:space="preserve"> Postdoctoral </w:t>
      </w:r>
      <w:proofErr w:type="spellStart"/>
      <w:r w:rsidRPr="00D940B2">
        <w:rPr>
          <w:rFonts w:ascii="Arial" w:hAnsi="Arial" w:cs="Arial"/>
          <w:sz w:val="20"/>
          <w:szCs w:val="20"/>
          <w:lang w:val="es-MX"/>
        </w:rPr>
        <w:t>stay</w:t>
      </w:r>
      <w:proofErr w:type="spellEnd"/>
      <w:r w:rsidRPr="00D940B2">
        <w:rPr>
          <w:rFonts w:ascii="Arial" w:hAnsi="Arial" w:cs="Arial"/>
          <w:sz w:val="20"/>
          <w:szCs w:val="20"/>
          <w:lang w:val="es-MX"/>
        </w:rPr>
        <w:t xml:space="preserve"> in </w:t>
      </w:r>
      <w:proofErr w:type="spellStart"/>
      <w:r w:rsidRPr="00D940B2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Pr="00D940B2">
        <w:rPr>
          <w:rFonts w:ascii="Arial" w:hAnsi="Arial" w:cs="Arial"/>
          <w:sz w:val="20"/>
          <w:szCs w:val="20"/>
          <w:lang w:val="es-MX"/>
        </w:rPr>
        <w:t xml:space="preserve"> Posgrado en Biología Experimental, Universidad Autónoma Metropolitana-Iztapalapa, Ciudad de México, 09640, México.</w:t>
      </w:r>
    </w:p>
    <w:p w14:paraId="2CBC3478" w14:textId="77777777" w:rsidR="00281096" w:rsidRPr="00D940B2" w:rsidRDefault="00281096" w:rsidP="00281096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D940B2">
        <w:rPr>
          <w:rFonts w:ascii="Arial" w:hAnsi="Arial" w:cs="Arial"/>
          <w:sz w:val="20"/>
          <w:szCs w:val="20"/>
          <w:vertAlign w:val="superscript"/>
          <w:lang w:val="es-MX"/>
        </w:rPr>
        <w:t>2</w:t>
      </w:r>
      <w:r w:rsidRPr="00D940B2">
        <w:rPr>
          <w:rFonts w:ascii="Arial" w:hAnsi="Arial" w:cs="Arial"/>
          <w:sz w:val="20"/>
          <w:szCs w:val="20"/>
          <w:lang w:val="es-MX"/>
        </w:rPr>
        <w:t xml:space="preserve"> Centro de Investigación Biomédica del Sur, Instituto Mexicano del Seguro Social, Xochitepec, Morelos, 62790, México.</w:t>
      </w:r>
    </w:p>
    <w:p w14:paraId="4B35B397" w14:textId="77777777" w:rsidR="00281096" w:rsidRPr="00D940B2" w:rsidRDefault="00281096" w:rsidP="00281096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D940B2">
        <w:rPr>
          <w:rFonts w:ascii="Arial" w:hAnsi="Arial" w:cs="Arial"/>
          <w:sz w:val="20"/>
          <w:szCs w:val="20"/>
          <w:vertAlign w:val="superscript"/>
          <w:lang w:val="es-MX"/>
        </w:rPr>
        <w:t>3</w:t>
      </w:r>
      <w:r w:rsidRPr="00D940B2">
        <w:rPr>
          <w:rFonts w:ascii="Arial" w:hAnsi="Arial" w:cs="Arial"/>
          <w:sz w:val="20"/>
          <w:szCs w:val="20"/>
          <w:lang w:val="es-MX"/>
        </w:rPr>
        <w:t xml:space="preserve"> Facultad de Medicina, Universidad Autónoma del Estado de Morelos, Cuernavaca, Morelos, 62350, México.</w:t>
      </w:r>
    </w:p>
    <w:p w14:paraId="66377315" w14:textId="77777777" w:rsidR="00281096" w:rsidRPr="00D940B2" w:rsidRDefault="00281096" w:rsidP="00281096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D940B2">
        <w:rPr>
          <w:rFonts w:ascii="Arial" w:hAnsi="Arial" w:cs="Arial"/>
          <w:sz w:val="20"/>
          <w:szCs w:val="20"/>
          <w:vertAlign w:val="superscript"/>
          <w:lang w:val="es-MX"/>
        </w:rPr>
        <w:t>4</w:t>
      </w:r>
      <w:r w:rsidRPr="00D940B2">
        <w:rPr>
          <w:rFonts w:ascii="Arial" w:hAnsi="Arial" w:cs="Arial"/>
          <w:sz w:val="20"/>
          <w:szCs w:val="20"/>
          <w:lang w:val="es-MX"/>
        </w:rPr>
        <w:t xml:space="preserve"> Centro de Investigación en Dinámica Celular, Universidad Autónoma del Estado de Morelos, Cuernavaca, Morelos, 62209, México.</w:t>
      </w:r>
    </w:p>
    <w:p w14:paraId="7846D48D" w14:textId="77777777" w:rsidR="00281096" w:rsidRPr="00D940B2" w:rsidRDefault="00281096" w:rsidP="00281096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D940B2">
        <w:rPr>
          <w:rFonts w:ascii="Arial" w:hAnsi="Arial" w:cs="Arial"/>
          <w:sz w:val="20"/>
          <w:szCs w:val="20"/>
          <w:vertAlign w:val="superscript"/>
          <w:lang w:val="es-MX"/>
        </w:rPr>
        <w:t>5</w:t>
      </w:r>
      <w:r w:rsidRPr="00D940B2">
        <w:rPr>
          <w:rFonts w:ascii="Arial" w:hAnsi="Arial" w:cs="Arial"/>
          <w:sz w:val="20"/>
          <w:szCs w:val="20"/>
          <w:lang w:val="es-MX"/>
        </w:rPr>
        <w:t xml:space="preserve"> Facultad de Ciencias de la Salud, Universidad Panamericana, Ciudad de México, 03920, México.</w:t>
      </w:r>
    </w:p>
    <w:p w14:paraId="505522F4" w14:textId="77777777" w:rsidR="00281096" w:rsidRPr="003D0A1B" w:rsidRDefault="00281096" w:rsidP="00281096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D940B2">
        <w:rPr>
          <w:rFonts w:ascii="Arial" w:hAnsi="Arial" w:cs="Arial"/>
          <w:sz w:val="20"/>
          <w:szCs w:val="20"/>
          <w:vertAlign w:val="superscript"/>
          <w:lang w:val="es-MX"/>
        </w:rPr>
        <w:t>6</w:t>
      </w:r>
      <w:r w:rsidRPr="00D940B2">
        <w:rPr>
          <w:rFonts w:ascii="Arial" w:hAnsi="Arial" w:cs="Arial"/>
          <w:sz w:val="20"/>
          <w:szCs w:val="20"/>
          <w:lang w:val="es-MX"/>
        </w:rPr>
        <w:t xml:space="preserve"> Facultad de </w:t>
      </w:r>
      <w:r w:rsidRPr="003D0A1B">
        <w:rPr>
          <w:rFonts w:ascii="Arial" w:hAnsi="Arial" w:cs="Arial"/>
          <w:sz w:val="20"/>
          <w:szCs w:val="20"/>
          <w:lang w:val="es-MX"/>
        </w:rPr>
        <w:t>Química, Universidad Nacional Autónoma de México, Ciudad de México, 04510, México.</w:t>
      </w:r>
    </w:p>
    <w:p w14:paraId="6D2ABCAF" w14:textId="77777777" w:rsidR="00281096" w:rsidRPr="003D0A1B" w:rsidRDefault="00281096" w:rsidP="00281096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3D0A1B">
        <w:rPr>
          <w:rFonts w:ascii="Arial" w:hAnsi="Arial" w:cs="Arial"/>
          <w:sz w:val="20"/>
          <w:szCs w:val="20"/>
          <w:vertAlign w:val="superscript"/>
          <w:lang w:val="es-MX"/>
        </w:rPr>
        <w:t>7</w:t>
      </w:r>
      <w:r w:rsidRPr="003D0A1B">
        <w:rPr>
          <w:rFonts w:ascii="Arial" w:hAnsi="Arial" w:cs="Arial"/>
          <w:sz w:val="20"/>
          <w:szCs w:val="20"/>
          <w:lang w:val="es-MX"/>
        </w:rPr>
        <w:t xml:space="preserve"> Facultad de Medicina, Universidad Nacional Autónoma de México, Ciudad de México, CP, 04510, México.</w:t>
      </w:r>
    </w:p>
    <w:p w14:paraId="1B9581CF" w14:textId="77777777" w:rsidR="00281096" w:rsidRPr="003D0A1B" w:rsidRDefault="00281096" w:rsidP="00281096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3D0A1B">
        <w:rPr>
          <w:rFonts w:ascii="Arial" w:hAnsi="Arial" w:cs="Arial"/>
          <w:sz w:val="20"/>
          <w:szCs w:val="20"/>
          <w:vertAlign w:val="superscript"/>
          <w:lang w:val="es-MX"/>
        </w:rPr>
        <w:t>8</w:t>
      </w:r>
      <w:r w:rsidRPr="003D0A1B">
        <w:rPr>
          <w:rFonts w:ascii="Arial" w:hAnsi="Arial" w:cs="Arial"/>
          <w:sz w:val="20"/>
          <w:szCs w:val="20"/>
          <w:lang w:val="es-MX"/>
        </w:rPr>
        <w:t xml:space="preserve"> Instituto de Investigaciones Biomédicas, Universidad Nacional Autónoma de México, Ciudad de México, 04510, México.</w:t>
      </w:r>
    </w:p>
    <w:p w14:paraId="51A19BF8" w14:textId="77777777" w:rsidR="00281096" w:rsidRPr="003D0A1B" w:rsidRDefault="00281096" w:rsidP="00281096">
      <w:pPr>
        <w:spacing w:after="0"/>
        <w:jc w:val="both"/>
        <w:rPr>
          <w:rFonts w:ascii="Arial" w:hAnsi="Arial" w:cs="Arial"/>
          <w:sz w:val="20"/>
          <w:szCs w:val="20"/>
        </w:rPr>
      </w:pPr>
      <w:r w:rsidRPr="003D0A1B">
        <w:rPr>
          <w:rFonts w:ascii="Arial" w:hAnsi="Arial" w:cs="Arial"/>
          <w:sz w:val="20"/>
          <w:szCs w:val="20"/>
        </w:rPr>
        <w:t>* Corresponding authors</w:t>
      </w:r>
    </w:p>
    <w:p w14:paraId="3FE954A8" w14:textId="77777777" w:rsidR="00281096" w:rsidRDefault="00281096" w:rsidP="00281096">
      <w:pPr>
        <w:spacing w:after="0"/>
        <w:jc w:val="both"/>
        <w:rPr>
          <w:rFonts w:ascii="Arial" w:hAnsi="Arial" w:cs="Arial"/>
          <w:sz w:val="20"/>
          <w:szCs w:val="20"/>
        </w:rPr>
      </w:pPr>
      <w:r w:rsidRPr="003D0A1B">
        <w:rPr>
          <w:rFonts w:ascii="Arial" w:hAnsi="Arial" w:cs="Arial"/>
          <w:sz w:val="20"/>
          <w:szCs w:val="20"/>
        </w:rPr>
        <w:t xml:space="preserve"> E-mail: </w:t>
      </w:r>
      <w:hyperlink r:id="rId4" w:history="1">
        <w:r w:rsidRPr="003D0A1B">
          <w:rPr>
            <w:rStyle w:val="Hipervnculo"/>
            <w:rFonts w:ascii="Arial" w:hAnsi="Arial" w:cs="Arial"/>
            <w:sz w:val="20"/>
            <w:szCs w:val="20"/>
          </w:rPr>
          <w:t>gabriela.rosas@uaem.com.mx</w:t>
        </w:r>
      </w:hyperlink>
      <w:r w:rsidRPr="003D0A1B">
        <w:rPr>
          <w:rFonts w:ascii="Arial" w:hAnsi="Arial" w:cs="Arial"/>
          <w:sz w:val="20"/>
          <w:szCs w:val="20"/>
        </w:rPr>
        <w:t xml:space="preserve"> (GRS),  </w:t>
      </w:r>
      <w:hyperlink r:id="rId5">
        <w:r w:rsidRPr="003D0A1B">
          <w:rPr>
            <w:rFonts w:ascii="Arial" w:hAnsi="Arial" w:cs="Arial"/>
            <w:sz w:val="20"/>
            <w:szCs w:val="20"/>
          </w:rPr>
          <w:t>enriqueferrer</w:t>
        </w:r>
      </w:hyperlink>
      <w:hyperlink r:id="rId6">
        <w:r w:rsidRPr="003D0A1B">
          <w:rPr>
            <w:rFonts w:ascii="Arial" w:hAnsi="Arial" w:cs="Arial"/>
            <w:sz w:val="20"/>
            <w:szCs w:val="20"/>
          </w:rPr>
          <w:t>_mx</w:t>
        </w:r>
      </w:hyperlink>
      <w:hyperlink r:id="rId7">
        <w:r w:rsidRPr="003D0A1B">
          <w:rPr>
            <w:rFonts w:ascii="Arial" w:hAnsi="Arial" w:cs="Arial"/>
            <w:sz w:val="20"/>
            <w:szCs w:val="20"/>
          </w:rPr>
          <w:t>@yahoo.com</w:t>
        </w:r>
      </w:hyperlink>
      <w:r w:rsidRPr="003D0A1B">
        <w:rPr>
          <w:rFonts w:ascii="Arial" w:hAnsi="Arial" w:cs="Arial"/>
          <w:sz w:val="20"/>
          <w:szCs w:val="20"/>
        </w:rPr>
        <w:t xml:space="preserve"> (EJF</w:t>
      </w:r>
      <w:bookmarkEnd w:id="0"/>
      <w:r w:rsidRPr="003D0A1B">
        <w:rPr>
          <w:rFonts w:ascii="Arial" w:hAnsi="Arial" w:cs="Arial"/>
          <w:sz w:val="20"/>
          <w:szCs w:val="20"/>
        </w:rPr>
        <w:t>)</w:t>
      </w:r>
    </w:p>
    <w:p w14:paraId="75618985" w14:textId="77777777" w:rsidR="00281096" w:rsidRDefault="00281096" w:rsidP="00E4598A">
      <w:pPr>
        <w:rPr>
          <w:rFonts w:ascii="Arial" w:hAnsi="Arial" w:cs="Arial"/>
          <w:sz w:val="20"/>
          <w:szCs w:val="20"/>
        </w:rPr>
      </w:pPr>
    </w:p>
    <w:p w14:paraId="39E5A103" w14:textId="77777777" w:rsidR="00E4598A" w:rsidRPr="003D0A1B" w:rsidRDefault="00E4598A" w:rsidP="00E4598A">
      <w:pPr>
        <w:rPr>
          <w:rFonts w:ascii="Arial" w:hAnsi="Arial" w:cs="Arial"/>
          <w:sz w:val="20"/>
          <w:szCs w:val="20"/>
        </w:rPr>
      </w:pPr>
    </w:p>
    <w:p w14:paraId="395EC6EF" w14:textId="77777777" w:rsidR="00281096" w:rsidRPr="003D0A1B" w:rsidRDefault="00281096" w:rsidP="00281096">
      <w:pPr>
        <w:jc w:val="both"/>
        <w:rPr>
          <w:rFonts w:ascii="Arial" w:hAnsi="Arial" w:cs="Arial"/>
          <w:sz w:val="20"/>
          <w:szCs w:val="20"/>
        </w:rPr>
      </w:pPr>
    </w:p>
    <w:p w14:paraId="0402864F" w14:textId="77777777" w:rsidR="00281096" w:rsidRDefault="00E4598A" w:rsidP="00281096">
      <w:pPr>
        <w:rPr>
          <w:rFonts w:ascii="Arial" w:eastAsia="Arial" w:hAnsi="Arial" w:cs="Arial"/>
          <w:b/>
          <w:sz w:val="32"/>
          <w:szCs w:val="36"/>
        </w:rPr>
      </w:pPr>
      <w:r>
        <w:rPr>
          <w:rFonts w:ascii="Arial" w:eastAsia="Arial" w:hAnsi="Arial" w:cs="Arial"/>
          <w:b/>
          <w:noProof/>
          <w:sz w:val="32"/>
          <w:szCs w:val="36"/>
          <w:lang w:val="es-MX"/>
        </w:rPr>
        <w:lastRenderedPageBreak/>
        <w:drawing>
          <wp:inline distT="0" distB="0" distL="0" distR="0" wp14:anchorId="2609EF94" wp14:editId="6638D1D6">
            <wp:extent cx="5125085" cy="2552065"/>
            <wp:effectExtent l="0" t="0" r="0" b="635"/>
            <wp:docPr id="1" name="Imagen 1" descr="C:\Users\LYDIA\Documents\CELESTE\Gaby Rosas\scientific reports\envio a Gaby\Supp 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IA\Documents\CELESTE\Gaby Rosas\scientific reports\envio a Gaby\Supp Fig S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431D" w14:textId="77777777" w:rsidR="00281096" w:rsidRPr="00281096" w:rsidRDefault="00281096" w:rsidP="00281096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81096">
        <w:rPr>
          <w:rFonts w:ascii="Arial" w:eastAsia="Arial" w:hAnsi="Arial" w:cs="Arial"/>
          <w:b/>
          <w:sz w:val="24"/>
          <w:szCs w:val="24"/>
        </w:rPr>
        <w:t xml:space="preserve">Supplementary Figure S1. </w:t>
      </w:r>
      <w:r w:rsidRPr="0028109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Chronic AGII administration increases the expression of </w:t>
      </w:r>
      <w:proofErr w:type="spellStart"/>
      <w:r w:rsidRPr="00281096">
        <w:rPr>
          <w:rFonts w:ascii="Arial" w:eastAsia="Arial" w:hAnsi="Arial" w:cs="Arial"/>
          <w:b/>
          <w:bCs/>
          <w:color w:val="000000"/>
          <w:sz w:val="24"/>
          <w:szCs w:val="24"/>
        </w:rPr>
        <w:t>eNOS</w:t>
      </w:r>
      <w:proofErr w:type="spellEnd"/>
      <w:r w:rsidRPr="0028109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mRNA but not </w:t>
      </w:r>
      <w:proofErr w:type="spellStart"/>
      <w:r w:rsidRPr="00281096">
        <w:rPr>
          <w:rFonts w:ascii="Arial" w:eastAsia="Arial" w:hAnsi="Arial" w:cs="Arial"/>
          <w:b/>
          <w:bCs/>
          <w:color w:val="000000"/>
          <w:sz w:val="24"/>
          <w:szCs w:val="24"/>
        </w:rPr>
        <w:t>iNOS</w:t>
      </w:r>
      <w:proofErr w:type="spellEnd"/>
      <w:r w:rsidRPr="0028109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mRNA.</w:t>
      </w:r>
      <w:r w:rsidRPr="00281096">
        <w:rPr>
          <w:rFonts w:ascii="Arial" w:eastAsia="Arial" w:hAnsi="Arial" w:cs="Arial"/>
          <w:color w:val="000000"/>
          <w:sz w:val="24"/>
          <w:szCs w:val="24"/>
        </w:rPr>
        <w:t xml:space="preserve"> Data are reported as mean ± SD and analyzed with a two-tailed, unpaired Student's t test (P &lt; 0.05). * indicate differences with respect to control.</w:t>
      </w:r>
    </w:p>
    <w:p w14:paraId="16069524" w14:textId="77777777" w:rsidR="00281096" w:rsidRDefault="0028109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14:paraId="1594453F" w14:textId="77777777" w:rsidR="00281096" w:rsidRDefault="00E4598A" w:rsidP="00281096">
      <w:pPr>
        <w:rPr>
          <w:rFonts w:ascii="Arial" w:eastAsia="Arial" w:hAnsi="Arial" w:cs="Arial"/>
          <w:b/>
          <w:sz w:val="24"/>
          <w:szCs w:val="36"/>
        </w:rPr>
      </w:pPr>
      <w:r>
        <w:rPr>
          <w:rFonts w:ascii="Arial" w:eastAsia="Arial" w:hAnsi="Arial" w:cs="Arial"/>
          <w:b/>
          <w:noProof/>
          <w:sz w:val="24"/>
          <w:szCs w:val="36"/>
          <w:lang w:val="es-MX"/>
        </w:rPr>
        <w:lastRenderedPageBreak/>
        <w:drawing>
          <wp:inline distT="0" distB="0" distL="0" distR="0" wp14:anchorId="2CD6ED1D" wp14:editId="4C533A5D">
            <wp:extent cx="5612130" cy="4750177"/>
            <wp:effectExtent l="0" t="0" r="7620" b="0"/>
            <wp:docPr id="2" name="Imagen 2" descr="C:\Users\LYDIA\Documents\CELESTE\Gaby Rosas\scientific reports\envio a Gaby\Supp 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DIA\Documents\CELESTE\Gaby Rosas\scientific reports\envio a Gaby\Supp Fig 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3A15" w14:textId="77777777" w:rsidR="00281096" w:rsidRDefault="00281096" w:rsidP="00281096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eastAsia="Arial" w:hAnsi="Arial" w:cs="Arial"/>
          <w:color w:val="000000"/>
        </w:rPr>
      </w:pPr>
      <w:r w:rsidRPr="00281096">
        <w:rPr>
          <w:rFonts w:ascii="Arial" w:eastAsia="Arial" w:hAnsi="Arial" w:cs="Arial"/>
          <w:b/>
          <w:bCs/>
          <w:color w:val="000000"/>
          <w:sz w:val="24"/>
        </w:rPr>
        <w:t>Supplementary Figure S2. Evaluation of glomerular damage by PAS staining</w:t>
      </w:r>
      <w:r w:rsidRPr="00281096">
        <w:rPr>
          <w:rFonts w:ascii="Arial" w:eastAsia="Arial" w:hAnsi="Arial" w:cs="Arial"/>
          <w:color w:val="000000"/>
          <w:sz w:val="24"/>
        </w:rPr>
        <w:t>. A-B) Renal capsule. C-D) Glomeruli. E-G) Analysis of glomerular area and percentage of vascular y mesangial glomerular areas. A decrease in glomerular vascular and a mesangial expansion were observed in AGII-treated mice (F-G). Arrows indicate vascular areas. M: macrophages; L: lymphocytes; P: plasmatic cells; F: fibroblasts, B: basophiles; N: neutrophils. Microphotographs taken at 100X. Data are reported as mean ± SD and analyzed with a two-tailed, unpaired Student's t test (P &lt; 0.05). * indicate differences with respect to control</w:t>
      </w:r>
      <w:r w:rsidRPr="00F235AE">
        <w:rPr>
          <w:rFonts w:ascii="Arial" w:eastAsia="Arial" w:hAnsi="Arial" w:cs="Arial"/>
          <w:color w:val="000000"/>
        </w:rPr>
        <w:t>.</w:t>
      </w:r>
    </w:p>
    <w:p w14:paraId="1F8E1A50" w14:textId="77777777" w:rsidR="00281096" w:rsidRDefault="0028109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14:paraId="29942B15" w14:textId="77777777" w:rsidR="00E4598A" w:rsidRDefault="00E4598A" w:rsidP="00281096">
      <w:pPr>
        <w:spacing w:before="240"/>
        <w:jc w:val="both"/>
        <w:rPr>
          <w:rFonts w:ascii="Arial" w:eastAsia="Arial" w:hAnsi="Arial" w:cs="Arial"/>
          <w:b/>
          <w:bCs/>
          <w:sz w:val="24"/>
        </w:rPr>
      </w:pPr>
      <w:r>
        <w:rPr>
          <w:rFonts w:ascii="Arial" w:eastAsia="Arial" w:hAnsi="Arial" w:cs="Arial"/>
          <w:b/>
          <w:bCs/>
          <w:noProof/>
          <w:sz w:val="24"/>
          <w:lang w:val="es-MX"/>
        </w:rPr>
        <w:lastRenderedPageBreak/>
        <w:drawing>
          <wp:inline distT="0" distB="0" distL="0" distR="0" wp14:anchorId="2FF2F0E8" wp14:editId="1610B612">
            <wp:extent cx="5103495" cy="4476115"/>
            <wp:effectExtent l="0" t="0" r="1905" b="635"/>
            <wp:docPr id="3" name="Imagen 3" descr="C:\Users\LYDIA\Documents\CELESTE\Gaby Rosas\scientific reports\envio a Gaby\Supp 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DIA\Documents\CELESTE\Gaby Rosas\scientific reports\envio a Gaby\Supp Fig S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8B10" w14:textId="77777777" w:rsidR="00281096" w:rsidRPr="00281096" w:rsidRDefault="00281096" w:rsidP="00281096">
      <w:pPr>
        <w:spacing w:before="240"/>
        <w:jc w:val="both"/>
        <w:rPr>
          <w:rFonts w:ascii="Arial" w:eastAsia="Arial" w:hAnsi="Arial" w:cs="Arial"/>
          <w:sz w:val="24"/>
        </w:rPr>
      </w:pPr>
      <w:r w:rsidRPr="00281096">
        <w:rPr>
          <w:rFonts w:ascii="Arial" w:eastAsia="Arial" w:hAnsi="Arial" w:cs="Arial"/>
          <w:b/>
          <w:bCs/>
          <w:sz w:val="24"/>
        </w:rPr>
        <w:t>Supplementary Figure S3. Retinal neovascularization induced by AGII.</w:t>
      </w:r>
      <w:r w:rsidRPr="00281096">
        <w:rPr>
          <w:rFonts w:ascii="Arial" w:eastAsia="Arial" w:hAnsi="Arial" w:cs="Arial"/>
          <w:sz w:val="24"/>
        </w:rPr>
        <w:t xml:space="preserve"> A-B) Vessels. C-D) </w:t>
      </w:r>
      <w:proofErr w:type="spellStart"/>
      <w:r w:rsidRPr="00281096">
        <w:rPr>
          <w:rFonts w:ascii="Arial" w:eastAsia="Arial" w:hAnsi="Arial" w:cs="Arial"/>
          <w:sz w:val="24"/>
        </w:rPr>
        <w:t>Neovessels</w:t>
      </w:r>
      <w:proofErr w:type="spellEnd"/>
      <w:r w:rsidRPr="00281096">
        <w:rPr>
          <w:rFonts w:ascii="Arial" w:eastAsia="Arial" w:hAnsi="Arial" w:cs="Arial"/>
          <w:sz w:val="24"/>
        </w:rPr>
        <w:t>. A chronic AGII administration failed to alter the number of retinal vessels already formed; however, it induced the formation of new vessels, increasing its number 4-fold with respect to the control group (D). Data are reported as mean ± SD and analyzed with a two-tailed, unpaired Student's t test (P &lt; 0.05). * indicate differences with respect to control.</w:t>
      </w:r>
    </w:p>
    <w:p w14:paraId="6AF4B4C2" w14:textId="77777777" w:rsidR="00281096" w:rsidRPr="00F235AE" w:rsidRDefault="00281096" w:rsidP="00281096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eastAsia="Arial" w:hAnsi="Arial" w:cs="Arial"/>
          <w:color w:val="000000"/>
          <w:highlight w:val="cyan"/>
        </w:rPr>
      </w:pPr>
    </w:p>
    <w:p w14:paraId="48C76F69" w14:textId="77777777" w:rsidR="00281096" w:rsidRPr="00281096" w:rsidRDefault="00281096" w:rsidP="00281096">
      <w:pPr>
        <w:rPr>
          <w:rFonts w:ascii="Arial" w:eastAsia="Arial" w:hAnsi="Arial" w:cs="Arial"/>
          <w:b/>
          <w:sz w:val="32"/>
          <w:szCs w:val="36"/>
        </w:rPr>
      </w:pPr>
    </w:p>
    <w:sectPr w:rsidR="00281096" w:rsidRPr="002810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096"/>
    <w:rsid w:val="00281096"/>
    <w:rsid w:val="005F7706"/>
    <w:rsid w:val="006D100F"/>
    <w:rsid w:val="00E4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97F50"/>
  <w15:docId w15:val="{CD0C9EFD-3FD4-4A0F-A4B6-BC631E8F6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096"/>
    <w:rPr>
      <w:rFonts w:ascii="Calibri" w:eastAsia="Calibri" w:hAnsi="Calibri" w:cs="Calibri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109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598A"/>
    <w:rPr>
      <w:rFonts w:ascii="Tahoma" w:eastAsia="Calibri" w:hAnsi="Tahoma" w:cs="Tahoma"/>
      <w:sz w:val="16"/>
      <w:szCs w:val="16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enriqueferrer_mx@yahoo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riqueferrer_mx@yahoo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enriqueferrer_mx@yahoo.com" TargetMode="External"/><Relationship Id="rId10" Type="http://schemas.openxmlformats.org/officeDocument/2006/relationships/image" Target="media/image3.tiff"/><Relationship Id="rId4" Type="http://schemas.openxmlformats.org/officeDocument/2006/relationships/hyperlink" Target="mailto:gabriela.rosas@uaem.com.mx" TargetMode="Externa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Gladis Fragoso</cp:lastModifiedBy>
  <cp:revision>3</cp:revision>
  <dcterms:created xsi:type="dcterms:W3CDTF">2020-09-09T20:18:00Z</dcterms:created>
  <dcterms:modified xsi:type="dcterms:W3CDTF">2020-11-23T14:50:00Z</dcterms:modified>
</cp:coreProperties>
</file>