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line="276"/>
        <w:jc w:val="center"/>
      </w:pPr>
      <w:r>
        <w:rPr>
          <w:rFonts w:ascii="Times New Roman" w:cs="Times New Roman" w:eastAsia="Times New Roman" w:hAnsi="Times New Roman"/>
          <w:b/>
          <w:bCs/>
          <w:sz w:val="28"/>
          <w:szCs w:val="28"/>
        </w:rPr>
        <w:t xml:space="preserve">Online Resource 1</w:t>
      </w:r>
    </w:p>
    <w:p>
      <w:pPr>
        <w:spacing w:after="60" w:before="0" w:line="276"/>
        <w:jc w:val="center"/>
      </w:pPr>
      <w:r>
        <w:rPr>
          <w:rFonts w:ascii="Times New Roman" w:cs="Times New Roman" w:eastAsia="Times New Roman" w:hAnsi="Times New Roman"/>
          <w:sz w:val="22"/>
          <w:szCs w:val="22"/>
        </w:rPr>
        <w:t xml:space="preserve">Supplementary material for the article</w:t>
      </w:r>
    </w:p>
    <w:p>
      <w:pPr>
        <w:spacing w:after="60" w:before="0" w:line="276"/>
        <w:jc w:val="center"/>
      </w:pPr>
      <w:r>
        <w:rPr>
          <w:rFonts w:ascii="Times New Roman" w:cs="Times New Roman" w:eastAsia="Times New Roman" w:hAnsi="Times New Roman"/>
          <w:i/>
          <w:iCs/>
          <w:sz w:val="22"/>
          <w:szCs w:val="22"/>
        </w:rPr>
        <w:t xml:space="preserve">Emotional Resource, Academic Cost? Romantic Relationships, Academic Functioning and Psychological Well-Being among Students at a Public University in Egypt: A Mixed-Methods Study</w:t>
      </w:r>
    </w:p>
    <w:p>
      <w:pPr>
        <w:spacing w:after="60" w:before="0" w:line="276"/>
        <w:jc w:val="center"/>
      </w:pPr>
      <w:r>
        <w:rPr>
          <w:rFonts w:ascii="Times New Roman" w:cs="Times New Roman" w:eastAsia="Times New Roman" w:hAnsi="Times New Roman"/>
          <w:sz w:val="22"/>
          <w:szCs w:val="22"/>
        </w:rPr>
        <w:t xml:space="preserve">Applied Research in Quality of Life</w:t>
      </w:r>
    </w:p>
    <w:p>
      <w:pPr>
        <w:spacing w:after="240" w:before="0" w:line="276"/>
        <w:jc w:val="center"/>
      </w:pPr>
      <w:r>
        <w:rPr>
          <w:rFonts w:ascii="Times New Roman" w:cs="Times New Roman" w:eastAsia="Times New Roman" w:hAnsi="Times New Roman"/>
          <w:sz w:val="20"/>
          <w:szCs w:val="20"/>
        </w:rPr>
        <w:t xml:space="preserve">Author names and affiliations are withheld for double-anonymous review; they are given on the title page.</w:t>
      </w:r>
    </w:p>
    <w:p>
      <w:pPr>
        <w:spacing w:after="120" w:before="0" w:line="276"/>
        <w:jc w:val="left"/>
      </w:pPr>
      <w:r>
        <w:rPr>
          <w:sz w:val="22"/>
          <w:szCs w:val="22"/>
        </w:rPr>
        <w:t xml:space="preserve">This resource reports the audit of the survey data, the wording of all questionnaire items, the measurement analyses, complete model results, robustness and sensitivity analyses, the gender-moderation tests, the qualitative participants and audit trail, the Arabic passages underlying the paraphrased interview material, the reporting checklists, the reference-integrity check, the treatment of the protocol hypotheses, information for reproducing the analyses and the literature search behind the research-gap statement of the article. Every estimate was produced by the analysis code (Online Resource 3, version 2.0, and its addendum, version 2.1) from the data in Online Resource 2, and descriptive counts and percentages were computed directly from Online Resource 2; all values were inserted into the tables programmatically, not transcribed by hand. Coefficients are rounded to two decimals; β denotes a difference in standard deviations, OR an odds ratio and CI a 95% confidence interval.</w:t>
      </w:r>
    </w:p>
    <w:p>
      <w:pPr>
        <w:spacing w:after="240" w:before="0" w:line="276"/>
        <w:jc w:val="left"/>
      </w:pPr>
      <w:r>
        <w:rPr>
          <w:i/>
          <w:iCs/>
          <w:sz w:val="22"/>
          <w:szCs w:val="22"/>
        </w:rPr>
        <w:t xml:space="preserve">Contents.</w:t>
      </w:r>
      <w:r>
        <w:rPr>
          <w:sz w:val="22"/>
          <w:szCs w:val="22"/>
        </w:rPr>
        <w:t xml:space="preserve"> S1 Data audit and analytic sample · S2 Questionnaire items · S3 Exploratory factor analysis · S4 Confirmatory factor analysis, reliability and discriminant validity · S5 Complete model results · S6 Robustness and sensitivity analyses · S7 Gender moderation · S8 Qualitative participants and audit trail · S9 Arabic passages underlying the paraphrases · S10 Reporting checklists · S11 Reference integrity · S12 Protocol hypotheses · S13 Reproducibility · S14 Variables in Online Resource 2 · S15 Literature search</w:t>
      </w:r>
    </w:p>
    <w:p>
      <w:pPr>
        <w:pStyle w:val="Heading1"/>
        <w:keepNext/>
        <w:spacing w:after="0" w:before="0" w:line="276"/>
        <w:jc w:val="left"/>
      </w:pPr>
      <w:r>
        <w:rPr>
          <w:rFonts w:ascii="Times New Roman" w:cs="Times New Roman" w:eastAsia="Times New Roman" w:hAnsi="Times New Roman"/>
          <w:sz w:val="22"/>
          <w:szCs w:val="22"/>
        </w:rPr>
        <w:t xml:space="preserve">S1 Data audit and construction of the analytic sample</w:t>
      </w:r>
    </w:p>
    <w:p>
      <w:pPr>
        <w:keepNext/>
        <w:spacing w:after="80" w:before="240" w:line="276"/>
        <w:jc w:val="left"/>
      </w:pPr>
      <w:r>
        <w:rPr>
          <w:rFonts w:ascii="Times New Roman" w:cs="Times New Roman" w:eastAsia="Times New Roman" w:hAnsi="Times New Roman"/>
          <w:b/>
          <w:bCs/>
          <w:sz w:val="22"/>
          <w:szCs w:val="22"/>
        </w:rPr>
        <w:t xml:space="preserve">Table S1 </w:t>
      </w:r>
      <w:r>
        <w:rPr>
          <w:rFonts w:ascii="Times New Roman" w:cs="Times New Roman" w:eastAsia="Times New Roman" w:hAnsi="Times New Roman"/>
          <w:sz w:val="22"/>
          <w:szCs w:val="22"/>
        </w:rPr>
        <w:t xml:space="preserve">Audit steps from the exported file to the analytic sample</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6"/>
        <w:gridCol w:w="4513"/>
        <w:gridCol w:w="1264"/>
        <w:gridCol w:w="1263"/>
      </w:tblGrid>
      <w:tr>
        <w:trPr>
          <w:cantSplit/>
          <w:tblHeader/>
        </w:trPr>
        <w:tc>
          <w:tcPr>
            <w:tcW w:type="dxa" w:w="198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Step</w:t>
            </w:r>
          </w:p>
        </w:tc>
        <w:tc>
          <w:tcPr>
            <w:tcW w:type="dxa" w:w="451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Rule</w:t>
            </w:r>
          </w:p>
        </w:tc>
        <w:tc>
          <w:tcPr>
            <w:tcW w:type="dxa" w:w="126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Removed or flagged</w:t>
            </w:r>
          </w:p>
        </w:tc>
        <w:tc>
          <w:tcPr>
            <w:tcW w:type="dxa" w:w="126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Remaining</w:t>
            </w:r>
          </w:p>
        </w:tc>
      </w:tr>
      <w:tr>
        <w:trPr>
          <w:cantSplit/>
          <w:tblHeader w:val="off"/>
        </w:trPr>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Rows in exported file</w:t>
            </w:r>
          </w:p>
        </w:tc>
        <w:tc>
          <w:tcPr>
            <w:tcW w:type="dxa" w:w="45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All rows below the header row</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363</w:t>
            </w:r>
          </w:p>
        </w:tc>
      </w:tr>
      <w:tr>
        <w:trPr>
          <w:cantSplit/>
          <w:tblHeader w:val="off"/>
        </w:trPr>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Empty rows</w:t>
            </w:r>
          </w:p>
        </w:tc>
        <w:tc>
          <w:tcPr>
            <w:tcW w:type="dxa" w:w="45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 value in any of the 92 fields (spreadsheet rows 217–240)</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24</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339</w:t>
            </w:r>
          </w:p>
        </w:tc>
      </w:tr>
      <w:tr>
        <w:trPr>
          <w:cantSplit/>
          <w:tblHeader w:val="off"/>
        </w:trPr>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Exact duplicate records</w:t>
            </w:r>
          </w:p>
        </w:tc>
        <w:tc>
          <w:tcPr>
            <w:tcW w:type="dxa" w:w="45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Identical values in all 92 fields; first occurrence retained</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71</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268</w:t>
            </w:r>
          </w:p>
        </w:tc>
      </w:tr>
      <w:tr>
        <w:trPr>
          <w:cantSplit/>
          <w:tblHeader w:val="off"/>
        </w:trPr>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Invariant responders</w:t>
            </w:r>
          </w:p>
        </w:tc>
        <w:tc>
          <w:tcPr>
            <w:tcW w:type="dxa" w:w="45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Identical answer to all 82 attitude items, including items keyed in opposite directions</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260</w:t>
            </w:r>
          </w:p>
        </w:tc>
      </w:tr>
      <w:tr>
        <w:trPr>
          <w:cantSplit/>
          <w:tblHeader w:val="off"/>
        </w:trPr>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Near-invariant responders</w:t>
            </w:r>
          </w:p>
        </w:tc>
        <w:tc>
          <w:tcPr>
            <w:tcW w:type="dxa" w:w="45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One response option used for at least 90% of the 82 items; retained and examined in sensitivity analyses</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 flagged</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260</w:t>
            </w:r>
          </w:p>
        </w:tc>
      </w:tr>
      <w:tr>
        <w:trPr>
          <w:cantSplit/>
          <w:tblHeader w:val="off"/>
        </w:trPr>
        <w:tc>
          <w:tcPr>
            <w:tcW w:type="dxa" w:w="198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Missing grade category</w:t>
            </w:r>
          </w:p>
        </w:tc>
        <w:tc>
          <w:tcPr>
            <w:tcW w:type="dxa" w:w="451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Excluded from grade models only</w:t>
            </w:r>
          </w:p>
        </w:tc>
        <w:tc>
          <w:tcPr>
            <w:tcW w:type="dxa" w:w="126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14</w:t>
            </w:r>
          </w:p>
        </w:tc>
        <w:tc>
          <w:tcPr>
            <w:tcW w:type="dxa" w:w="126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246 (grade models)</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Spreadsheet row numbers count the header as row 1.</w:t>
      </w:r>
    </w:p>
    <w:p>
      <w:pPr>
        <w:keepNext/>
        <w:spacing w:after="80" w:before="240" w:line="276"/>
        <w:jc w:val="left"/>
      </w:pPr>
      <w:r>
        <w:rPr>
          <w:rFonts w:ascii="Times New Roman" w:cs="Times New Roman" w:eastAsia="Times New Roman" w:hAnsi="Times New Roman"/>
          <w:b/>
          <w:bCs/>
          <w:sz w:val="22"/>
          <w:szCs w:val="22"/>
        </w:rPr>
        <w:t xml:space="preserve">Table S1b </w:t>
      </w:r>
      <w:r>
        <w:rPr>
          <w:rFonts w:ascii="Times New Roman" w:cs="Times New Roman" w:eastAsia="Times New Roman" w:hAnsi="Times New Roman"/>
          <w:sz w:val="22"/>
          <w:szCs w:val="22"/>
        </w:rPr>
        <w:t xml:space="preserve">Contiguous blocks of exact duplicate records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69"/>
        <w:gridCol w:w="3069"/>
        <w:gridCol w:w="2888"/>
      </w:tblGrid>
      <w:tr>
        <w:trPr>
          <w:cantSplit/>
          <w:tblHeader/>
        </w:trPr>
        <w:tc>
          <w:tcPr>
            <w:tcW w:type="dxa" w:w="3069"/>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Rows reproduced</w:t>
            </w:r>
          </w:p>
        </w:tc>
        <w:tc>
          <w:tcPr>
            <w:tcW w:type="dxa" w:w="3069"/>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Rows containing the copies</w:t>
            </w:r>
          </w:p>
        </w:tc>
        <w:tc>
          <w:tcPr>
            <w:tcW w:type="dxa" w:w="2888"/>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Records</w:t>
            </w:r>
          </w:p>
        </w:tc>
      </w:tr>
      <w:tr>
        <w:trPr>
          <w:cantSplit/>
          <w:tblHeader w:val="off"/>
        </w:trPr>
        <w:tc>
          <w:tcPr>
            <w:tcW w:type="dxa" w:w="306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33–56</w:t>
            </w:r>
          </w:p>
        </w:tc>
        <w:tc>
          <w:tcPr>
            <w:tcW w:type="dxa" w:w="306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294–317</w:t>
            </w: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24</w:t>
            </w:r>
          </w:p>
        </w:tc>
      </w:tr>
      <w:tr>
        <w:trPr>
          <w:cantSplit/>
          <w:tblHeader w:val="off"/>
        </w:trPr>
        <w:tc>
          <w:tcPr>
            <w:tcW w:type="dxa" w:w="3069"/>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247–293</w:t>
            </w:r>
          </w:p>
        </w:tc>
        <w:tc>
          <w:tcPr>
            <w:tcW w:type="dxa" w:w="3069"/>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318–364</w:t>
            </w:r>
          </w:p>
        </w:tc>
        <w:tc>
          <w:tcPr>
            <w:tcW w:type="dxa" w:w="2888"/>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47</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Each record in the right-hand blocks was identical in all 92 fields to the record at the same position in the corresponding left-hand block, and the copies appeared in the same order as the originals. This pattern is more consistent with copying during spreadsheet handling than with repeated submissions, but without timestamps or respondent identifiers its origin cannot be verified.</w:t>
      </w:r>
    </w:p>
    <w:p>
      <w:pPr>
        <w:spacing w:after="120" w:before="0" w:line="276"/>
        <w:jc w:val="left"/>
      </w:pPr>
      <w:r>
        <w:rPr>
          <w:rFonts w:ascii="Times New Roman" w:cs="Times New Roman" w:eastAsia="Times New Roman" w:hAnsi="Times New Roman"/>
          <w:i/>
          <w:iCs/>
          <w:sz w:val="22"/>
          <w:szCs w:val="22"/>
        </w:rPr>
        <w:t xml:space="preserve">Structure of the export.</w:t>
      </w:r>
      <w:r>
        <w:rPr>
          <w:rFonts w:ascii="Times New Roman" w:cs="Times New Roman" w:eastAsia="Times New Roman" w:hAnsi="Times New Roman"/>
          <w:sz w:val="22"/>
          <w:szCs w:val="22"/>
        </w:rPr>
        <w:t xml:space="preserve"> The block of 24 empty rows divided the file into two parts. The first part (rows 2–216) contained 215 unique responses and the second (rows 241–293, before the duplicated blocks) 53. Of the 14 analytic cases without a grade category, 1 was in the first part (208 cases) and 13 in the second (52 cases), which suggests that the grade item was presented or answered differently in part of the fieldwork; this could not be verified. Missing grade was unrelated to relationship experience in a logistic model adjusting for gender and first year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 .571), and adjusting the grade model for the part of the export did not change the estimate (Table S6b).</w:t>
      </w:r>
    </w:p>
    <w:p>
      <w:pPr>
        <w:spacing w:after="120" w:before="0" w:line="276"/>
        <w:jc w:val="left"/>
      </w:pPr>
      <w:r>
        <w:rPr>
          <w:rFonts w:ascii="Times New Roman" w:cs="Times New Roman" w:eastAsia="Times New Roman" w:hAnsi="Times New Roman"/>
          <w:i/>
          <w:iCs/>
          <w:sz w:val="22"/>
          <w:szCs w:val="22"/>
        </w:rPr>
        <w:t xml:space="preserve">Timing and response rate.</w:t>
      </w:r>
      <w:r>
        <w:rPr>
          <w:rFonts w:ascii="Times New Roman" w:cs="Times New Roman" w:eastAsia="Times New Roman" w:hAnsi="Times New Roman"/>
          <w:sz w:val="22"/>
          <w:szCs w:val="22"/>
        </w:rPr>
        <w:t xml:space="preserve"> The export contained no submission timestamps. The study protocol places data collection in the second semester of the 2025/2026 academic year; exact dates are not documented. Recruitment channels and the number of students invited were not documented, so outcome rates cannot be calculated; for a self-selected, non-probability sample such as this one, response-rate calculations are not meaningful in any case (American Association for Public Opinion Research, 2023).</w:t>
      </w:r>
    </w:p>
    <w:p>
      <w:pPr>
        <w:spacing w:after="120" w:before="0" w:line="276"/>
        <w:jc w:val="left"/>
      </w:pPr>
      <w:r>
        <w:rPr>
          <w:rFonts w:ascii="Times New Roman" w:cs="Times New Roman" w:eastAsia="Times New Roman" w:hAnsi="Times New Roman"/>
          <w:i/>
          <w:iCs/>
          <w:sz w:val="22"/>
          <w:szCs w:val="22"/>
        </w:rPr>
        <w:t xml:space="preserve">Administered form.</w:t>
      </w:r>
      <w:r>
        <w:rPr>
          <w:rFonts w:ascii="Times New Roman" w:cs="Times New Roman" w:eastAsia="Times New Roman" w:hAnsi="Times New Roman"/>
          <w:sz w:val="22"/>
          <w:szCs w:val="22"/>
        </w:rPr>
        <w:t xml:space="preserve"> The column structure of the export (10 categorical items followed by eight blocks of 10, 10, 12, 10, 10, 10, 10 and 10 statements) differed from the questionnaire document in the study files: the achievement-motivation block of the form contained 12 statements and was followed by a 10-statement career-ambition block, whereas the questionnaire document listed 10 statements. The administered form was treated as authoritative, and item codes refer to its column order (Section S2).</w:t>
      </w:r>
    </w:p>
    <w:p>
      <w:pPr>
        <w:spacing w:after="120" w:before="0" w:line="276"/>
        <w:jc w:val="left"/>
      </w:pPr>
      <w:r>
        <w:rPr>
          <w:rFonts w:ascii="Times New Roman" w:cs="Times New Roman" w:eastAsia="Times New Roman" w:hAnsi="Times New Roman"/>
          <w:i/>
          <w:iCs/>
          <w:sz w:val="22"/>
          <w:szCs w:val="22"/>
        </w:rPr>
        <w:t xml:space="preserve">Relationship-referenced items and the duration item.</w:t>
      </w:r>
      <w:r>
        <w:rPr>
          <w:rFonts w:ascii="Times New Roman" w:cs="Times New Roman" w:eastAsia="Times New Roman" w:hAnsi="Times New Roman"/>
          <w:sz w:val="22"/>
          <w:szCs w:val="22"/>
        </w:rPr>
        <w:t xml:space="preserve"> The form had no skip logic, so the 132 never-partnered students in the analytic sample had to answer statements about “my relationship” or “my partner”. They chose the neutral option for 38.9% of the ten relationship-nature statements, against 22.0% among relationship-experienced students, and these responses were treated as structurally not applicable. The duration item was also compulsory and had no “not applicable” option; 39 never-partnered students chose a duration of six months or more (discordant students; Sects. 4.3 and 5.3, Table S6f). The data file that accompanied an earlier draft (version 1.0) had set their durations to missing; version 2.0 retains the reported duration of every respondent and a flag for discordant students. Item-level missingness in the analytic sample was 2 cells.</w:t>
      </w:r>
    </w:p>
    <w:p>
      <w:pPr>
        <w:pStyle w:val="Heading1"/>
        <w:keepNext/>
        <w:spacing w:after="0" w:before="0" w:line="276"/>
        <w:jc w:val="left"/>
      </w:pPr>
      <w:r>
        <w:rPr>
          <w:rFonts w:ascii="Times New Roman" w:cs="Times New Roman" w:eastAsia="Times New Roman" w:hAnsi="Times New Roman"/>
          <w:sz w:val="22"/>
          <w:szCs w:val="22"/>
        </w:rPr>
        <w:t xml:space="preserve">S2 Questionnaire items</w:t>
      </w:r>
    </w:p>
    <w:p>
      <w:pPr>
        <w:keepNext/>
        <w:spacing w:after="80" w:before="240" w:line="276"/>
        <w:jc w:val="left"/>
      </w:pPr>
      <w:r>
        <w:rPr>
          <w:rFonts w:ascii="Times New Roman" w:cs="Times New Roman" w:eastAsia="Times New Roman" w:hAnsi="Times New Roman"/>
          <w:b/>
          <w:bCs/>
          <w:sz w:val="22"/>
          <w:szCs w:val="22"/>
        </w:rPr>
        <w:t xml:space="preserve">Table S2 </w:t>
      </w:r>
      <w:r>
        <w:rPr>
          <w:rFonts w:ascii="Times New Roman" w:cs="Times New Roman" w:eastAsia="Times New Roman" w:hAnsi="Times New Roman"/>
          <w:sz w:val="22"/>
          <w:szCs w:val="22"/>
        </w:rPr>
        <w:t xml:space="preserve">Wording of the 82 attitude statements as administered (Arabic), English translation and use in the analyses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22"/>
        <w:gridCol w:w="3430"/>
        <w:gridCol w:w="3430"/>
        <w:gridCol w:w="1444"/>
      </w:tblGrid>
      <w:tr>
        <w:trPr>
          <w:cantSplit/>
          <w:tblHeader/>
        </w:trPr>
        <w:tc>
          <w:tcPr>
            <w:tcW w:type="dxa" w:w="72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Code</w:t>
            </w:r>
          </w:p>
        </w:tc>
        <w:tc>
          <w:tcPr>
            <w:tcW w:type="dxa" w:w="3430"/>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Arabic wording (as administered)</w:t>
            </w:r>
          </w:p>
        </w:tc>
        <w:tc>
          <w:tcPr>
            <w:tcW w:type="dxa" w:w="3430"/>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English translation</w:t>
            </w:r>
          </w:p>
        </w:tc>
        <w:tc>
          <w:tcPr>
            <w:tcW w:type="dxa" w:w="144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Use</w:t>
            </w:r>
          </w:p>
        </w:tc>
      </w:tr>
      <w:tr>
        <w:trPr>
          <w:cantSplit/>
          <w:tblHeader w:val="off"/>
        </w:trPr>
        <w:tc>
          <w:tcPr>
            <w:tcW w:type="dxa" w:w="9026"/>
            <w:gridSpan w:val="4"/>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6"/>
                <w:szCs w:val="16"/>
              </w:rPr>
              <w:t xml:space="preserve">Relationship nature (RQ1–RQ10)</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RQ1</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بأن علاقتي العاطفية تمنحني استقراراً نفسياً يُساعدني في حياتي اليومية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gives me psychological stability that helps me in daily life.</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Quality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RQ2</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يُقدِّم لي شريكي/شريكتي الدعم المعنوي عندما أواجه ضغوطاً دراسية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partner gives me emotional support when I face academic pressure.</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Quality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RQ3</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أعتقد أن علاقتي العاطفية تُمثِّل مصدراً رئيسياً للتوتر في حياتي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is a major source of stress in my life.</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Strain</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RQ4</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بالأمان والثقة في إطار علاقتي العاطفية الحالية أو الأخيرة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safe and trusting in my current or most recent relationship.</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Quality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RQ5</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تتسم علاقتي العاطفية بالخلافات المتكررة التي تؤثر على مزاجي العام</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is marked by frequent disagreements that affect my general mood.</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Strain</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RQ6</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أستطيع التحدث بحرية مع شريكي/شريكتي عن مشكلاتي الدراسية والشخصية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can talk freely with my partner about my academic and personal problems.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Quality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RQ7</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بأن شريكي/شريكتي يتفهم أولوياتي الأكاديمية ويحترمها</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partner understands and respects my academic priorities.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Quality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RQ8</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تُسهم علاقتي العاطفية في توسيع شبكتي الاجتماعية داخل الجامعة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helps to widen my social network at university.</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RQ9</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بأن علاقتي العاطفية تُعزِّز ثقتي بنفسي وقدراتي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strengthens my confidence in myself and my abilities.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Quality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RQ10</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أجد صعوبة في إنهاء الخلافات مع شريكي/شريكتي بشكل سريع وودي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find it difficult to resolve disagreements with my partner quickly and amicably.</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Strain</w:t>
            </w:r>
          </w:p>
        </w:tc>
      </w:tr>
      <w:tr>
        <w:trPr>
          <w:cantSplit/>
          <w:tblHeader w:val="off"/>
        </w:trPr>
        <w:tc>
          <w:tcPr>
            <w:tcW w:type="dxa" w:w="9026"/>
            <w:gridSpan w:val="4"/>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6"/>
                <w:szCs w:val="16"/>
              </w:rPr>
              <w:t xml:space="preserve">Academic performance and engagement (AC1–AC10)</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AC1</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أحافظ على حضوري المنتظم للمحاضرات والأنشطة الأكاديمية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attend lectures and academic activities regularly.</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Engagement</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AC2</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ألتزم بتسليم الواجبات والتكليفات الدراسية في مواعيدها المحددة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submit assignments and coursework on time.</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Engagement</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AC3</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بأن علاقتي العاطفية أثَّرت سلباً على معدلي التراكمي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has negatively affected my grade average.</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Interference 8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AC4</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أجد نفسي أُؤجِّل المذاكرة بسبب انشغالي بعلاقتي العاطفية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find myself postponing studying because I am preoccupied with my relationship.</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Interference 8, 4, 3</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AC5</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ألاحظ تراجعاً في تركيزي خلال المحاضرات بسبب التفكير في شريكي/شريكتي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concentration in lectures declines because I am thinking about my partner.</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Interference 8, 4, 3</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AC6</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أستطيع الفصل بين حياتي العاطفية وأدائي الدراسي بسهولة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can easily keep my romantic life separate from my academic performance.</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AC7</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أُخصِّص وقتاً كافياً للمذاكرة والتحضير للامتحانات رغم وجود العلاقة العاطفية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set aside enough time for studying and preparing for examinations despite the relationship.</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AC8</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بأن علاقتي العاطفية حفَّزتني على تحسين أدائي الأكاديمي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has motivated me to improve my academic performance.</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AC9</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تأثَّرت درجاتي سلباً خلال فترات الخلاف أو الانفصال العاطفي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grades were negatively affected during periods of conflict or break-up.</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Interference 8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AC10</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أُشارك بفاعلية في الأنشطة الأكاديمية</w:t>
            </w:r>
            <w:r>
              <w:rPr>
                <w:rFonts w:ascii="Times New Roman" w:cs="Times New Roman" w:eastAsia="Times New Roman" w:hAnsi="Times New Roman"/>
                <w:sz w:val="16"/>
                <w:szCs w:val="16"/>
              </w:rPr>
              <w:t xml:space="preserve"> (</w:t>
            </w:r>
            <w:r>
              <w:rPr>
                <w:rFonts w:ascii="Times New Roman" w:cs="Times New Roman" w:eastAsia="Times New Roman" w:hAnsi="Times New Roman"/>
                <w:sz w:val="16"/>
                <w:szCs w:val="16"/>
                <w:rtl/>
              </w:rPr>
              <w:t xml:space="preserve">حلقات نقاش، مشاريع جماعية</w:t>
            </w:r>
            <w:r>
              <w:rPr>
                <w:rFonts w:ascii="Times New Roman" w:cs="Times New Roman" w:eastAsia="Times New Roman" w:hAnsi="Times New Roman"/>
                <w:sz w:val="16"/>
                <w:szCs w:val="16"/>
              </w:rPr>
              <w:t xml:space="preserve">)</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participate actively in academic activities (discussion groups, group projects).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9026"/>
            <w:gridSpan w:val="4"/>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6"/>
                <w:szCs w:val="16"/>
              </w:rPr>
              <w:t xml:space="preserve">Achievement motivation (AM1–AM12)</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AM1</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أسعى دائماً للحصول على أعلى الدرجات والتقديرات في جميع المقررات الدراسية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always strive to obtain the highest marks in all my courses.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Motivation</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AM2</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أُثابر على إنجاز المهام الصعبة ولا أستسلم بسهولة عند مواجهة العقبات الأكاديمية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persevere with difficult tasks and do not give up easily when facing academic obstacles.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Motivation</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AM3</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بالمسؤولية الكاملة تجاه مستوى تحصيلي الدراسي ونجاحي الأكاديمي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fully responsible for my level of attainment and my academic success.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Motivation</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AM4</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أحرص على استثمار وقتي بأقصى كفاءة ممكنة لتحقيق أهدافي الدراسية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make sure to use my time as efficiently as possible to achieve my study goals.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Motivation</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AM5</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أضع لنفسي معايير أداء عالية وأسعى لتجاوزها باستمرار</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set high performance standards for myself and constantly try to exceed them.</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Motivation</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AM6</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أفقد حماسي للدراسة والإنجاز عندما تمر علاقتي العاطفية بأزمة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lose my enthusiasm for study and achievement when my relationship is in crisis.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Interference 8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AM7</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أُخطِّط لمستقبلي الأكاديمي والمهني بشكل واضح ومحدد الخطوات</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plan my academic and professional future clearly, with defined steps.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Motivation</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AM8</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برغبة قوية في التنافس مع زملائي للحصول على مراكز أكاديمية متقدمة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a strong desire to compete with my peers for top academic positions.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Motivation</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AM9</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أجد متعة حقيقية في إتقان المهام الأكاديمية وتحقيق النجاح فيها</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find real enjoyment in mastering academic tasks and succeeding in them.</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Motivation</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AM10</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بأن علاقتي العاطفية قلَّلت من طموحي ورغبتي في التميز الأكاديمي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has reduced my ambition and desire for academic excellence.</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Interference 8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AM11</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أتحمل الضغوط والإحباطات الدراسية بصبر ولا أتخلى عن أهدافي بسهولة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bear academic pressure and frustration patiently and do not abandon my goals easily.</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Motivation</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AM12</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بأهمية الوقت ولا أُبدِّده في أنشطة لا تُسهم في تحقيق إنجازاتي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value time and do not waste it on activities that do not contribute to my achievements.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Motivation</w:t>
            </w:r>
          </w:p>
        </w:tc>
      </w:tr>
      <w:tr>
        <w:trPr>
          <w:cantSplit/>
          <w:tblHeader w:val="off"/>
        </w:trPr>
        <w:tc>
          <w:tcPr>
            <w:tcW w:type="dxa" w:w="9026"/>
            <w:gridSpan w:val="4"/>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6"/>
                <w:szCs w:val="16"/>
              </w:rPr>
              <w:t xml:space="preserve">Career ambition (CA1–CA10)</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CA1</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أضع لنفسي أهدافاً مهنية واضحة وأسعى لتحقيقها بانتظام</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set myself clear career goals and work towards them regularly.</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CA2</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يُحفِّزني شريكي/شريكتي على السعي نحو التفوق والإنجاز المهني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partner motivates me to strive for excellence and professional achievement.</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CA3</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بأن علاقتي العاطفية قلَّلت من طموحي المهني بعد التخرج</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has reduced my career ambition after graduation.</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CA4</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أتشارك مع شريكي/شريكتي الحديث عن الأهداف المهنية المستقبلية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talk with my partner about our future career goals.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CA5</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بأن وجود شريك يدعمني يزيد من ثقتي في تحقيق أهدافي الوظيفية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Having a partner who supports me increases my confidence in achieving my career goals.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CA6</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أجد أن العلاقة العاطفية أثَّرت على اختياراتي المهنية المستقبلية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The relationship has affected my future career choices.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Not analysed</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CA7</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بالحماس تجاه مستقبلي المهني رغم ضغوط العلاقة العاطفية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enthusiastic about my professional future despite the pressures of the relationship.</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Not analysed</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CA8</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أسعى للحصول على فرص تعليمية إضافية</w:t>
            </w:r>
            <w:r>
              <w:rPr>
                <w:rFonts w:ascii="Times New Roman" w:cs="Times New Roman" w:eastAsia="Times New Roman" w:hAnsi="Times New Roman"/>
                <w:sz w:val="16"/>
                <w:szCs w:val="16"/>
              </w:rPr>
              <w:t xml:space="preserve"> (</w:t>
            </w:r>
            <w:r>
              <w:rPr>
                <w:rFonts w:ascii="Times New Roman" w:cs="Times New Roman" w:eastAsia="Times New Roman" w:hAnsi="Times New Roman"/>
                <w:sz w:val="16"/>
                <w:szCs w:val="16"/>
                <w:rtl/>
              </w:rPr>
              <w:t xml:space="preserve">دورات، ورش عمل</w:t>
            </w:r>
            <w:r>
              <w:rPr>
                <w:rFonts w:ascii="Times New Roman" w:cs="Times New Roman" w:eastAsia="Times New Roman" w:hAnsi="Times New Roman"/>
                <w:sz w:val="16"/>
                <w:szCs w:val="16"/>
              </w:rPr>
              <w:t xml:space="preserve">) </w:t>
            </w:r>
            <w:r>
              <w:rPr>
                <w:rFonts w:ascii="Times New Roman" w:cs="Times New Roman" w:eastAsia="Times New Roman" w:hAnsi="Times New Roman"/>
                <w:sz w:val="16"/>
                <w:szCs w:val="16"/>
                <w:rtl/>
              </w:rPr>
              <w:t xml:space="preserve">لتطوير ذاتي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seek additional learning opportunities (courses, workshops) to develop myself.</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Not analysed</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CA9</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أعتقد أن الأهداف المهنية المشتركة مع الشريك تُعزِّز دافعية الإنجاز</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believe that career goals shared with a partner strengthen achievement motivation.</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CA10</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بأن قراراتي المهنية</w:t>
            </w:r>
            <w:r>
              <w:rPr>
                <w:rFonts w:ascii="Times New Roman" w:cs="Times New Roman" w:eastAsia="Times New Roman" w:hAnsi="Times New Roman"/>
                <w:sz w:val="16"/>
                <w:szCs w:val="16"/>
              </w:rPr>
              <w:t xml:space="preserve"> (</w:t>
            </w:r>
            <w:r>
              <w:rPr>
                <w:rFonts w:ascii="Times New Roman" w:cs="Times New Roman" w:eastAsia="Times New Roman" w:hAnsi="Times New Roman"/>
                <w:sz w:val="16"/>
                <w:szCs w:val="16"/>
                <w:rtl/>
              </w:rPr>
              <w:t xml:space="preserve">مكان العمل، نوعه</w:t>
            </w:r>
            <w:r>
              <w:rPr>
                <w:rFonts w:ascii="Times New Roman" w:cs="Times New Roman" w:eastAsia="Times New Roman" w:hAnsi="Times New Roman"/>
                <w:sz w:val="16"/>
                <w:szCs w:val="16"/>
              </w:rPr>
              <w:t xml:space="preserve">) </w:t>
            </w:r>
            <w:r>
              <w:rPr>
                <w:rFonts w:ascii="Times New Roman" w:cs="Times New Roman" w:eastAsia="Times New Roman" w:hAnsi="Times New Roman"/>
                <w:sz w:val="16"/>
                <w:szCs w:val="16"/>
                <w:rtl/>
              </w:rPr>
              <w:t xml:space="preserve">تتأثر بعلاقتي العاطفية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career decisions (place and type of work) are influenced by my relationship.</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Not analysed</w:t>
            </w:r>
          </w:p>
        </w:tc>
      </w:tr>
      <w:tr>
        <w:trPr>
          <w:cantSplit/>
          <w:tblHeader w:val="off"/>
        </w:trPr>
        <w:tc>
          <w:tcPr>
            <w:tcW w:type="dxa" w:w="9026"/>
            <w:gridSpan w:val="4"/>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6"/>
                <w:szCs w:val="16"/>
              </w:rPr>
              <w:t xml:space="preserve">Psychological state (PQ1–PQ10)</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PQ1</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بالرضا العام عن حياتي في الوقت الحالي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generally satisfied with my life at present.</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Well-being; life-satisfaction item</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PQ2</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أتمتع بحالة مزاجية مستقرة معظم الوقت</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mood is stable most of the time.</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Well-being</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PQ3</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بالسعادة والتفاؤل تجاه مستقبلي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happy and optimistic about my future.</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Well-being</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PQ4</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أستطيع التعامل مع الضغوط النفسية بشكل فعّال</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can deal with psychological pressure effectively.</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Well-being</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PQ5</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أعاني من القلق المستمر بسبب أوضاع علاقتي العاطفية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suffer from constant anxiety about the state of my relationship.</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Strain</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PQ6</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بالوحدة حتى في وجود شريكي/شريكتي أو أصدقائي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lonely even when my partner or friends are with me.</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Not analysed</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PQ7</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أنام بشكل جيد ومنتظم ولا تؤثر مشكلاتي العاطفية على نومي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sleep well and regularly, and my romantic problems do not affect my sleep.</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Not analysed</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PQ8</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بتقدير ذاتي مرتفع وثقة في قدراتي الشخصية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have high self-esteem and confidence in my personal abilities.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Well-being</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PQ9</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أجد صعوبة في التركيز على أنشطتي اليومية بسبب مشكلات عاطفية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find it difficult to concentrate on my daily activities because of romantic problems.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Not analysed</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PQ10</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بأن حياتي ذات معنى وهدف واضح</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that my life has meaning and a clear purpose.</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Well-being</w:t>
            </w:r>
          </w:p>
        </w:tc>
      </w:tr>
      <w:tr>
        <w:trPr>
          <w:cantSplit/>
          <w:tblHeader w:val="off"/>
        </w:trPr>
        <w:tc>
          <w:tcPr>
            <w:tcW w:type="dxa" w:w="9026"/>
            <w:gridSpan w:val="4"/>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6"/>
                <w:szCs w:val="16"/>
              </w:rPr>
              <w:t xml:space="preserve">University life (SQ1–SQ10)</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SQ1</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أتمتع بعلاقات اجتماعية جيدة مع زملائي في الجامعة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have good social relationships with my fellow students.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Integration</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SQ2</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بالانتماء والاندماج في المجتمع الجامعي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a sense of belonging and integration in the university community.</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Integration</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SQ3</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أُشارك بفاعلية في الأنشطة الطلابية والاجتماعية بالجامعة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participate actively in student and social activities at the university.</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Integration</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SQ4</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بالرضا عن بيئتي التعليمية ومستوى التعليم الذي أتلقاه</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am satisfied with my learning environment and the quality of education I receive.</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SQ5</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أثَّرت علاقتي العاطفية سلباً على علاقتي بأصدقائي وزملائي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has negatively affected my relationships with my friends and fellow students.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SQ6</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أجد الدعم والتشجيع من أسرتي فيما يتعلق بحياتي الأكاديمية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family supports and encourages me in my academic life.</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Support</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SQ7</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بأن حياتي الجامعية متوازنة بين الدراسة والجوانب الاجتماعية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university life is balanced between study and social activities.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SQ8</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أستمتع بالوقت الذي أقضيه في الجامعة خارج نطاق المحاضرات</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enjoy the time I spend at university outside lectures.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Integration</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SQ9</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بأن علاقتي العاطفية أثرت على علاقتي بأسرتي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has affected my relationship with my family.</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Not analysed</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SQ10</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أرى أن تجربتي الجامعية ككل تُسهم في تطوير شخصيتي ونضجي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university experience as a whole contributes to the development of my personality and maturity.</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9026"/>
            <w:gridSpan w:val="4"/>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6"/>
                <w:szCs w:val="16"/>
              </w:rPr>
              <w:t xml:space="preserve">Time management (TM1–TM10)</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TM1</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أستطيع تنظيم وقتي بشكل فعّال بين الدراسة والعلاقة العاطفية والأنشطة الأخرى</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can organise my time effectively between study, the relationship and other activities.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TM2</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أضع جدولاً زمنياً يومياً أو أسبوعياً وألتزم به غالباً</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set a daily or weekly timetable and usually keep to it.</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TM3</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أجد نفسي أُضحِّي بوقت المذاكرة من أجل قضاء وقت مع شريكي/شريكتي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sacrifice study time to spend time with my partner.</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Interference 8, 4, 3</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TM4</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أستطيع تحديد أولوياتي والتمييز بين المهم والعاجل في حياتي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can set priorities and distinguish between what is important and what is urgent in my life.</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TM5</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بضيق الوقت باستمرار بسبب كثرة الالتزامات العاطفية والأكاديمية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constantly feel short of time because of my many romantic and academic commitments.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TM6</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أُخصِّص أوقاتاً محددة للتواصل مع شريكي/شريكتي دون التأثير على دراستي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set aside specific times to communicate with my partner without affecting my studies.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TM7</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أستطيع الموازنة بين متطلبات الدراسة وحاجات علاقتي العاطفية بنجاح</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can successfully balance the demands of study with the needs of my relationship.</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TM8</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بالإرهاق نتيجة محاولتي التوفيق بين حياتي العاطفية والأكاديمية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exhausted from trying to reconcile my romantic and academic lives.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TM9</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أمتلك استراتيجيات واضحة لإدارة وقتي عند وجود ضغوط متزامنة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have clear strategies for managing my time when pressures coincide.</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TM10</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أُؤجِّل التزاماتي الأكاديمية بشكل متكرر بسبب مشكلات في علاقتي العاطفية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frequently postpone academic commitments because of problems in my relationship.</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Interference 8, 4</w:t>
            </w:r>
          </w:p>
        </w:tc>
      </w:tr>
      <w:tr>
        <w:trPr>
          <w:cantSplit/>
          <w:tblHeader w:val="off"/>
        </w:trPr>
        <w:tc>
          <w:tcPr>
            <w:tcW w:type="dxa" w:w="9026"/>
            <w:gridSpan w:val="4"/>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6"/>
                <w:szCs w:val="16"/>
              </w:rPr>
              <w:t xml:space="preserve">Social support (SS1–SS10)</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SS1</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تُقدِّم لي أسرتي الدعم المعنوي الذي أحتاجه في حياتي الأكاديمية والشخصية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family gives me the emotional support I need in my academic and personal life.</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Support</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SS2</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أستطيع اللجوء إلى أصدقائي المقربين عندما أواجه مشكلات عاطفية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can turn to my close friends when I face emotional problems.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Support</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SS3</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تعرف أسرتي بوجود علاقتي العاطفية وتتقبل ذلك</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family knows about my relationship and accepts it.</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Family acceptance</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SS4</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بأن لديَّ شبكة دعم اجتماعي قوية أستند إليها في الأزمات</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I have a strong social support network to rely on in a crisis.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Support</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SS5</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أجد صعوبة في الحديث مع أسرتي عن حياتي العاطفية بسبب الحساسية الثقافية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find it difficult to talk with my family about my romantic life because of cultural sensitivity.</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Disclosure difficulty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SS6</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يُقدِّم لي زملائي في الجامعة النصح والمساندة فيما يتعلق بعلاقتي العاطفية</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fellow students give me advice and support regarding my relationship.</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Not analysed</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SS7</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أشعر بالعزلة وعدم القدرة على مشاركة تجربتي العاطفية مع أي شخص</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isolated and unable to share my romantic experience with anyone.</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SS8</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تتوفر في الجامعة خدمات إرشاد نفسي واجتماعي يمكنني اللجوء إليها</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The university offers psychological and social counselling services that I can turn to.</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SS9</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أعتقد أن الدعم الأسري يُخفِّف من تأثير المشكلات العاطفية على دراستي ودافعيتي</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believe that family support lessens the effect of romantic problems on my studies and motivation.</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Factor analysis only</w:t>
            </w:r>
          </w:p>
        </w:tc>
      </w:tr>
      <w:tr>
        <w:trPr>
          <w:cantSplit/>
          <w:tblHeader w:val="off"/>
        </w:trPr>
        <w:tc>
          <w:tcPr>
            <w:tcW w:type="dxa" w:w="72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SS10</w:t>
            </w:r>
          </w:p>
        </w:tc>
        <w:tc>
          <w:tcPr>
            <w:tcW w:type="dxa" w:w="3430"/>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أستطيع التعامل مع نهاية العلاقة العاطفية بفضل وجود شبكة دعم قوية حولي</w:t>
            </w:r>
          </w:p>
        </w:tc>
        <w:tc>
          <w:tcPr>
            <w:tcW w:type="dxa" w:w="3430"/>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can cope with the end of a relationship thanks to the strong support network around me.</w:t>
            </w:r>
          </w:p>
        </w:tc>
        <w:tc>
          <w:tcPr>
            <w:tcW w:type="dxa" w:w="144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Not analysed</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Response scale for all statements: 1 = strongly disagree (</w:t>
      </w:r>
      <w:r>
        <w:rPr>
          <w:rFonts w:ascii="Times New Roman" w:cs="Times New Roman" w:eastAsia="Times New Roman" w:hAnsi="Times New Roman"/>
          <w:sz w:val="17"/>
          <w:szCs w:val="17"/>
          <w:rtl/>
        </w:rPr>
        <w:t xml:space="preserve">غير موافق بشدة</w:t>
      </w:r>
      <w:r>
        <w:rPr>
          <w:rFonts w:ascii="Times New Roman" w:cs="Times New Roman" w:eastAsia="Times New Roman" w:hAnsi="Times New Roman"/>
          <w:sz w:val="17"/>
          <w:szCs w:val="17"/>
        </w:rPr>
        <w:t xml:space="preserve">) to 5 = strongly agree (</w:t>
      </w:r>
      <w:r>
        <w:rPr>
          <w:rFonts w:ascii="Times New Roman" w:cs="Times New Roman" w:eastAsia="Times New Roman" w:hAnsi="Times New Roman"/>
          <w:sz w:val="17"/>
          <w:szCs w:val="17"/>
          <w:rtl/>
        </w:rPr>
        <w:t xml:space="preserve">موافق بشدة</w:t>
      </w:r>
      <w:r>
        <w:rPr>
          <w:rFonts w:ascii="Times New Roman" w:cs="Times New Roman" w:eastAsia="Times New Roman" w:hAnsi="Times New Roman"/>
          <w:sz w:val="17"/>
          <w:szCs w:val="17"/>
        </w:rPr>
        <w:t xml:space="preserve">). Arabic wording is reproduced from the header row of the form export; the slash form </w:t>
      </w:r>
      <w:r>
        <w:rPr>
          <w:rFonts w:ascii="Times New Roman" w:cs="Times New Roman" w:eastAsia="Times New Roman" w:hAnsi="Times New Roman"/>
          <w:sz w:val="17"/>
          <w:szCs w:val="17"/>
          <w:rtl/>
        </w:rPr>
        <w:t xml:space="preserve">شريكي/شريكتي</w:t>
      </w:r>
      <w:r>
        <w:rPr>
          <w:rFonts w:ascii="Times New Roman" w:cs="Times New Roman" w:eastAsia="Times New Roman" w:hAnsi="Times New Roman"/>
          <w:sz w:val="17"/>
          <w:szCs w:val="17"/>
        </w:rPr>
        <w:t xml:space="preserve"> (my partner, masculine/feminine) is as administered. Statements were scored as administered; strain items are negatively worded, so higher scores indicate more strain. Interference 8, 4, 3 = item belongs to the eight-, four- and three-item versions of the relationship-to-study interference scale. Relationship-referenced statements were analysed only for relationship-experienced students. Factor analysis only = included in an exploratory item pool (Section S3) but not in a retained scale. Translations prioritise meaning over literal wording.</w:t>
      </w:r>
    </w:p>
    <w:p>
      <w:pPr>
        <w:keepNext/>
        <w:spacing w:after="80" w:before="240" w:line="276"/>
        <w:jc w:val="left"/>
      </w:pPr>
      <w:r>
        <w:rPr>
          <w:rFonts w:ascii="Times New Roman" w:cs="Times New Roman" w:eastAsia="Times New Roman" w:hAnsi="Times New Roman"/>
          <w:b/>
          <w:bCs/>
          <w:sz w:val="22"/>
          <w:szCs w:val="22"/>
        </w:rPr>
        <w:t xml:space="preserve">Table S2b </w:t>
      </w:r>
      <w:r>
        <w:rPr>
          <w:rFonts w:ascii="Times New Roman" w:cs="Times New Roman" w:eastAsia="Times New Roman" w:hAnsi="Times New Roman"/>
          <w:sz w:val="22"/>
          <w:szCs w:val="22"/>
        </w:rPr>
        <w:t xml:space="preserve">Categorical items: wording, response options and coding in Online Resource 2</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25"/>
        <w:gridCol w:w="1264"/>
        <w:gridCol w:w="2347"/>
        <w:gridCol w:w="2166"/>
        <w:gridCol w:w="1624"/>
      </w:tblGrid>
      <w:tr>
        <w:trPr>
          <w:cantSplit/>
          <w:tblHeader/>
        </w:trPr>
        <w:tc>
          <w:tcPr>
            <w:tcW w:type="dxa" w:w="162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Item</w:t>
            </w:r>
          </w:p>
        </w:tc>
        <w:tc>
          <w:tcPr>
            <w:tcW w:type="dxa" w:w="126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Arabic label</w:t>
            </w:r>
          </w:p>
        </w:tc>
        <w:tc>
          <w:tcPr>
            <w:tcW w:type="dxa" w:w="2347"/>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Arabic options</w:t>
            </w:r>
          </w:p>
        </w:tc>
        <w:tc>
          <w:tcPr>
            <w:tcW w:type="dxa" w:w="216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English options</w:t>
            </w:r>
          </w:p>
        </w:tc>
        <w:tc>
          <w:tcPr>
            <w:tcW w:type="dxa" w:w="162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Coding</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Gender</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النوع</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ذكر</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Man</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female = 0</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أنثى</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Woman</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female = 1</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Year of study</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المستوي الدراسي</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أولي</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First</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year_n = 1</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ثانية</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Second</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2</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ثالثة</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Third</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3</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رابعة</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Fourth</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4</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Faculty</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الكلية</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آداب</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Arts</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facg = Arts</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اعلام</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Mass communication</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Mass Communication</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سياسة واقتصاد</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Economics and political science</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Economics &amp; Political Science</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(eight faculty names withheld during review)</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Science, engineering and health (eight faculties)</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STEM &amp; Health</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تربية، تعليم صناعي، تجارة</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Education, industrial education, commerce</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Education &amp; other</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Daily allowance</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المصروف اليومي</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أقل من</w:t>
            </w:r>
            <w:r>
              <w:rPr>
                <w:rFonts w:ascii="Times New Roman" w:cs="Times New Roman" w:eastAsia="Times New Roman" w:hAnsi="Times New Roman"/>
                <w:sz w:val="16"/>
                <w:szCs w:val="16"/>
              </w:rPr>
              <w:t xml:space="preserve"> 50 </w:t>
            </w:r>
            <w:r>
              <w:rPr>
                <w:rFonts w:ascii="Times New Roman" w:cs="Times New Roman" w:eastAsia="Times New Roman" w:hAnsi="Times New Roman"/>
                <w:sz w:val="16"/>
                <w:szCs w:val="16"/>
                <w:rtl/>
              </w:rPr>
              <w:t xml:space="preserve">جنيه</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Less than 50 EGP</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allow = 1</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من</w:t>
            </w:r>
            <w:r>
              <w:rPr>
                <w:rFonts w:ascii="Times New Roman" w:cs="Times New Roman" w:eastAsia="Times New Roman" w:hAnsi="Times New Roman"/>
                <w:sz w:val="16"/>
                <w:szCs w:val="16"/>
              </w:rPr>
              <w:t xml:space="preserve"> 51 </w:t>
            </w:r>
            <w:r>
              <w:rPr>
                <w:rFonts w:ascii="Times New Roman" w:cs="Times New Roman" w:eastAsia="Times New Roman" w:hAnsi="Times New Roman"/>
                <w:sz w:val="16"/>
                <w:szCs w:val="16"/>
                <w:rtl/>
              </w:rPr>
              <w:t xml:space="preserve">إلي</w:t>
            </w:r>
            <w:r>
              <w:rPr>
                <w:rFonts w:ascii="Times New Roman" w:cs="Times New Roman" w:eastAsia="Times New Roman" w:hAnsi="Times New Roman"/>
                <w:sz w:val="16"/>
                <w:szCs w:val="16"/>
              </w:rPr>
              <w:t xml:space="preserve"> 100 </w:t>
            </w:r>
            <w:r>
              <w:rPr>
                <w:rFonts w:ascii="Times New Roman" w:cs="Times New Roman" w:eastAsia="Times New Roman" w:hAnsi="Times New Roman"/>
                <w:sz w:val="16"/>
                <w:szCs w:val="16"/>
                <w:rtl/>
              </w:rPr>
              <w:t xml:space="preserve">جنيه</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51–100 EGP</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2</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من</w:t>
            </w:r>
            <w:r>
              <w:rPr>
                <w:rFonts w:ascii="Times New Roman" w:cs="Times New Roman" w:eastAsia="Times New Roman" w:hAnsi="Times New Roman"/>
                <w:sz w:val="16"/>
                <w:szCs w:val="16"/>
              </w:rPr>
              <w:t xml:space="preserve"> 101 </w:t>
            </w:r>
            <w:r>
              <w:rPr>
                <w:rFonts w:ascii="Times New Roman" w:cs="Times New Roman" w:eastAsia="Times New Roman" w:hAnsi="Times New Roman"/>
                <w:sz w:val="16"/>
                <w:szCs w:val="16"/>
                <w:rtl/>
              </w:rPr>
              <w:t xml:space="preserve">إلي</w:t>
            </w:r>
            <w:r>
              <w:rPr>
                <w:rFonts w:ascii="Times New Roman" w:cs="Times New Roman" w:eastAsia="Times New Roman" w:hAnsi="Times New Roman"/>
                <w:sz w:val="16"/>
                <w:szCs w:val="16"/>
              </w:rPr>
              <w:t xml:space="preserve"> 200</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101–200 EGP</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3</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أكثر من</w:t>
            </w:r>
            <w:r>
              <w:rPr>
                <w:rFonts w:ascii="Times New Roman" w:cs="Times New Roman" w:eastAsia="Times New Roman" w:hAnsi="Times New Roman"/>
                <w:sz w:val="16"/>
                <w:szCs w:val="16"/>
              </w:rPr>
              <w:t xml:space="preserve"> 200</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More than 200 EGP</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4</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Employment status</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الحالة المهنية</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لا أعمل بجانب الدراسة</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Not working alongside study</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employed = 0</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أعمل بجانب الدراسة</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Working alongside study</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employed = 1</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Cumulative grade average</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المعدل التراكمي</w:t>
            </w:r>
            <w:r>
              <w:rPr>
                <w:rFonts w:ascii="Times New Roman" w:cs="Times New Roman" w:eastAsia="Times New Roman" w:hAnsi="Times New Roman"/>
                <w:sz w:val="16"/>
                <w:szCs w:val="16"/>
              </w:rPr>
              <w:t xml:space="preserve"> GPA</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ضعيف</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Weak</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gpa_o = 1</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مقبول</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Pass</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2</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جيد</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Good</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3</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جيد جدا</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Very good</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4</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ممتاز</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Excellent</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5</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Place of residence</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مكان الإقامة</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مستقر بالمحافظة كوني من أبناءها</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Living in the governorate as a local resident</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housing_g = Local</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سكن خارجي كمغترب</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Private housing, from outside the governorate</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Private (non-local)</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مقيم بالمدينة الجامعية</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University dormitory</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Dormitory</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Urban or rural residence</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محل الاقامة</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حضر</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Urban</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rural = 0</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ريف</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Rural</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rural = 1</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Current romantic status</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الحالة العاطفية الحالية</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لم أكن في علاقة عاطفية من قبل</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have never been in a romantic relationship</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st = Never</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علاقة مستقرة</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Stable relationship</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Stable</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علاقة مضطربة</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Troubled relationship</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Troubled</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انتهت علاقتي العاطفية</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has ended</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Ended</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Duration of the current or most recent relationship</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مدة العلاقة الحالية أو الأخيرة</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أقل من</w:t>
            </w:r>
            <w:r>
              <w:rPr>
                <w:rFonts w:ascii="Times New Roman" w:cs="Times New Roman" w:eastAsia="Times New Roman" w:hAnsi="Times New Roman"/>
                <w:sz w:val="16"/>
                <w:szCs w:val="16"/>
              </w:rPr>
              <w:t xml:space="preserve"> 6 </w:t>
            </w:r>
            <w:r>
              <w:rPr>
                <w:rFonts w:ascii="Times New Roman" w:cs="Times New Roman" w:eastAsia="Times New Roman" w:hAnsi="Times New Roman"/>
                <w:sz w:val="16"/>
                <w:szCs w:val="16"/>
                <w:rtl/>
              </w:rPr>
              <w:t xml:space="preserve">شهور</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Less than 6 months</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dur_reported = 1</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من</w:t>
            </w:r>
            <w:r>
              <w:rPr>
                <w:rFonts w:ascii="Times New Roman" w:cs="Times New Roman" w:eastAsia="Times New Roman" w:hAnsi="Times New Roman"/>
                <w:sz w:val="16"/>
                <w:szCs w:val="16"/>
              </w:rPr>
              <w:t xml:space="preserve"> 6 </w:t>
            </w:r>
            <w:r>
              <w:rPr>
                <w:rFonts w:ascii="Times New Roman" w:cs="Times New Roman" w:eastAsia="Times New Roman" w:hAnsi="Times New Roman"/>
                <w:sz w:val="16"/>
                <w:szCs w:val="16"/>
                <w:rtl/>
              </w:rPr>
              <w:t xml:space="preserve">شهور إلي سنة</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6 months to 1 year</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2</w:t>
            </w:r>
          </w:p>
        </w:tc>
      </w:tr>
      <w:tr>
        <w:trPr>
          <w:cantSplit/>
          <w:tblHeader w:val="off"/>
        </w:trPr>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من سنة إلي سنتين</w:t>
            </w:r>
          </w:p>
        </w:tc>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1 to 2 years</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3</w:t>
            </w:r>
          </w:p>
        </w:tc>
      </w:tr>
      <w:tr>
        <w:trPr>
          <w:cantSplit/>
          <w:tblHeader w:val="off"/>
        </w:trPr>
        <w:tc>
          <w:tcPr>
            <w:tcW w:type="dxa" w:w="162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p>
        </w:tc>
        <w:tc>
          <w:tcPr>
            <w:tcW w:type="dxa" w:w="2347"/>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6"/>
                <w:szCs w:val="16"/>
                <w:rtl/>
              </w:rPr>
              <w:t xml:space="preserve">أكثر من سنتين</w:t>
            </w:r>
          </w:p>
        </w:tc>
        <w:tc>
          <w:tcPr>
            <w:tcW w:type="dxa" w:w="216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More than 2 years</w:t>
            </w:r>
          </w:p>
        </w:tc>
        <w:tc>
          <w:tcPr>
            <w:tcW w:type="dxa" w:w="162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4</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Faculties are shown as grouped for analysis; the names of the eight faculties in the science, engineering and health group are withheld during review to preserve anonymity. The status and duration items were compulsory for all respondents; the duration item offered no “not applicable” option. Grade is the self-reported cumulative grade category, not checked against academic records.</w:t>
      </w:r>
    </w:p>
    <w:p>
      <w:pPr>
        <w:pStyle w:val="Heading1"/>
        <w:keepNext/>
        <w:spacing w:after="0" w:before="0" w:line="276"/>
        <w:jc w:val="left"/>
      </w:pPr>
      <w:r>
        <w:rPr>
          <w:rFonts w:ascii="Times New Roman" w:cs="Times New Roman" w:eastAsia="Times New Roman" w:hAnsi="Times New Roman"/>
          <w:sz w:val="22"/>
          <w:szCs w:val="22"/>
        </w:rPr>
        <w:t xml:space="preserve">S3 Exploratory factor analysis</w:t>
      </w:r>
    </w:p>
    <w:p>
      <w:pPr>
        <w:spacing w:after="120" w:before="0" w:line="276"/>
        <w:jc w:val="left"/>
      </w:pPr>
      <w:r>
        <w:rPr>
          <w:rFonts w:ascii="Times New Roman" w:cs="Times New Roman" w:eastAsia="Times New Roman" w:hAnsi="Times New Roman"/>
          <w:sz w:val="22"/>
          <w:szCs w:val="22"/>
        </w:rPr>
        <w:t xml:space="preserve">Polychoric correlations were estimated by two-step maximum likelihood (Olsson, 1979). The number of factors was assessed by parallel analysis (Horn, 1965) against the 95th percentile of eigenvalues from 1,000 random normal data sets of the same size (seed 20260401), and factors were extracted by minimum residual estimation with oblimin rotation; when parallel analysis indicated a single factor, two factors were extracted to examine the separation of the relationship constructs. In the general pool, item SS7 was reversed before analysis. The retention rule documented for the original analysis was a primary loading of at least .50, cross-loadings below .30 and content consistent with the construct definition. In pool B, the second factor combined balance and partner-encouragement statements (e.g. AC6, AC7, TM1, TM6, TM7, AC8, CA2, CA4, CA5); because it mixed boundary management with partner support, it was not retained as a separate construct. Interference was restricted to the statements that refer to study, excluding TM5, TM8, CA3 and SQ5, which refer to general time pressure, exhaustion, career ambition and friendships; the revision further removed the four statements on grades and motivation from the primary scale (Sect. 4.3). In pool A, RQ8 (the relationship widens one’s social network) was not retained for content. Final scale composition is given in Table S2.</w:t>
      </w:r>
    </w:p>
    <w:p>
      <w:pPr>
        <w:keepNext/>
        <w:spacing w:after="80" w:before="240" w:line="276"/>
        <w:jc w:val="left"/>
      </w:pPr>
      <w:r>
        <w:rPr>
          <w:rFonts w:ascii="Times New Roman" w:cs="Times New Roman" w:eastAsia="Times New Roman" w:hAnsi="Times New Roman"/>
          <w:b/>
          <w:bCs/>
          <w:sz w:val="22"/>
          <w:szCs w:val="22"/>
        </w:rPr>
        <w:t xml:space="preserve">Table S3a </w:t>
      </w:r>
      <w:r>
        <w:rPr>
          <w:rFonts w:ascii="Times New Roman" w:cs="Times New Roman" w:eastAsia="Times New Roman" w:hAnsi="Times New Roman"/>
          <w:sz w:val="22"/>
          <w:szCs w:val="22"/>
        </w:rPr>
        <w:t xml:space="preserve">Parallel analysis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8"/>
        <w:gridCol w:w="542"/>
        <w:gridCol w:w="632"/>
        <w:gridCol w:w="1895"/>
        <w:gridCol w:w="1895"/>
        <w:gridCol w:w="632"/>
        <w:gridCol w:w="722"/>
      </w:tblGrid>
      <w:tr>
        <w:trPr>
          <w:cantSplit/>
          <w:tblHeader/>
        </w:trPr>
        <w:tc>
          <w:tcPr>
            <w:tcW w:type="dxa" w:w="2708"/>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Item pool</w:t>
            </w:r>
          </w:p>
        </w:tc>
        <w:tc>
          <w:tcPr>
            <w:tcW w:type="dxa" w:w="54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i/>
                <w:iCs/>
                <w:sz w:val="17"/>
                <w:szCs w:val="17"/>
              </w:rPr>
              <w:t xml:space="preserve">n</w:t>
            </w:r>
          </w:p>
        </w:tc>
        <w:tc>
          <w:tcPr>
            <w:tcW w:type="dxa" w:w="63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Items</w:t>
            </w:r>
          </w:p>
        </w:tc>
        <w:tc>
          <w:tcPr>
            <w:tcW w:type="dxa" w:w="189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Observed eigenvalues 1–6</w:t>
            </w:r>
          </w:p>
        </w:tc>
        <w:tc>
          <w:tcPr>
            <w:tcW w:type="dxa" w:w="189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Random eigenvalues 1–6, 95th percentile</w:t>
            </w:r>
          </w:p>
        </w:tc>
        <w:tc>
          <w:tcPr>
            <w:tcW w:type="dxa" w:w="63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Factors indicated</w:t>
            </w:r>
          </w:p>
        </w:tc>
        <w:tc>
          <w:tcPr>
            <w:tcW w:type="dxa" w:w="72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Factors extracted</w:t>
            </w:r>
          </w:p>
        </w:tc>
      </w:tr>
      <w:tr>
        <w:trPr>
          <w:cantSplit/>
          <w:tblHeader w:val="off"/>
        </w:trPr>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General items (analytic sample)</w:t>
            </w:r>
          </w:p>
        </w:tc>
        <w:tc>
          <w:tcPr>
            <w:tcW w:type="dxa" w:w="54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259</w:t>
            </w:r>
          </w:p>
        </w:tc>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38</w:t>
            </w:r>
          </w:p>
        </w:tc>
        <w:tc>
          <w:tcPr>
            <w:tcW w:type="dxa" w:w="189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15.74, 3.84, 1.71, 1.52, 1.32, 0.99</w:t>
            </w:r>
          </w:p>
        </w:tc>
        <w:tc>
          <w:tcPr>
            <w:tcW w:type="dxa" w:w="189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1.91, 1.79, 1.70, 1.63, 1.57, 1.51</w:t>
            </w:r>
          </w:p>
        </w:tc>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w:t>
            </w:r>
          </w:p>
        </w:tc>
      </w:tr>
      <w:tr>
        <w:trPr>
          <w:cantSplit/>
          <w:tblHeader w:val="off"/>
        </w:trPr>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Relationship quality and strain items (relationship-experienced)</w:t>
            </w:r>
          </w:p>
        </w:tc>
        <w:tc>
          <w:tcPr>
            <w:tcW w:type="dxa" w:w="54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128</w:t>
            </w:r>
          </w:p>
        </w:tc>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11</w:t>
            </w:r>
          </w:p>
        </w:tc>
        <w:tc>
          <w:tcPr>
            <w:tcW w:type="dxa" w:w="189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5.41, 1.53, 0.82, 0.68, 0.65, 0.47</w:t>
            </w:r>
          </w:p>
        </w:tc>
        <w:tc>
          <w:tcPr>
            <w:tcW w:type="dxa" w:w="189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1.65, 1.44, 1.31, 1.21, 1.12, 1.04</w:t>
            </w:r>
          </w:p>
        </w:tc>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w:t>
            </w:r>
          </w:p>
        </w:tc>
      </w:tr>
      <w:tr>
        <w:trPr>
          <w:cantSplit/>
          <w:tblHeader w:val="off"/>
        </w:trPr>
        <w:tc>
          <w:tcPr>
            <w:tcW w:type="dxa" w:w="2708"/>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Interference, balance and partner-encouragement items (relationship-experienced)</w:t>
            </w:r>
          </w:p>
        </w:tc>
        <w:tc>
          <w:tcPr>
            <w:tcW w:type="dxa" w:w="54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128</w:t>
            </w:r>
          </w:p>
        </w:tc>
        <w:tc>
          <w:tcPr>
            <w:tcW w:type="dxa" w:w="63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21</w:t>
            </w:r>
          </w:p>
        </w:tc>
        <w:tc>
          <w:tcPr>
            <w:tcW w:type="dxa" w:w="189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8.41, 3.44, 1.26, 1.19, 1.00, 0.81</w:t>
            </w:r>
          </w:p>
        </w:tc>
        <w:tc>
          <w:tcPr>
            <w:tcW w:type="dxa" w:w="189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1.95, 1.76, 1.62, 1.52, 1.43, 1.34</w:t>
            </w:r>
          </w:p>
        </w:tc>
        <w:tc>
          <w:tcPr>
            <w:tcW w:type="dxa" w:w="63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w:t>
            </w:r>
          </w:p>
        </w:tc>
        <w:tc>
          <w:tcPr>
            <w:tcW w:type="dxa" w:w="72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Factors indicated = number of leading observed eigenvalues exceeding the corresponding random eigenvalues.</w:t>
      </w:r>
    </w:p>
    <w:p>
      <w:pPr>
        <w:keepNext/>
        <w:spacing w:after="80" w:before="240" w:line="276"/>
        <w:jc w:val="left"/>
      </w:pPr>
      <w:r>
        <w:rPr>
          <w:rFonts w:ascii="Times New Roman" w:cs="Times New Roman" w:eastAsia="Times New Roman" w:hAnsi="Times New Roman"/>
          <w:b/>
          <w:bCs/>
          <w:sz w:val="22"/>
          <w:szCs w:val="22"/>
        </w:rPr>
        <w:t xml:space="preserve">Table S3b </w:t>
      </w:r>
      <w:r>
        <w:rPr>
          <w:rFonts w:ascii="Times New Roman" w:cs="Times New Roman" w:eastAsia="Times New Roman" w:hAnsi="Times New Roman"/>
          <w:sz w:val="22"/>
          <w:szCs w:val="22"/>
        </w:rPr>
        <w:t xml:space="preserve">Pattern loadings, relationship quality and strain pool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 128)</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12"/>
        <w:gridCol w:w="4964"/>
        <w:gridCol w:w="1625"/>
        <w:gridCol w:w="1625"/>
      </w:tblGrid>
      <w:tr>
        <w:trPr>
          <w:cantSplit/>
          <w:tblHeader/>
        </w:trPr>
        <w:tc>
          <w:tcPr>
            <w:tcW w:type="dxa" w:w="81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Item</w:t>
            </w:r>
          </w:p>
        </w:tc>
        <w:tc>
          <w:tcPr>
            <w:tcW w:type="dxa" w:w="496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Content (abbreviated)</w:t>
            </w:r>
          </w:p>
        </w:tc>
        <w:tc>
          <w:tcPr>
            <w:tcW w:type="dxa" w:w="162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F1</w:t>
            </w:r>
          </w:p>
        </w:tc>
        <w:tc>
          <w:tcPr>
            <w:tcW w:type="dxa" w:w="162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F2</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RQ1</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gives me psychological stability that helps me in dail…</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.79</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RQ2</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partner gives me emotional support when I face academic pressure.</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.86</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RQ3</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is a major source of stress in my life.</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−.20</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.61</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RQ4</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safe and trusting in my current or most recent relationship.</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.80</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−.11</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RQ5</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is marked by frequent disagreements that affect my gen…</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−.13</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.63</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RQ6</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can talk freely with my partner about my academic and personal probl…</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.66</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−.08</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RQ7</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partner understands and respects my academic priorities.</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.78</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−.09</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RQ8</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helps to widen my social network at university.</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.58</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.23</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RQ9</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strengthens my confidence in myself and my abilities.</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.77</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RQ10</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find it difficult to resolve disagreements with my partner quickly a…</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.71</w:t>
            </w:r>
          </w:p>
        </w:tc>
      </w:tr>
      <w:tr>
        <w:trPr>
          <w:cantSplit/>
          <w:tblHeader w:val="off"/>
        </w:trPr>
        <w:tc>
          <w:tcPr>
            <w:tcW w:type="dxa" w:w="81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PQ5</w:t>
            </w:r>
          </w:p>
        </w:tc>
        <w:tc>
          <w:tcPr>
            <w:tcW w:type="dxa" w:w="496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suffer from constant anxiety about the state of my relationship.</w:t>
            </w:r>
          </w:p>
        </w:tc>
        <w:tc>
          <w:tcPr>
            <w:tcW w:type="dxa" w:w="162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.14</w:t>
            </w:r>
          </w:p>
        </w:tc>
        <w:tc>
          <w:tcPr>
            <w:tcW w:type="dxa" w:w="162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.66</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Pattern loadings; |λ| ≥ .50 in bold. Factor correlations: F1–F2 = −.56. Items with their highest loading of at least .50 on each factor: F1: RQ1, RQ2, RQ4, RQ6, RQ7, RQ8, RQ9; F2: RQ3, RQ5, RQ10, PQ5.</w:t>
      </w:r>
    </w:p>
    <w:p>
      <w:pPr>
        <w:keepNext/>
        <w:spacing w:after="80" w:before="240" w:line="276"/>
        <w:jc w:val="left"/>
      </w:pPr>
      <w:r>
        <w:rPr>
          <w:rFonts w:ascii="Times New Roman" w:cs="Times New Roman" w:eastAsia="Times New Roman" w:hAnsi="Times New Roman"/>
          <w:b/>
          <w:bCs/>
          <w:sz w:val="22"/>
          <w:szCs w:val="22"/>
        </w:rPr>
        <w:t xml:space="preserve">Table S3c </w:t>
      </w:r>
      <w:r>
        <w:rPr>
          <w:rFonts w:ascii="Times New Roman" w:cs="Times New Roman" w:eastAsia="Times New Roman" w:hAnsi="Times New Roman"/>
          <w:sz w:val="22"/>
          <w:szCs w:val="22"/>
        </w:rPr>
        <w:t xml:space="preserve">Pattern loadings, interference, balance and partner-encouragement pool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 128)</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12"/>
        <w:gridCol w:w="4964"/>
        <w:gridCol w:w="1625"/>
        <w:gridCol w:w="1625"/>
      </w:tblGrid>
      <w:tr>
        <w:trPr>
          <w:cantSplit/>
          <w:tblHeader/>
        </w:trPr>
        <w:tc>
          <w:tcPr>
            <w:tcW w:type="dxa" w:w="81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Item</w:t>
            </w:r>
          </w:p>
        </w:tc>
        <w:tc>
          <w:tcPr>
            <w:tcW w:type="dxa" w:w="496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Content (abbreviated)</w:t>
            </w:r>
          </w:p>
        </w:tc>
        <w:tc>
          <w:tcPr>
            <w:tcW w:type="dxa" w:w="162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F1</w:t>
            </w:r>
          </w:p>
        </w:tc>
        <w:tc>
          <w:tcPr>
            <w:tcW w:type="dxa" w:w="162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F2</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AC3</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has negatively affected my grade average.</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.78</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−.11</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AC4</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find myself postponing studying because I am preoccupied with my rel…</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.76</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−.15</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AC5</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concentration in lectures declines because I am thinking about my p…</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.73</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AC9</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grades were negatively affected during periods of conflict or break…</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.66</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AM6</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lose my enthusiasm for study and achievement when my relationship is…</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.75</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AM10</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has reduced my ambition and desire for academic excell…</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.67</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TM3</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sacrifice study time to spend time with my partner.</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.73</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TM5</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constantly feel short of time because of my many romantic and academ…</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.67</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.13</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TM8</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exhausted from trying to reconcile my romantic and academic liv…</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.58</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TM10</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frequently postpone academic commitments because of problems in my r…</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.81</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CA3</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has reduced my career ambition after graduation.</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.78</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SQ5</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has negatively affected my relationships with my frien…</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.72</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AC6</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can easily keep my romantic life separate from my academic performan…</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−.26</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.51</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AC7</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set aside enough time for studying and preparing for examinations de…</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−.14</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.68</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TM1</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can organise my time effectively between study, the relationship and…</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.61</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TM6</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set aside specific times to communicate with my partner without affe…</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.14</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.72</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TM7</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can successfully balance the demands of study with the needs of my r…</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−.07</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.77</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AC8</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relationship has motivated me to improve my academic performance.</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.06</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.75</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CA2</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partner motivates me to strive for excellence and professional achi…</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−.10</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.78</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CA4</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talk with my partner about our future career goals.</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.10</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.81</w:t>
            </w:r>
          </w:p>
        </w:tc>
      </w:tr>
      <w:tr>
        <w:trPr>
          <w:cantSplit/>
          <w:tblHeader w:val="off"/>
        </w:trPr>
        <w:tc>
          <w:tcPr>
            <w:tcW w:type="dxa" w:w="81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CA5</w:t>
            </w:r>
          </w:p>
        </w:tc>
        <w:tc>
          <w:tcPr>
            <w:tcW w:type="dxa" w:w="496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Having a partner who supports me increases my confidence in achieving …</w:t>
            </w:r>
          </w:p>
        </w:tc>
        <w:tc>
          <w:tcPr>
            <w:tcW w:type="dxa" w:w="162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w:t>
            </w:r>
          </w:p>
        </w:tc>
        <w:tc>
          <w:tcPr>
            <w:tcW w:type="dxa" w:w="162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.53</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Pattern loadings; |λ| ≥ .50 in bold. Factor correlations: F1–F2 = −.40. Items with their highest loading of at least .50 on each factor: F1: AC3, AC4, AC5, AC9, AM6, AM10, TM3, TM5, TM8, TM10, CA3, SQ5; F2: AC6, AC7, TM1, TM6, TM7, AC8, CA2, CA4, CA5.</w:t>
      </w:r>
    </w:p>
    <w:p>
      <w:pPr>
        <w:keepNext/>
        <w:spacing w:after="80" w:before="240" w:line="276"/>
        <w:jc w:val="left"/>
      </w:pPr>
      <w:r>
        <w:rPr>
          <w:rFonts w:ascii="Times New Roman" w:cs="Times New Roman" w:eastAsia="Times New Roman" w:hAnsi="Times New Roman"/>
          <w:b/>
          <w:bCs/>
          <w:sz w:val="22"/>
          <w:szCs w:val="22"/>
        </w:rPr>
        <w:t xml:space="preserve">Table S3d </w:t>
      </w:r>
      <w:r>
        <w:rPr>
          <w:rFonts w:ascii="Times New Roman" w:cs="Times New Roman" w:eastAsia="Times New Roman" w:hAnsi="Times New Roman"/>
          <w:sz w:val="22"/>
          <w:szCs w:val="22"/>
        </w:rPr>
        <w:t xml:space="preserve">Pattern loadings, general item pool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 259)</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12"/>
        <w:gridCol w:w="4964"/>
        <w:gridCol w:w="1083"/>
        <w:gridCol w:w="1083"/>
        <w:gridCol w:w="1084"/>
      </w:tblGrid>
      <w:tr>
        <w:trPr>
          <w:cantSplit/>
          <w:tblHeader/>
        </w:trPr>
        <w:tc>
          <w:tcPr>
            <w:tcW w:type="dxa" w:w="81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Item</w:t>
            </w:r>
          </w:p>
        </w:tc>
        <w:tc>
          <w:tcPr>
            <w:tcW w:type="dxa" w:w="496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Content (abbreviated)</w:t>
            </w:r>
          </w:p>
        </w:tc>
        <w:tc>
          <w:tcPr>
            <w:tcW w:type="dxa" w:w="108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F1</w:t>
            </w:r>
          </w:p>
        </w:tc>
        <w:tc>
          <w:tcPr>
            <w:tcW w:type="dxa" w:w="108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F2</w:t>
            </w:r>
          </w:p>
        </w:tc>
        <w:tc>
          <w:tcPr>
            <w:tcW w:type="dxa" w:w="108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F3</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AC1</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attend lectures and academic activities regularly.</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.62</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.13</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AC2</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submit assignments and coursework on time.</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.72</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−.20</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.32</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AC10</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participate actively in academic activities (discussion groups, grou…</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.36</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.32</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−.07</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AM1</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always strive to obtain the highest marks in all my courses.</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.86</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−.15</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.09</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AM2</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persevere with difficult tasks and do not give up easily when facing…</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.83</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.07</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−.09</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AM3</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fully responsible for my level of attainment and my academic su…</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.78</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−.06</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.11</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AM4</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make sure to use my time as efficiently as possible to achieve my st…</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.73</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AM5</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set high performance standards for myself and constantly try to exce…</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.81</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.07</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AM7</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plan my academic and professional future clearly, with defined steps…</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.72</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.15</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AM8</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a strong desire to compete with my peers for top academic posit…</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.64</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.11</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AM9</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find real enjoyment in mastering academic tasks and succeeding in th…</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.82</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−.002</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AM11</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bear academic pressure and frustration patiently and do not abandon …</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.65</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AM12</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value time and do not waste it on activities that do not contribute …</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.67</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.24</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−.23</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CA1</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set myself clear career goals and work towards them regularly.</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.66</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.26</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CA9</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believe that career goals shared with a partner strengthen achieveme…</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.07</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.55</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PQ1</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generally satisfied with my life at present.</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.10</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.63</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.10</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PQ2</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mood is stable most of the time.</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.78</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PQ3</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happy and optimistic about my future.</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.19</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.50</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.21</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PQ4</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can deal with psychological pressure effectively.</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.14</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.67</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PQ8</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have high self-esteem and confidence in my personal abilities.</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.26</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.38</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.23</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PQ10</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that my life has meaning and a clear purpose.</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.22</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.49</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.22</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SQ1</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have good social relationships with my fellow students.</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.06</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.41</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.50</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SQ2</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a sense of belonging and integration in the university communit…</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.52</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.43</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SQ3</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participate actively in student and social activities at the univers…</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.19</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.55</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.14</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SQ4</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am satisfied with my learning environment and the quality of educati…</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.69</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SQ6</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family supports and encourages me in my academic life.</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.26</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.42</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.29</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SQ7</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university life is balanced between study and social activities.</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.28</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.41</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.30</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SQ8</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enjoy the time I spend at university outside lectures.</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.21</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.71</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SQ10</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university experience as a whole contributes to the development of …</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.33</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.25</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.32</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TM2</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set a daily or weekly timetable and usually keep to it.</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.06</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.60</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−.08</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TM4</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can set priorities and distinguish between what is important and wha…</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.26</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.56</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TM9</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have clear strategies for managing my time when pressures coincide.</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.14</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.52</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.08</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SS1</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My family gives me the emotional support I need in my academic and per…</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.09</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.62</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.17</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SS2</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can turn to my close friends when I face emotional problems.</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−.29</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.45</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.27</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SS4</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I have a strong social support network to rely on in a crisis.</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.67</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.14</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SS7</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feel isolated and unable to share my romantic experience with anyone…</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.27</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−.19</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.08</w:t>
            </w:r>
          </w:p>
        </w:tc>
      </w:tr>
      <w:tr>
        <w:trPr>
          <w:cantSplit/>
          <w:tblHeader w:val="off"/>
        </w:trPr>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SS9</w:t>
            </w:r>
          </w:p>
        </w:tc>
        <w:tc>
          <w:tcPr>
            <w:tcW w:type="dxa" w:w="49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 believe that family support lessens the effect of romantic problems …</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.40</w:t>
            </w:r>
          </w:p>
        </w:tc>
        <w:tc>
          <w:tcPr>
            <w:tcW w:type="dxa" w:w="108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.34</w:t>
            </w:r>
          </w:p>
        </w:tc>
      </w:tr>
      <w:tr>
        <w:trPr>
          <w:cantSplit/>
          <w:tblHeader w:val="off"/>
        </w:trPr>
        <w:tc>
          <w:tcPr>
            <w:tcW w:type="dxa" w:w="81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SS8</w:t>
            </w:r>
          </w:p>
        </w:tc>
        <w:tc>
          <w:tcPr>
            <w:tcW w:type="dxa" w:w="496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The university offers psychological and social counselling services th…</w:t>
            </w:r>
          </w:p>
        </w:tc>
        <w:tc>
          <w:tcPr>
            <w:tcW w:type="dxa" w:w="108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−.16</w:t>
            </w:r>
          </w:p>
        </w:tc>
        <w:tc>
          <w:tcPr>
            <w:tcW w:type="dxa" w:w="108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.74</w:t>
            </w:r>
          </w:p>
        </w:tc>
        <w:tc>
          <w:tcPr>
            <w:tcW w:type="dxa" w:w="108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−.18</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Pattern loadings; |λ| ≥ .50 in bold. Factor correlations: F1–F2 = .48; F1–F3 = .42; F2–F3 = .32. Items with their highest loading of at least .50 on each factor: F1: AC1, AC2, AM1, AM2, AM3, AM4, AM5, AM7, AM8, AM9, AM11, AM12, CA1; F2: PQ1, PQ2, PQ4, SQ2, SQ3, SQ4, TM2, TM4, TM9, SS1, SS4, SS8; F3: CA9, SQ1, SQ8.</w:t>
      </w:r>
    </w:p>
    <w:p>
      <w:pPr>
        <w:pStyle w:val="Heading1"/>
        <w:keepNext/>
        <w:spacing w:after="0" w:before="0" w:line="276"/>
        <w:jc w:val="left"/>
      </w:pPr>
      <w:r>
        <w:rPr>
          <w:rFonts w:ascii="Times New Roman" w:cs="Times New Roman" w:eastAsia="Times New Roman" w:hAnsi="Times New Roman"/>
          <w:sz w:val="22"/>
          <w:szCs w:val="22"/>
        </w:rPr>
        <w:t xml:space="preserve">S4 Confirmatory factor analysis, reliability and discriminant validity</w:t>
      </w:r>
    </w:p>
    <w:p>
      <w:pPr>
        <w:spacing w:after="120" w:before="0" w:line="276"/>
        <w:jc w:val="left"/>
      </w:pPr>
      <w:r>
        <w:rPr>
          <w:rFonts w:ascii="Times New Roman" w:cs="Times New Roman" w:eastAsia="Times New Roman" w:hAnsi="Times New Roman"/>
          <w:sz w:val="22"/>
          <w:szCs w:val="22"/>
        </w:rPr>
        <w:t xml:space="preserve">Confirmatory models were estimated in semopy by maximum likelihood on the item scores, which yields the fit statistics, and, as an ordinal check, by unweighted least squares on polychoric correlations (Forero et al., 2009), which yields the standardised loadings, composite reliability and average variance extracted. Five-category items lie in the range in which treating them as continuous can be acceptable but is not assured (Rhemtulla et al., 2012). SRMR was computed from observed and model-implied correlations. Reliability is reported as McDonald’s omega from a one-factor solution of the polychoric correlations (Dunn et al., 2014), ordinal alpha (Zumbo et al., 2007) and Cronbach’s alpha. Discriminant validity was assessed with heterotrait–monotrait ratios (Henseler et al., 2015), with .85 as the threshold.</w:t>
      </w:r>
    </w:p>
    <w:p>
      <w:pPr>
        <w:keepNext/>
        <w:spacing w:after="80" w:before="240" w:line="276"/>
        <w:jc w:val="left"/>
      </w:pPr>
      <w:r>
        <w:rPr>
          <w:rFonts w:ascii="Times New Roman" w:cs="Times New Roman" w:eastAsia="Times New Roman" w:hAnsi="Times New Roman"/>
          <w:b/>
          <w:bCs/>
          <w:sz w:val="22"/>
          <w:szCs w:val="22"/>
        </w:rPr>
        <w:t xml:space="preserve">Table S4a </w:t>
      </w:r>
      <w:r>
        <w:rPr>
          <w:rFonts w:ascii="Times New Roman" w:cs="Times New Roman" w:eastAsia="Times New Roman" w:hAnsi="Times New Roman"/>
          <w:sz w:val="22"/>
          <w:szCs w:val="22"/>
        </w:rPr>
        <w:t xml:space="preserve">Fit of confirmatory factor models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49"/>
        <w:gridCol w:w="542"/>
        <w:gridCol w:w="812"/>
        <w:gridCol w:w="542"/>
        <w:gridCol w:w="722"/>
        <w:gridCol w:w="722"/>
        <w:gridCol w:w="812"/>
        <w:gridCol w:w="812"/>
        <w:gridCol w:w="813"/>
      </w:tblGrid>
      <w:tr>
        <w:trPr>
          <w:cantSplit/>
          <w:tblHeader/>
        </w:trPr>
        <w:tc>
          <w:tcPr>
            <w:tcW w:type="dxa" w:w="3249"/>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Model</w:t>
            </w:r>
          </w:p>
        </w:tc>
        <w:tc>
          <w:tcPr>
            <w:tcW w:type="dxa" w:w="54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i/>
                <w:iCs/>
                <w:sz w:val="17"/>
                <w:szCs w:val="17"/>
              </w:rPr>
              <w:t xml:space="preserve">n</w:t>
            </w:r>
          </w:p>
        </w:tc>
        <w:tc>
          <w:tcPr>
            <w:tcW w:type="dxa" w:w="81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χ²</w:t>
            </w:r>
          </w:p>
        </w:tc>
        <w:tc>
          <w:tcPr>
            <w:tcW w:type="dxa" w:w="54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i/>
                <w:iCs/>
                <w:sz w:val="17"/>
                <w:szCs w:val="17"/>
              </w:rPr>
              <w:t xml:space="preserve">df</w:t>
            </w:r>
          </w:p>
        </w:tc>
        <w:tc>
          <w:tcPr>
            <w:tcW w:type="dxa" w:w="72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CFI</w:t>
            </w:r>
          </w:p>
        </w:tc>
        <w:tc>
          <w:tcPr>
            <w:tcW w:type="dxa" w:w="72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TLI</w:t>
            </w:r>
          </w:p>
        </w:tc>
        <w:tc>
          <w:tcPr>
            <w:tcW w:type="dxa" w:w="81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RMSEA</w:t>
            </w:r>
          </w:p>
        </w:tc>
        <w:tc>
          <w:tcPr>
            <w:tcW w:type="dxa" w:w="81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SRMR (ML)</w:t>
            </w:r>
          </w:p>
        </w:tc>
        <w:tc>
          <w:tcPr>
            <w:tcW w:type="dxa" w:w="81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SRMR (ULS)</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General constructs, five factors</w:t>
            </w:r>
          </w:p>
        </w:tc>
        <w:tc>
          <w:tcPr>
            <w:tcW w:type="dxa" w:w="54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259</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664.6</w:t>
            </w:r>
          </w:p>
        </w:tc>
        <w:tc>
          <w:tcPr>
            <w:tcW w:type="dxa" w:w="54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289</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.895</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.882</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.071</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.064</w:t>
            </w:r>
          </w:p>
        </w:tc>
        <w:tc>
          <w:tcPr>
            <w:tcW w:type="dxa" w:w="8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.064</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General constructs, one factor</w:t>
            </w:r>
          </w:p>
        </w:tc>
        <w:tc>
          <w:tcPr>
            <w:tcW w:type="dxa" w:w="54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259</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1566.4</w:t>
            </w:r>
          </w:p>
        </w:tc>
        <w:tc>
          <w:tcPr>
            <w:tcW w:type="dxa" w:w="54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299</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.645</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.128</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c>
          <w:tcPr>
            <w:tcW w:type="dxa" w:w="8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Relationship constructs, four-item interference scale</w:t>
            </w:r>
          </w:p>
        </w:tc>
        <w:tc>
          <w:tcPr>
            <w:tcW w:type="dxa" w:w="54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128</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164.3</w:t>
            </w:r>
          </w:p>
        </w:tc>
        <w:tc>
          <w:tcPr>
            <w:tcW w:type="dxa" w:w="54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74</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.893</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.869</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.098</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.086</w:t>
            </w:r>
          </w:p>
        </w:tc>
        <w:tc>
          <w:tcPr>
            <w:tcW w:type="dxa" w:w="8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.090</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Relationship constructs, eight-item interference scale</w:t>
            </w:r>
          </w:p>
        </w:tc>
        <w:tc>
          <w:tcPr>
            <w:tcW w:type="dxa" w:w="54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128</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305.7</w:t>
            </w:r>
          </w:p>
        </w:tc>
        <w:tc>
          <w:tcPr>
            <w:tcW w:type="dxa" w:w="54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132</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.857</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.835</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.102</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.096</w:t>
            </w:r>
          </w:p>
        </w:tc>
        <w:tc>
          <w:tcPr>
            <w:tcW w:type="dxa" w:w="8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.102</w:t>
            </w:r>
          </w:p>
        </w:tc>
      </w:tr>
      <w:tr>
        <w:trPr>
          <w:cantSplit/>
          <w:tblHeader w:val="off"/>
        </w:trPr>
        <w:tc>
          <w:tcPr>
            <w:tcW w:type="dxa" w:w="3249"/>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Relationship constructs (eight-item scale), one factor</w:t>
            </w:r>
          </w:p>
        </w:tc>
        <w:tc>
          <w:tcPr>
            <w:tcW w:type="dxa" w:w="54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128</w:t>
            </w:r>
          </w:p>
        </w:tc>
        <w:tc>
          <w:tcPr>
            <w:tcW w:type="dxa" w:w="81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584.8</w:t>
            </w:r>
          </w:p>
        </w:tc>
        <w:tc>
          <w:tcPr>
            <w:tcW w:type="dxa" w:w="54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135</w:t>
            </w:r>
          </w:p>
        </w:tc>
        <w:tc>
          <w:tcPr>
            <w:tcW w:type="dxa" w:w="72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.630</w:t>
            </w:r>
          </w:p>
        </w:tc>
        <w:tc>
          <w:tcPr>
            <w:tcW w:type="dxa" w:w="72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c>
          <w:tcPr>
            <w:tcW w:type="dxa" w:w="81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.162</w:t>
            </w:r>
          </w:p>
        </w:tc>
        <w:tc>
          <w:tcPr>
            <w:tcW w:type="dxa" w:w="81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c>
          <w:tcPr>
            <w:tcW w:type="dxa" w:w="81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ML = maximum likelihood; ULS = unweighted least squares on polychoric correlations. General constructs: psychological well-being, campus social integration, achievement motivation, perceived social support and academic engagement. Relationship constructs: relationship quality, relationship strain and relationship-to-study interference.</w:t>
      </w:r>
    </w:p>
    <w:p>
      <w:pPr>
        <w:keepNext/>
        <w:spacing w:after="80" w:before="240" w:line="276"/>
        <w:jc w:val="left"/>
      </w:pPr>
      <w:r>
        <w:rPr>
          <w:rFonts w:ascii="Times New Roman" w:cs="Times New Roman" w:eastAsia="Times New Roman" w:hAnsi="Times New Roman"/>
          <w:b/>
          <w:bCs/>
          <w:sz w:val="22"/>
          <w:szCs w:val="22"/>
        </w:rPr>
        <w:t xml:space="preserve">Table S4b </w:t>
      </w:r>
      <w:r>
        <w:rPr>
          <w:rFonts w:ascii="Times New Roman" w:cs="Times New Roman" w:eastAsia="Times New Roman" w:hAnsi="Times New Roman"/>
          <w:sz w:val="22"/>
          <w:szCs w:val="22"/>
        </w:rPr>
        <w:t xml:space="preserve">Standardised loadings, composite reliability and average variance extracted (unweighted least squares on polychoric correlations)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166"/>
        <w:gridCol w:w="5055"/>
        <w:gridCol w:w="903"/>
        <w:gridCol w:w="902"/>
      </w:tblGrid>
      <w:tr>
        <w:trPr>
          <w:cantSplit/>
          <w:tblHeader/>
        </w:trPr>
        <w:tc>
          <w:tcPr>
            <w:tcW w:type="dxa" w:w="216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Construct</w:t>
            </w:r>
          </w:p>
        </w:tc>
        <w:tc>
          <w:tcPr>
            <w:tcW w:type="dxa" w:w="505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Standardised loadings</w:t>
            </w:r>
          </w:p>
        </w:tc>
        <w:tc>
          <w:tcPr>
            <w:tcW w:type="dxa" w:w="90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CR</w:t>
            </w:r>
          </w:p>
        </w:tc>
        <w:tc>
          <w:tcPr>
            <w:tcW w:type="dxa" w:w="90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AVE</w:t>
            </w:r>
          </w:p>
        </w:tc>
      </w:tr>
      <w:tr>
        <w:trPr>
          <w:cantSplit/>
          <w:tblHeader w:val="off"/>
        </w:trPr>
        <w:tc>
          <w:tcPr>
            <w:tcW w:type="dxa" w:w="9026"/>
            <w:gridSpan w:val="4"/>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6"/>
                <w:szCs w:val="16"/>
              </w:rPr>
              <w:t xml:space="preserve">General constructs (</w:t>
            </w:r>
            <w:r>
              <w:rPr>
                <w:rFonts w:ascii="Times New Roman" w:cs="Times New Roman" w:eastAsia="Times New Roman" w:hAnsi="Times New Roman"/>
                <w:sz w:val="16"/>
                <w:szCs w:val="16"/>
              </w:rPr>
              <w:t xml:space="preserve">N</w:t>
            </w:r>
            <w:r>
              <w:rPr>
                <w:rFonts w:ascii="Times New Roman" w:cs="Times New Roman" w:eastAsia="Times New Roman" w:hAnsi="Times New Roman"/>
                <w:i/>
                <w:iCs/>
                <w:sz w:val="16"/>
                <w:szCs w:val="16"/>
              </w:rPr>
              <w:t xml:space="preserve"> = 259)</w:t>
            </w:r>
          </w:p>
        </w:tc>
      </w:tr>
      <w:tr>
        <w:trPr>
          <w:cantSplit/>
          <w:tblHeader w:val="off"/>
        </w:trPr>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6"/>
                <w:szCs w:val="16"/>
              </w:rPr>
              <w:t xml:space="preserve">Psychological well-being</w:t>
            </w:r>
          </w:p>
        </w:tc>
        <w:tc>
          <w:tcPr>
            <w:tcW w:type="dxa" w:w="505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PQ1 .76, PQ2 .67, PQ3 .80, PQ4 .77, PQ8 .75, PQ10 .81</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.89</w:t>
            </w:r>
          </w:p>
        </w:tc>
        <w:tc>
          <w:tcPr>
            <w:tcW w:type="dxa" w:w="9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.58</w:t>
            </w:r>
          </w:p>
        </w:tc>
      </w:tr>
      <w:tr>
        <w:trPr>
          <w:cantSplit/>
          <w:tblHeader w:val="off"/>
        </w:trPr>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6"/>
                <w:szCs w:val="16"/>
              </w:rPr>
              <w:t xml:space="preserve">Campus social integration</w:t>
            </w:r>
          </w:p>
        </w:tc>
        <w:tc>
          <w:tcPr>
            <w:tcW w:type="dxa" w:w="505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SQ1 .85, SQ2 .84, SQ3 .82, SQ8 .66</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.87</w:t>
            </w:r>
          </w:p>
        </w:tc>
        <w:tc>
          <w:tcPr>
            <w:tcW w:type="dxa" w:w="9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.63</w:t>
            </w:r>
          </w:p>
        </w:tc>
      </w:tr>
      <w:tr>
        <w:trPr>
          <w:cantSplit/>
          <w:tblHeader w:val="off"/>
        </w:trPr>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6"/>
                <w:szCs w:val="16"/>
              </w:rPr>
              <w:t xml:space="preserve">Achievement motivation</w:t>
            </w:r>
          </w:p>
        </w:tc>
        <w:tc>
          <w:tcPr>
            <w:tcW w:type="dxa" w:w="505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AM1 .78, AM2 .83, AM3 .78, AM4 .75, AM5 .80, AM7 .82, AM8 .68, AM9 .83, AM11 .72, AM12 .71</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.94</w:t>
            </w:r>
          </w:p>
        </w:tc>
        <w:tc>
          <w:tcPr>
            <w:tcW w:type="dxa" w:w="9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.59</w:t>
            </w:r>
          </w:p>
        </w:tc>
      </w:tr>
      <w:tr>
        <w:trPr>
          <w:cantSplit/>
          <w:tblHeader w:val="off"/>
        </w:trPr>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6"/>
                <w:szCs w:val="16"/>
              </w:rPr>
              <w:t xml:space="preserve">Perceived social support</w:t>
            </w:r>
          </w:p>
        </w:tc>
        <w:tc>
          <w:tcPr>
            <w:tcW w:type="dxa" w:w="505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SS1 .82, SS2 .37, SS4 .71, SQ6 .87</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.80</w:t>
            </w:r>
          </w:p>
        </w:tc>
        <w:tc>
          <w:tcPr>
            <w:tcW w:type="dxa" w:w="9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.52</w:t>
            </w:r>
          </w:p>
        </w:tc>
      </w:tr>
      <w:tr>
        <w:trPr>
          <w:cantSplit/>
          <w:tblHeader w:val="off"/>
        </w:trPr>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6"/>
                <w:szCs w:val="16"/>
              </w:rPr>
              <w:t xml:space="preserve">Academic engagement</w:t>
            </w:r>
          </w:p>
        </w:tc>
        <w:tc>
          <w:tcPr>
            <w:tcW w:type="dxa" w:w="505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AC1 .81, AC2 .93</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.86</w:t>
            </w:r>
          </w:p>
        </w:tc>
        <w:tc>
          <w:tcPr>
            <w:tcW w:type="dxa" w:w="9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.76</w:t>
            </w:r>
          </w:p>
        </w:tc>
      </w:tr>
      <w:tr>
        <w:trPr>
          <w:cantSplit/>
          <w:tblHeader w:val="off"/>
        </w:trPr>
        <w:tc>
          <w:tcPr>
            <w:tcW w:type="dxa" w:w="9026"/>
            <w:gridSpan w:val="4"/>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6"/>
                <w:szCs w:val="16"/>
              </w:rPr>
              <w:t xml:space="preserve">Relationship constructs, four-item interference scale (</w:t>
            </w:r>
            <w:r>
              <w:rPr>
                <w:rFonts w:ascii="Times New Roman" w:cs="Times New Roman" w:eastAsia="Times New Roman" w:hAnsi="Times New Roman"/>
                <w:sz w:val="16"/>
                <w:szCs w:val="16"/>
              </w:rPr>
              <w:t xml:space="preserve">n</w:t>
            </w:r>
            <w:r>
              <w:rPr>
                <w:rFonts w:ascii="Times New Roman" w:cs="Times New Roman" w:eastAsia="Times New Roman" w:hAnsi="Times New Roman"/>
                <w:i/>
                <w:iCs/>
                <w:sz w:val="16"/>
                <w:szCs w:val="16"/>
              </w:rPr>
              <w:t xml:space="preserve"> = 128)</w:t>
            </w:r>
          </w:p>
        </w:tc>
      </w:tr>
      <w:tr>
        <w:trPr>
          <w:cantSplit/>
          <w:tblHeader w:val="off"/>
        </w:trPr>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6"/>
                <w:szCs w:val="16"/>
              </w:rPr>
              <w:t xml:space="preserve">Relationship quality</w:t>
            </w:r>
          </w:p>
        </w:tc>
        <w:tc>
          <w:tcPr>
            <w:tcW w:type="dxa" w:w="505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RQ1 .70, RQ2 .82, RQ4 .85, RQ6 .78, RQ7 .87, RQ9 .75</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.91</w:t>
            </w:r>
          </w:p>
        </w:tc>
        <w:tc>
          <w:tcPr>
            <w:tcW w:type="dxa" w:w="9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.64</w:t>
            </w:r>
          </w:p>
        </w:tc>
      </w:tr>
      <w:tr>
        <w:trPr>
          <w:cantSplit/>
          <w:tblHeader w:val="off"/>
        </w:trPr>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6"/>
                <w:szCs w:val="16"/>
              </w:rPr>
              <w:t xml:space="preserve">Relationship strain</w:t>
            </w:r>
          </w:p>
        </w:tc>
        <w:tc>
          <w:tcPr>
            <w:tcW w:type="dxa" w:w="505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RQ3 .76, RQ5 .68, RQ10 .71, PQ5 .57</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.78</w:t>
            </w:r>
          </w:p>
        </w:tc>
        <w:tc>
          <w:tcPr>
            <w:tcW w:type="dxa" w:w="9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.47</w:t>
            </w:r>
          </w:p>
        </w:tc>
      </w:tr>
      <w:tr>
        <w:trPr>
          <w:cantSplit/>
          <w:tblHeader w:val="off"/>
        </w:trPr>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6"/>
                <w:szCs w:val="16"/>
              </w:rPr>
              <w:t xml:space="preserve">Interference, four items</w:t>
            </w:r>
          </w:p>
        </w:tc>
        <w:tc>
          <w:tcPr>
            <w:tcW w:type="dxa" w:w="505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AC4 1.00, AC5 .77, TM3 .66, TM10 .63</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.86</w:t>
            </w:r>
          </w:p>
        </w:tc>
        <w:tc>
          <w:tcPr>
            <w:tcW w:type="dxa" w:w="9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.61</w:t>
            </w:r>
          </w:p>
        </w:tc>
      </w:tr>
      <w:tr>
        <w:trPr>
          <w:cantSplit/>
          <w:tblHeader w:val="off"/>
        </w:trPr>
        <w:tc>
          <w:tcPr>
            <w:tcW w:type="dxa" w:w="9026"/>
            <w:gridSpan w:val="4"/>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6"/>
                <w:szCs w:val="16"/>
              </w:rPr>
              <w:t xml:space="preserve">Eight-item interference scale (</w:t>
            </w:r>
            <w:r>
              <w:rPr>
                <w:rFonts w:ascii="Times New Roman" w:cs="Times New Roman" w:eastAsia="Times New Roman" w:hAnsi="Times New Roman"/>
                <w:sz w:val="16"/>
                <w:szCs w:val="16"/>
              </w:rPr>
              <w:t xml:space="preserve">n</w:t>
            </w:r>
            <w:r>
              <w:rPr>
                <w:rFonts w:ascii="Times New Roman" w:cs="Times New Roman" w:eastAsia="Times New Roman" w:hAnsi="Times New Roman"/>
                <w:i/>
                <w:iCs/>
                <w:sz w:val="16"/>
                <w:szCs w:val="16"/>
              </w:rPr>
              <w:t xml:space="preserve"> = 128)</w:t>
            </w:r>
          </w:p>
        </w:tc>
      </w:tr>
      <w:tr>
        <w:trPr>
          <w:cantSplit/>
          <w:tblHeader w:val="off"/>
        </w:trPr>
        <w:tc>
          <w:tcPr>
            <w:tcW w:type="dxa" w:w="216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6"/>
                <w:szCs w:val="16"/>
              </w:rPr>
              <w:t xml:space="preserve">Interference, eight items</w:t>
            </w:r>
          </w:p>
        </w:tc>
        <w:tc>
          <w:tcPr>
            <w:tcW w:type="dxa" w:w="505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AC3 .90, AC4 .97, AC5 .80, AC9 .68, AM6 .64, AM10 .64, TM3 .68, TM10 .68</w:t>
            </w:r>
          </w:p>
        </w:tc>
        <w:tc>
          <w:tcPr>
            <w:tcW w:type="dxa" w:w="90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.91</w:t>
            </w:r>
          </w:p>
        </w:tc>
        <w:tc>
          <w:tcPr>
            <w:tcW w:type="dxa" w:w="90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.58</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CR = composite reliability; AVE = average variance extracted. A loading of 1.00 is a boundary estimate.</w:t>
      </w:r>
    </w:p>
    <w:p>
      <w:pPr>
        <w:keepNext/>
        <w:spacing w:after="80" w:before="240" w:line="276"/>
        <w:jc w:val="left"/>
      </w:pPr>
      <w:r>
        <w:rPr>
          <w:rFonts w:ascii="Times New Roman" w:cs="Times New Roman" w:eastAsia="Times New Roman" w:hAnsi="Times New Roman"/>
          <w:b/>
          <w:bCs/>
          <w:sz w:val="22"/>
          <w:szCs w:val="22"/>
        </w:rPr>
        <w:t xml:space="preserve">Table S4c </w:t>
      </w:r>
      <w:r>
        <w:rPr>
          <w:rFonts w:ascii="Times New Roman" w:cs="Times New Roman" w:eastAsia="Times New Roman" w:hAnsi="Times New Roman"/>
          <w:sz w:val="22"/>
          <w:szCs w:val="22"/>
        </w:rPr>
        <w:t xml:space="preserve">Latent factor correlations (unweighted least squares on polychoric correlations)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18"/>
        <w:gridCol w:w="2708"/>
      </w:tblGrid>
      <w:tr>
        <w:trPr>
          <w:cantSplit/>
          <w:tblHeader/>
        </w:trPr>
        <w:tc>
          <w:tcPr>
            <w:tcW w:type="dxa" w:w="6318"/>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Constructs</w:t>
            </w:r>
          </w:p>
        </w:tc>
        <w:tc>
          <w:tcPr>
            <w:tcW w:type="dxa" w:w="2708"/>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Correlation</w:t>
            </w:r>
          </w:p>
        </w:tc>
      </w:tr>
      <w:tr>
        <w:trPr>
          <w:cantSplit/>
          <w:tblHeader w:val="off"/>
        </w:trPr>
        <w:tc>
          <w:tcPr>
            <w:tcW w:type="dxa" w:w="9026"/>
            <w:gridSpan w:val="2"/>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7"/>
                <w:szCs w:val="17"/>
              </w:rPr>
              <w:t xml:space="preserve">General constructs</w:t>
            </w:r>
          </w:p>
        </w:tc>
      </w:tr>
      <w:tr>
        <w:trPr>
          <w:cantSplit/>
          <w:tblHeader w:val="off"/>
        </w:trPr>
        <w:tc>
          <w:tcPr>
            <w:tcW w:type="dxa" w:w="631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Achievement motivation – Academic engagement</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.77</w:t>
            </w:r>
          </w:p>
        </w:tc>
      </w:tr>
      <w:tr>
        <w:trPr>
          <w:cantSplit/>
          <w:tblHeader w:val="off"/>
        </w:trPr>
        <w:tc>
          <w:tcPr>
            <w:tcW w:type="dxa" w:w="631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Psychological well-being – Achievement motivation</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.62</w:t>
            </w:r>
          </w:p>
        </w:tc>
      </w:tr>
      <w:tr>
        <w:trPr>
          <w:cantSplit/>
          <w:tblHeader w:val="off"/>
        </w:trPr>
        <w:tc>
          <w:tcPr>
            <w:tcW w:type="dxa" w:w="631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Psychological well-being – Academic engagement</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.46</w:t>
            </w:r>
          </w:p>
        </w:tc>
      </w:tr>
      <w:tr>
        <w:trPr>
          <w:cantSplit/>
          <w:tblHeader w:val="off"/>
        </w:trPr>
        <w:tc>
          <w:tcPr>
            <w:tcW w:type="dxa" w:w="631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Campus social integration – Achievement motivation</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.53</w:t>
            </w:r>
          </w:p>
        </w:tc>
      </w:tr>
      <w:tr>
        <w:trPr>
          <w:cantSplit/>
          <w:tblHeader w:val="off"/>
        </w:trPr>
        <w:tc>
          <w:tcPr>
            <w:tcW w:type="dxa" w:w="631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Campus social integration – Academic engagement</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.53</w:t>
            </w:r>
          </w:p>
        </w:tc>
      </w:tr>
      <w:tr>
        <w:trPr>
          <w:cantSplit/>
          <w:tblHeader w:val="off"/>
        </w:trPr>
        <w:tc>
          <w:tcPr>
            <w:tcW w:type="dxa" w:w="631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Campus social integration – Psychological well-being</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.78</w:t>
            </w:r>
          </w:p>
        </w:tc>
      </w:tr>
      <w:tr>
        <w:trPr>
          <w:cantSplit/>
          <w:tblHeader w:val="off"/>
        </w:trPr>
        <w:tc>
          <w:tcPr>
            <w:tcW w:type="dxa" w:w="631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Campus social integration – Perceived social support</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.83</w:t>
            </w:r>
          </w:p>
        </w:tc>
      </w:tr>
      <w:tr>
        <w:trPr>
          <w:cantSplit/>
          <w:tblHeader w:val="off"/>
        </w:trPr>
        <w:tc>
          <w:tcPr>
            <w:tcW w:type="dxa" w:w="631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Perceived social support – Achievement motivation</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.55</w:t>
            </w:r>
          </w:p>
        </w:tc>
      </w:tr>
      <w:tr>
        <w:trPr>
          <w:cantSplit/>
          <w:tblHeader w:val="off"/>
        </w:trPr>
        <w:tc>
          <w:tcPr>
            <w:tcW w:type="dxa" w:w="631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Perceived social support – Academic engagement</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.43</w:t>
            </w:r>
          </w:p>
        </w:tc>
      </w:tr>
      <w:tr>
        <w:trPr>
          <w:cantSplit/>
          <w:tblHeader w:val="off"/>
        </w:trPr>
        <w:tc>
          <w:tcPr>
            <w:tcW w:type="dxa" w:w="631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Perceived social support – Psychological well-being</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.82</w:t>
            </w:r>
          </w:p>
        </w:tc>
      </w:tr>
      <w:tr>
        <w:trPr>
          <w:cantSplit/>
          <w:tblHeader w:val="off"/>
        </w:trPr>
        <w:tc>
          <w:tcPr>
            <w:tcW w:type="dxa" w:w="9026"/>
            <w:gridSpan w:val="2"/>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7"/>
                <w:szCs w:val="17"/>
              </w:rPr>
              <w:t xml:space="preserve">Relationship constructs, four-item scale</w:t>
            </w:r>
          </w:p>
        </w:tc>
      </w:tr>
      <w:tr>
        <w:trPr>
          <w:cantSplit/>
          <w:tblHeader w:val="off"/>
        </w:trPr>
        <w:tc>
          <w:tcPr>
            <w:tcW w:type="dxa" w:w="631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Relationship quality – Interference, four items</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−.42</w:t>
            </w:r>
          </w:p>
        </w:tc>
      </w:tr>
      <w:tr>
        <w:trPr>
          <w:cantSplit/>
          <w:tblHeader w:val="off"/>
        </w:trPr>
        <w:tc>
          <w:tcPr>
            <w:tcW w:type="dxa" w:w="631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Relationship strain – Interference, four items</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.87</w:t>
            </w:r>
          </w:p>
        </w:tc>
      </w:tr>
      <w:tr>
        <w:trPr>
          <w:cantSplit/>
          <w:tblHeader w:val="off"/>
        </w:trPr>
        <w:tc>
          <w:tcPr>
            <w:tcW w:type="dxa" w:w="631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Relationship strain – Relationship quality</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−.65</w:t>
            </w:r>
          </w:p>
        </w:tc>
      </w:tr>
      <w:tr>
        <w:trPr>
          <w:cantSplit/>
          <w:tblHeader w:val="off"/>
        </w:trPr>
        <w:tc>
          <w:tcPr>
            <w:tcW w:type="dxa" w:w="9026"/>
            <w:gridSpan w:val="2"/>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7"/>
                <w:szCs w:val="17"/>
              </w:rPr>
              <w:t xml:space="preserve">Relationship constructs, eight-item scale</w:t>
            </w:r>
          </w:p>
        </w:tc>
      </w:tr>
      <w:tr>
        <w:trPr>
          <w:cantSplit/>
          <w:tblHeader w:val="off"/>
        </w:trPr>
        <w:tc>
          <w:tcPr>
            <w:tcW w:type="dxa" w:w="631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Interference, eight items – Relationship strain</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.84</w:t>
            </w:r>
          </w:p>
        </w:tc>
      </w:tr>
      <w:tr>
        <w:trPr>
          <w:cantSplit/>
          <w:tblHeader w:val="off"/>
        </w:trPr>
        <w:tc>
          <w:tcPr>
            <w:tcW w:type="dxa" w:w="631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Relationship quality – Interference, eight items</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−.40</w:t>
            </w:r>
          </w:p>
        </w:tc>
      </w:tr>
      <w:tr>
        <w:trPr>
          <w:cantSplit/>
          <w:tblHeader w:val="off"/>
        </w:trPr>
        <w:tc>
          <w:tcPr>
            <w:tcW w:type="dxa" w:w="6318"/>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Relationship quality – Relationship strain</w:t>
            </w:r>
          </w:p>
        </w:tc>
        <w:tc>
          <w:tcPr>
            <w:tcW w:type="dxa" w:w="2708"/>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−.65</w:t>
            </w:r>
          </w:p>
        </w:tc>
      </w:tr>
    </w:tbl>
    <w:p>
      <w:pPr>
        <w:keepNext/>
        <w:spacing w:after="80" w:before="240" w:line="276"/>
        <w:jc w:val="left"/>
      </w:pPr>
      <w:r>
        <w:rPr>
          <w:rFonts w:ascii="Times New Roman" w:cs="Times New Roman" w:eastAsia="Times New Roman" w:hAnsi="Times New Roman"/>
          <w:b/>
          <w:bCs/>
          <w:sz w:val="22"/>
          <w:szCs w:val="22"/>
        </w:rPr>
        <w:t xml:space="preserve">Table S4d </w:t>
      </w:r>
      <w:r>
        <w:rPr>
          <w:rFonts w:ascii="Times New Roman" w:cs="Times New Roman" w:eastAsia="Times New Roman" w:hAnsi="Times New Roman"/>
          <w:sz w:val="22"/>
          <w:szCs w:val="22"/>
        </w:rPr>
        <w:t xml:space="preserve">Reliability coefficients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8"/>
        <w:gridCol w:w="1173"/>
        <w:gridCol w:w="722"/>
        <w:gridCol w:w="903"/>
        <w:gridCol w:w="1083"/>
        <w:gridCol w:w="1083"/>
        <w:gridCol w:w="1354"/>
      </w:tblGrid>
      <w:tr>
        <w:trPr>
          <w:cantSplit/>
          <w:tblHeader/>
        </w:trPr>
        <w:tc>
          <w:tcPr>
            <w:tcW w:type="dxa" w:w="2708"/>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Scale</w:t>
            </w:r>
          </w:p>
        </w:tc>
        <w:tc>
          <w:tcPr>
            <w:tcW w:type="dxa" w:w="117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Sample</w:t>
            </w:r>
          </w:p>
        </w:tc>
        <w:tc>
          <w:tcPr>
            <w:tcW w:type="dxa" w:w="72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Items</w:t>
            </w:r>
          </w:p>
        </w:tc>
        <w:tc>
          <w:tcPr>
            <w:tcW w:type="dxa" w:w="90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ω</w:t>
            </w:r>
          </w:p>
        </w:tc>
        <w:tc>
          <w:tcPr>
            <w:tcW w:type="dxa" w:w="108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Ordinal α</w:t>
            </w:r>
          </w:p>
        </w:tc>
        <w:tc>
          <w:tcPr>
            <w:tcW w:type="dxa" w:w="108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Cronbach’s α</w:t>
            </w:r>
          </w:p>
        </w:tc>
        <w:tc>
          <w:tcPr>
            <w:tcW w:type="dxa" w:w="135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One-factor loadings</w:t>
            </w:r>
          </w:p>
        </w:tc>
      </w:tr>
      <w:tr>
        <w:trPr>
          <w:cantSplit/>
          <w:tblHeader w:val="off"/>
        </w:trPr>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Psychological well-being</w:t>
            </w:r>
          </w:p>
        </w:tc>
        <w:tc>
          <w:tcPr>
            <w:tcW w:type="dxa" w:w="117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Full</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.89</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.89</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.87</w:t>
            </w:r>
          </w:p>
        </w:tc>
        <w:tc>
          <w:tcPr>
            <w:tcW w:type="dxa" w:w="135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.68–.84</w:t>
            </w:r>
          </w:p>
        </w:tc>
      </w:tr>
      <w:tr>
        <w:trPr>
          <w:cantSplit/>
          <w:tblHeader w:val="off"/>
        </w:trPr>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Campus social integration</w:t>
            </w:r>
          </w:p>
        </w:tc>
        <w:tc>
          <w:tcPr>
            <w:tcW w:type="dxa" w:w="117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Full</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.88</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.87</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.83</w:t>
            </w:r>
          </w:p>
        </w:tc>
        <w:tc>
          <w:tcPr>
            <w:tcW w:type="dxa" w:w="135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.62–.94</w:t>
            </w:r>
          </w:p>
        </w:tc>
      </w:tr>
      <w:tr>
        <w:trPr>
          <w:cantSplit/>
          <w:tblHeader w:val="off"/>
        </w:trPr>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Achievement motivation</w:t>
            </w:r>
          </w:p>
        </w:tc>
        <w:tc>
          <w:tcPr>
            <w:tcW w:type="dxa" w:w="117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Full</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10</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.94</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.94</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.91</w:t>
            </w:r>
          </w:p>
        </w:tc>
        <w:tc>
          <w:tcPr>
            <w:tcW w:type="dxa" w:w="135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.68–.85</w:t>
            </w:r>
          </w:p>
        </w:tc>
      </w:tr>
      <w:tr>
        <w:trPr>
          <w:cantSplit/>
          <w:tblHeader w:val="off"/>
        </w:trPr>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Perceived social support</w:t>
            </w:r>
          </w:p>
        </w:tc>
        <w:tc>
          <w:tcPr>
            <w:tcW w:type="dxa" w:w="117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Full</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.81</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.80</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.74</w:t>
            </w:r>
          </w:p>
        </w:tc>
        <w:tc>
          <w:tcPr>
            <w:tcW w:type="dxa" w:w="135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.52–.87</w:t>
            </w:r>
          </w:p>
        </w:tc>
      </w:tr>
      <w:tr>
        <w:trPr>
          <w:cantSplit/>
          <w:tblHeader w:val="off"/>
        </w:trPr>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Academic engagement</w:t>
            </w:r>
          </w:p>
        </w:tc>
        <w:tc>
          <w:tcPr>
            <w:tcW w:type="dxa" w:w="117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Full</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.86</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.86</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.79</w:t>
            </w:r>
          </w:p>
        </w:tc>
        <w:tc>
          <w:tcPr>
            <w:tcW w:type="dxa" w:w="135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.87–.87</w:t>
            </w:r>
          </w:p>
        </w:tc>
      </w:tr>
      <w:tr>
        <w:trPr>
          <w:cantSplit/>
          <w:tblHeader w:val="off"/>
        </w:trPr>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Relationship quality</w:t>
            </w:r>
          </w:p>
        </w:tc>
        <w:tc>
          <w:tcPr>
            <w:tcW w:type="dxa" w:w="117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Experienced</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.91</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.91</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.88</w:t>
            </w:r>
          </w:p>
        </w:tc>
        <w:tc>
          <w:tcPr>
            <w:tcW w:type="dxa" w:w="135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.73–.85</w:t>
            </w:r>
          </w:p>
        </w:tc>
      </w:tr>
      <w:tr>
        <w:trPr>
          <w:cantSplit/>
          <w:tblHeader w:val="off"/>
        </w:trPr>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Relationship strain</w:t>
            </w:r>
          </w:p>
        </w:tc>
        <w:tc>
          <w:tcPr>
            <w:tcW w:type="dxa" w:w="117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Experienced</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.78</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.78</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.74</w:t>
            </w:r>
          </w:p>
        </w:tc>
        <w:tc>
          <w:tcPr>
            <w:tcW w:type="dxa" w:w="135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.58–.73</w:t>
            </w:r>
          </w:p>
        </w:tc>
      </w:tr>
      <w:tr>
        <w:trPr>
          <w:cantSplit/>
          <w:tblHeader w:val="off"/>
        </w:trPr>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Interference, four items</w:t>
            </w:r>
          </w:p>
        </w:tc>
        <w:tc>
          <w:tcPr>
            <w:tcW w:type="dxa" w:w="117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Experienced</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.86</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.86</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.83</w:t>
            </w:r>
          </w:p>
        </w:tc>
        <w:tc>
          <w:tcPr>
            <w:tcW w:type="dxa" w:w="135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.70–.87</w:t>
            </w:r>
          </w:p>
        </w:tc>
      </w:tr>
      <w:tr>
        <w:trPr>
          <w:cantSplit/>
          <w:tblHeader w:val="off"/>
        </w:trPr>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Interference, three items</w:t>
            </w:r>
          </w:p>
        </w:tc>
        <w:tc>
          <w:tcPr>
            <w:tcW w:type="dxa" w:w="117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Experienced</w:t>
            </w:r>
          </w:p>
        </w:tc>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.83</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.82</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.79</w:t>
            </w:r>
          </w:p>
        </w:tc>
        <w:tc>
          <w:tcPr>
            <w:tcW w:type="dxa" w:w="135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.61–.94</w:t>
            </w:r>
          </w:p>
        </w:tc>
      </w:tr>
      <w:tr>
        <w:trPr>
          <w:cantSplit/>
          <w:tblHeader w:val="off"/>
        </w:trPr>
        <w:tc>
          <w:tcPr>
            <w:tcW w:type="dxa" w:w="2708"/>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Interference, eight items</w:t>
            </w:r>
          </w:p>
        </w:tc>
        <w:tc>
          <w:tcPr>
            <w:tcW w:type="dxa" w:w="117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Experienced</w:t>
            </w:r>
          </w:p>
        </w:tc>
        <w:tc>
          <w:tcPr>
            <w:tcW w:type="dxa" w:w="72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w:t>
            </w:r>
          </w:p>
        </w:tc>
        <w:tc>
          <w:tcPr>
            <w:tcW w:type="dxa" w:w="90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.91</w:t>
            </w:r>
          </w:p>
        </w:tc>
        <w:tc>
          <w:tcPr>
            <w:tcW w:type="dxa" w:w="108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.91</w:t>
            </w:r>
          </w:p>
        </w:tc>
        <w:tc>
          <w:tcPr>
            <w:tcW w:type="dxa" w:w="108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.89</w:t>
            </w:r>
          </w:p>
        </w:tc>
        <w:tc>
          <w:tcPr>
            <w:tcW w:type="dxa" w:w="135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.68–.86</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Full = analytic sample; Experienced = relationship-experienced students (</w:t>
      </w:r>
      <w:r>
        <w:rPr>
          <w:rFonts w:ascii="Times New Roman" w:cs="Times New Roman" w:eastAsia="Times New Roman" w:hAnsi="Times New Roman"/>
          <w:i/>
          <w:iCs/>
          <w:sz w:val="17"/>
          <w:szCs w:val="17"/>
        </w:rPr>
        <w:t xml:space="preserve">n</w:t>
      </w:r>
      <w:r>
        <w:rPr>
          <w:rFonts w:ascii="Times New Roman" w:cs="Times New Roman" w:eastAsia="Times New Roman" w:hAnsi="Times New Roman"/>
          <w:sz w:val="17"/>
          <w:szCs w:val="17"/>
        </w:rPr>
        <w:t xml:space="preserve"> = 128). For two-item engagement, ω and ordinal α coincide. The four-item interference scale correlated .95 with the eight-item scale.</w:t>
      </w:r>
    </w:p>
    <w:p>
      <w:pPr>
        <w:keepNext/>
        <w:spacing w:after="80" w:before="240" w:line="276"/>
        <w:jc w:val="left"/>
      </w:pPr>
      <w:r>
        <w:rPr>
          <w:rFonts w:ascii="Times New Roman" w:cs="Times New Roman" w:eastAsia="Times New Roman" w:hAnsi="Times New Roman"/>
          <w:b/>
          <w:bCs/>
          <w:sz w:val="22"/>
          <w:szCs w:val="22"/>
        </w:rPr>
        <w:t xml:space="preserve">Table S4e </w:t>
      </w:r>
      <w:r>
        <w:rPr>
          <w:rFonts w:ascii="Times New Roman" w:cs="Times New Roman" w:eastAsia="Times New Roman" w:hAnsi="Times New Roman"/>
          <w:sz w:val="22"/>
          <w:szCs w:val="22"/>
        </w:rPr>
        <w:t xml:space="preserve">Heterotrait–monotrait ratios, general constructs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 260)</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8"/>
        <w:gridCol w:w="1264"/>
        <w:gridCol w:w="1264"/>
        <w:gridCol w:w="1264"/>
        <w:gridCol w:w="1264"/>
        <w:gridCol w:w="1262"/>
      </w:tblGrid>
      <w:tr>
        <w:trPr>
          <w:cantSplit/>
          <w:tblHeader/>
        </w:trPr>
        <w:tc>
          <w:tcPr>
            <w:tcW w:type="dxa" w:w="2708"/>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p>
        </w:tc>
        <w:tc>
          <w:tcPr>
            <w:tcW w:type="dxa" w:w="126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Psychological well-being</w:t>
            </w:r>
          </w:p>
        </w:tc>
        <w:tc>
          <w:tcPr>
            <w:tcW w:type="dxa" w:w="126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Campus social integration</w:t>
            </w:r>
          </w:p>
        </w:tc>
        <w:tc>
          <w:tcPr>
            <w:tcW w:type="dxa" w:w="126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Achievement motivation</w:t>
            </w:r>
          </w:p>
        </w:tc>
        <w:tc>
          <w:tcPr>
            <w:tcW w:type="dxa" w:w="126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Perceived social support</w:t>
            </w:r>
          </w:p>
        </w:tc>
        <w:tc>
          <w:tcPr>
            <w:tcW w:type="dxa" w:w="126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Academic engagement</w:t>
            </w:r>
          </w:p>
        </w:tc>
      </w:tr>
      <w:tr>
        <w:trPr>
          <w:cantSplit/>
          <w:tblHeader w:val="off"/>
        </w:trPr>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Psychological well-being</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126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r>
      <w:tr>
        <w:trPr>
          <w:cantSplit/>
          <w:tblHeader w:val="off"/>
        </w:trPr>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Campus social integration</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.78</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126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r>
      <w:tr>
        <w:trPr>
          <w:cantSplit/>
          <w:tblHeader w:val="off"/>
        </w:trPr>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Achievement motivation</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.58</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.50</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126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r>
      <w:tr>
        <w:trPr>
          <w:cantSplit/>
          <w:tblHeader w:val="off"/>
        </w:trPr>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Perceived social support</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.79</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.84</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.47</w:t>
            </w:r>
          </w:p>
        </w:tc>
        <w:tc>
          <w:tcPr>
            <w:tcW w:type="dxa" w:w="12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126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r>
      <w:tr>
        <w:trPr>
          <w:cantSplit/>
          <w:tblHeader w:val="off"/>
        </w:trPr>
        <w:tc>
          <w:tcPr>
            <w:tcW w:type="dxa" w:w="2708"/>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Academic engagement</w:t>
            </w:r>
          </w:p>
        </w:tc>
        <w:tc>
          <w:tcPr>
            <w:tcW w:type="dxa" w:w="126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.40</w:t>
            </w:r>
          </w:p>
        </w:tc>
        <w:tc>
          <w:tcPr>
            <w:tcW w:type="dxa" w:w="126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.47</w:t>
            </w:r>
          </w:p>
        </w:tc>
        <w:tc>
          <w:tcPr>
            <w:tcW w:type="dxa" w:w="126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.74</w:t>
            </w:r>
          </w:p>
        </w:tc>
        <w:tc>
          <w:tcPr>
            <w:tcW w:type="dxa" w:w="126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.36</w:t>
            </w:r>
          </w:p>
        </w:tc>
        <w:tc>
          <w:tcPr>
            <w:tcW w:type="dxa" w:w="126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p>
        </w:tc>
      </w:tr>
    </w:tbl>
    <w:p>
      <w:pPr>
        <w:keepNext/>
        <w:spacing w:after="80" w:before="240" w:line="276"/>
        <w:jc w:val="left"/>
      </w:pPr>
      <w:r>
        <w:rPr>
          <w:rFonts w:ascii="Times New Roman" w:cs="Times New Roman" w:eastAsia="Times New Roman" w:hAnsi="Times New Roman"/>
          <w:b/>
          <w:bCs/>
          <w:sz w:val="22"/>
          <w:szCs w:val="22"/>
        </w:rPr>
        <w:t xml:space="preserve">Table S4f </w:t>
      </w:r>
      <w:r>
        <w:rPr>
          <w:rFonts w:ascii="Times New Roman" w:cs="Times New Roman" w:eastAsia="Times New Roman" w:hAnsi="Times New Roman"/>
          <w:sz w:val="22"/>
          <w:szCs w:val="22"/>
        </w:rPr>
        <w:t xml:space="preserve">Heterotrait–monotrait ratios, relationship-experienced students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 128)</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05"/>
        <w:gridCol w:w="903"/>
        <w:gridCol w:w="903"/>
        <w:gridCol w:w="903"/>
        <w:gridCol w:w="903"/>
        <w:gridCol w:w="903"/>
        <w:gridCol w:w="903"/>
        <w:gridCol w:w="903"/>
        <w:gridCol w:w="900"/>
      </w:tblGrid>
      <w:tr>
        <w:trPr>
          <w:cantSplit/>
          <w:tblHeader/>
        </w:trPr>
        <w:tc>
          <w:tcPr>
            <w:tcW w:type="dxa" w:w="180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p>
        </w:tc>
        <w:tc>
          <w:tcPr>
            <w:tcW w:type="dxa" w:w="90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5"/>
                <w:szCs w:val="15"/>
              </w:rPr>
              <w:t xml:space="preserve">Psychological well-being</w:t>
            </w:r>
          </w:p>
        </w:tc>
        <w:tc>
          <w:tcPr>
            <w:tcW w:type="dxa" w:w="90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5"/>
                <w:szCs w:val="15"/>
              </w:rPr>
              <w:t xml:space="preserve">Campus social integration</w:t>
            </w:r>
          </w:p>
        </w:tc>
        <w:tc>
          <w:tcPr>
            <w:tcW w:type="dxa" w:w="90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5"/>
                <w:szCs w:val="15"/>
              </w:rPr>
              <w:t xml:space="preserve">Achievement motivation</w:t>
            </w:r>
          </w:p>
        </w:tc>
        <w:tc>
          <w:tcPr>
            <w:tcW w:type="dxa" w:w="90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5"/>
                <w:szCs w:val="15"/>
              </w:rPr>
              <w:t xml:space="preserve">Perceived social support</w:t>
            </w:r>
          </w:p>
        </w:tc>
        <w:tc>
          <w:tcPr>
            <w:tcW w:type="dxa" w:w="90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5"/>
                <w:szCs w:val="15"/>
              </w:rPr>
              <w:t xml:space="preserve">Academic engagement</w:t>
            </w:r>
          </w:p>
        </w:tc>
        <w:tc>
          <w:tcPr>
            <w:tcW w:type="dxa" w:w="90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5"/>
                <w:szCs w:val="15"/>
              </w:rPr>
              <w:t xml:space="preserve">Relationship quality</w:t>
            </w:r>
          </w:p>
        </w:tc>
        <w:tc>
          <w:tcPr>
            <w:tcW w:type="dxa" w:w="90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5"/>
                <w:szCs w:val="15"/>
              </w:rPr>
              <w:t xml:space="preserve">Relationship strain</w:t>
            </w:r>
          </w:p>
        </w:tc>
        <w:tc>
          <w:tcPr>
            <w:tcW w:type="dxa" w:w="900"/>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5"/>
                <w:szCs w:val="15"/>
              </w:rPr>
              <w:t xml:space="preserve">Interference, eight items</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5"/>
                <w:szCs w:val="15"/>
              </w:rPr>
              <w:t xml:space="preserve">Psychological well-being</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5"/>
                <w:szCs w:val="15"/>
              </w:rPr>
              <w:t xml:space="preserve">Campus social integration</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.79</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5"/>
                <w:szCs w:val="15"/>
              </w:rPr>
              <w:t xml:space="preserve">Achievement motivation</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.63</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.57</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5"/>
                <w:szCs w:val="15"/>
              </w:rPr>
              <w:t xml:space="preserve">Perceived social support</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.70</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.81</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.44</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5"/>
                <w:szCs w:val="15"/>
              </w:rPr>
              <w:t xml:space="preserve">Academic engagement</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.39</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.46</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.56</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.23</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5"/>
                <w:szCs w:val="15"/>
              </w:rPr>
              <w:t xml:space="preserve">Relationship quality</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.46</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.44</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.38</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.21</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.34</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5"/>
                <w:szCs w:val="15"/>
              </w:rPr>
              <w:t xml:space="preserve">Relationship strain</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.36</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.28</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.31</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.22</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.33</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.62</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c>
          <w:tcPr>
            <w:tcW w:type="dxa" w:w="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p>
        </w:tc>
      </w:tr>
      <w:tr>
        <w:trPr>
          <w:cantSplit/>
          <w:tblHeader w:val="off"/>
        </w:trPr>
        <w:tc>
          <w:tcPr>
            <w:tcW w:type="dxa" w:w="180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5"/>
                <w:szCs w:val="15"/>
              </w:rPr>
              <w:t xml:space="preserve">Interference, eight items</w:t>
            </w:r>
          </w:p>
        </w:tc>
        <w:tc>
          <w:tcPr>
            <w:tcW w:type="dxa" w:w="90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.21</w:t>
            </w:r>
          </w:p>
        </w:tc>
        <w:tc>
          <w:tcPr>
            <w:tcW w:type="dxa" w:w="90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.17</w:t>
            </w:r>
          </w:p>
        </w:tc>
        <w:tc>
          <w:tcPr>
            <w:tcW w:type="dxa" w:w="90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.40</w:t>
            </w:r>
          </w:p>
        </w:tc>
        <w:tc>
          <w:tcPr>
            <w:tcW w:type="dxa" w:w="90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.28</w:t>
            </w:r>
          </w:p>
        </w:tc>
        <w:tc>
          <w:tcPr>
            <w:tcW w:type="dxa" w:w="90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.40</w:t>
            </w:r>
          </w:p>
        </w:tc>
        <w:tc>
          <w:tcPr>
            <w:tcW w:type="dxa" w:w="90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.35</w:t>
            </w:r>
          </w:p>
        </w:tc>
        <w:tc>
          <w:tcPr>
            <w:tcW w:type="dxa" w:w="90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5"/>
                <w:szCs w:val="15"/>
              </w:rPr>
              <w:t xml:space="preserve">.84</w:t>
            </w:r>
          </w:p>
        </w:tc>
        <w:tc>
          <w:tcPr>
            <w:tcW w:type="dxa" w:w="900"/>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Ratios above .85 indicate insufficient discriminant validity. With the four-item interference scale, HTMT was .885 for strain and .374 for quality.</w:t>
      </w:r>
    </w:p>
    <w:p>
      <w:pPr>
        <w:sectPr>
          <w:footerReference w:type="default" r:id="rId6"/>
          <w:pgSz w:w="11906" w:h="16838" w:orient="portrait"/>
          <w:pgMar w:top="1440" w:right="1440" w:bottom="1440" w:left="1440" w:header="708" w:footer="708" w:gutter="0"/>
          <w:pgNumType/>
          <w:docGrid w:linePitch="360"/>
        </w:sectPr>
      </w:pPr>
    </w:p>
    <w:p>
      <w:pPr>
        <w:pStyle w:val="Heading1"/>
        <w:keepNext/>
        <w:spacing w:after="0" w:before="0" w:line="276"/>
        <w:jc w:val="left"/>
      </w:pPr>
      <w:r>
        <w:rPr>
          <w:rFonts w:ascii="Times New Roman" w:cs="Times New Roman" w:eastAsia="Times New Roman" w:hAnsi="Times New Roman"/>
          <w:sz w:val="22"/>
          <w:szCs w:val="22"/>
        </w:rPr>
        <w:t xml:space="preserve">S5 Complete model results</w:t>
      </w:r>
    </w:p>
    <w:p>
      <w:pPr>
        <w:keepNext/>
        <w:spacing w:after="80" w:before="240" w:line="276"/>
        <w:jc w:val="left"/>
      </w:pPr>
      <w:r>
        <w:rPr>
          <w:rFonts w:ascii="Times New Roman" w:cs="Times New Roman" w:eastAsia="Times New Roman" w:hAnsi="Times New Roman"/>
          <w:b/>
          <w:bCs/>
          <w:sz w:val="22"/>
          <w:szCs w:val="22"/>
        </w:rPr>
        <w:t xml:space="preserve">Table S5a </w:t>
      </w:r>
      <w:r>
        <w:rPr>
          <w:rFonts w:ascii="Times New Roman" w:cs="Times New Roman" w:eastAsia="Times New Roman" w:hAnsi="Times New Roman"/>
          <w:sz w:val="22"/>
          <w:szCs w:val="22"/>
        </w:rPr>
        <w:t xml:space="preserve">Relationship status models: complete coefficients (reference categories: never in a relationship, man, first year, Arts, living locally)</w:t>
      </w:r>
    </w:p>
    <w:tbl>
      <w:tblPr>
        <w:tblW w:type="dxa" w:w="1395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02"/>
        <w:gridCol w:w="1551"/>
        <w:gridCol w:w="1551"/>
        <w:gridCol w:w="1551"/>
        <w:gridCol w:w="1551"/>
        <w:gridCol w:w="1551"/>
        <w:gridCol w:w="1551"/>
        <w:gridCol w:w="1550"/>
      </w:tblGrid>
      <w:tr>
        <w:trPr>
          <w:cantSplit/>
          <w:tblHeader/>
        </w:trPr>
        <w:tc>
          <w:tcPr>
            <w:tcW w:type="dxa" w:w="310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Term</w:t>
            </w:r>
          </w:p>
        </w:tc>
        <w:tc>
          <w:tcPr>
            <w:tcW w:type="dxa" w:w="1551"/>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Grade (ordinal)</w:t>
            </w:r>
          </w:p>
        </w:tc>
        <w:tc>
          <w:tcPr>
            <w:tcW w:type="dxa" w:w="1551"/>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Engagement</w:t>
            </w:r>
          </w:p>
        </w:tc>
        <w:tc>
          <w:tcPr>
            <w:tcW w:type="dxa" w:w="1551"/>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Motivation</w:t>
            </w:r>
          </w:p>
        </w:tc>
        <w:tc>
          <w:tcPr>
            <w:tcW w:type="dxa" w:w="1551"/>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Well-being</w:t>
            </w:r>
          </w:p>
        </w:tc>
        <w:tc>
          <w:tcPr>
            <w:tcW w:type="dxa" w:w="1551"/>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Integration</w:t>
            </w:r>
          </w:p>
        </w:tc>
        <w:tc>
          <w:tcPr>
            <w:tcW w:type="dxa" w:w="1551"/>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Support</w:t>
            </w:r>
          </w:p>
        </w:tc>
        <w:tc>
          <w:tcPr>
            <w:tcW w:type="dxa" w:w="1550"/>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Life satisfaction (ordinal)</w:t>
            </w:r>
          </w:p>
        </w:tc>
      </w:tr>
      <w:tr>
        <w:trPr>
          <w:cantSplit/>
          <w:tblHeader w:val="off"/>
        </w:trPr>
        <w:tc>
          <w:tcPr>
            <w:tcW w:type="dxa" w:w="31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Stable relationship</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−0.66 (0.31)</w:t>
            </w:r>
          </w:p>
          <w:p>
            <w:pPr>
              <w:spacing w:after="20" w:before="20" w:line="240"/>
              <w:jc w:val="center"/>
            </w:pPr>
            <w:r>
              <w:rPr>
                <w:rFonts w:ascii="Times New Roman" w:cs="Times New Roman" w:eastAsia="Times New Roman" w:hAnsi="Times New Roman"/>
                <w:sz w:val="16"/>
                <w:szCs w:val="16"/>
              </w:rPr>
              <w:t xml:space="preserve">.032</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0.26 (0.14)</w:t>
            </w:r>
          </w:p>
          <w:p>
            <w:pPr>
              <w:spacing w:after="20" w:before="20" w:line="240"/>
              <w:jc w:val="center"/>
            </w:pPr>
            <w:r>
              <w:rPr>
                <w:rFonts w:ascii="Times New Roman" w:cs="Times New Roman" w:eastAsia="Times New Roman" w:hAnsi="Times New Roman"/>
                <w:sz w:val="16"/>
                <w:szCs w:val="16"/>
              </w:rPr>
              <w:t xml:space="preserve">.067</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0.26 (0.13)</w:t>
            </w:r>
          </w:p>
          <w:p>
            <w:pPr>
              <w:spacing w:after="20" w:before="20" w:line="240"/>
              <w:jc w:val="center"/>
            </w:pPr>
            <w:r>
              <w:rPr>
                <w:rFonts w:ascii="Times New Roman" w:cs="Times New Roman" w:eastAsia="Times New Roman" w:hAnsi="Times New Roman"/>
                <w:sz w:val="16"/>
                <w:szCs w:val="16"/>
              </w:rPr>
              <w:t xml:space="preserve">.047</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0.43 (0.14)</w:t>
            </w:r>
          </w:p>
          <w:p>
            <w:pPr>
              <w:spacing w:after="20" w:before="20" w:line="240"/>
              <w:jc w:val="center"/>
            </w:pPr>
            <w:r>
              <w:rPr>
                <w:rFonts w:ascii="Times New Roman" w:cs="Times New Roman" w:eastAsia="Times New Roman" w:hAnsi="Times New Roman"/>
                <w:sz w:val="16"/>
                <w:szCs w:val="16"/>
              </w:rPr>
              <w:t xml:space="preserve">.002</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0.48 (0.14)</w:t>
            </w:r>
          </w:p>
          <w:p>
            <w:pPr>
              <w:spacing w:after="20" w:before="20" w:line="240"/>
              <w:jc w:val="center"/>
            </w:pPr>
            <w:r>
              <w:rPr>
                <w:rFonts w:ascii="Times New Roman" w:cs="Times New Roman" w:eastAsia="Times New Roman" w:hAnsi="Times New Roman"/>
                <w:sz w:val="16"/>
                <w:szCs w:val="16"/>
              </w:rPr>
              <w:t xml:space="preserve">&lt; .001</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0.13 (0.15)</w:t>
            </w:r>
          </w:p>
          <w:p>
            <w:pPr>
              <w:spacing w:after="20" w:before="20" w:line="240"/>
              <w:jc w:val="center"/>
            </w:pPr>
            <w:r>
              <w:rPr>
                <w:rFonts w:ascii="Times New Roman" w:cs="Times New Roman" w:eastAsia="Times New Roman" w:hAnsi="Times New Roman"/>
                <w:sz w:val="16"/>
                <w:szCs w:val="16"/>
              </w:rPr>
              <w:t xml:space="preserve">.407</w:t>
            </w:r>
          </w:p>
        </w:tc>
        <w:tc>
          <w:tcPr>
            <w:tcW w:type="dxa" w:w="155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0.43 (0.28)</w:t>
            </w:r>
          </w:p>
          <w:p>
            <w:pPr>
              <w:spacing w:after="20" w:before="20" w:line="240"/>
              <w:jc w:val="center"/>
            </w:pPr>
            <w:r>
              <w:rPr>
                <w:rFonts w:ascii="Times New Roman" w:cs="Times New Roman" w:eastAsia="Times New Roman" w:hAnsi="Times New Roman"/>
                <w:sz w:val="16"/>
                <w:szCs w:val="16"/>
              </w:rPr>
              <w:t xml:space="preserve">.134</w:t>
            </w:r>
          </w:p>
        </w:tc>
      </w:tr>
      <w:tr>
        <w:trPr>
          <w:cantSplit/>
          <w:tblHeader w:val="off"/>
        </w:trPr>
        <w:tc>
          <w:tcPr>
            <w:tcW w:type="dxa" w:w="31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Troubled relationship</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−0.83 (0.52)</w:t>
            </w:r>
          </w:p>
          <w:p>
            <w:pPr>
              <w:spacing w:after="20" w:before="20" w:line="240"/>
              <w:jc w:val="center"/>
            </w:pPr>
            <w:r>
              <w:rPr>
                <w:rFonts w:ascii="Times New Roman" w:cs="Times New Roman" w:eastAsia="Times New Roman" w:hAnsi="Times New Roman"/>
                <w:sz w:val="16"/>
                <w:szCs w:val="16"/>
              </w:rPr>
              <w:t xml:space="preserve">.112</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−0.23 (0.41)</w:t>
            </w:r>
          </w:p>
          <w:p>
            <w:pPr>
              <w:spacing w:after="20" w:before="20" w:line="240"/>
              <w:jc w:val="center"/>
            </w:pPr>
            <w:r>
              <w:rPr>
                <w:rFonts w:ascii="Times New Roman" w:cs="Times New Roman" w:eastAsia="Times New Roman" w:hAnsi="Times New Roman"/>
                <w:sz w:val="16"/>
                <w:szCs w:val="16"/>
              </w:rPr>
              <w:t xml:space="preserve">.575</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−0.33 (0.31)</w:t>
            </w:r>
          </w:p>
          <w:p>
            <w:pPr>
              <w:spacing w:after="20" w:before="20" w:line="240"/>
              <w:jc w:val="center"/>
            </w:pPr>
            <w:r>
              <w:rPr>
                <w:rFonts w:ascii="Times New Roman" w:cs="Times New Roman" w:eastAsia="Times New Roman" w:hAnsi="Times New Roman"/>
                <w:sz w:val="16"/>
                <w:szCs w:val="16"/>
              </w:rPr>
              <w:t xml:space="preserve">.289</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−0.56 (0.27)</w:t>
            </w:r>
          </w:p>
          <w:p>
            <w:pPr>
              <w:spacing w:after="20" w:before="20" w:line="240"/>
              <w:jc w:val="center"/>
            </w:pPr>
            <w:r>
              <w:rPr>
                <w:rFonts w:ascii="Times New Roman" w:cs="Times New Roman" w:eastAsia="Times New Roman" w:hAnsi="Times New Roman"/>
                <w:sz w:val="16"/>
                <w:szCs w:val="16"/>
              </w:rPr>
              <w:t xml:space="preserve">.040</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0.08 (0.29)</w:t>
            </w:r>
          </w:p>
          <w:p>
            <w:pPr>
              <w:spacing w:after="20" w:before="20" w:line="240"/>
              <w:jc w:val="center"/>
            </w:pPr>
            <w:r>
              <w:rPr>
                <w:rFonts w:ascii="Times New Roman" w:cs="Times New Roman" w:eastAsia="Times New Roman" w:hAnsi="Times New Roman"/>
                <w:sz w:val="16"/>
                <w:szCs w:val="16"/>
              </w:rPr>
              <w:t xml:space="preserve">.779</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−0.09 (0.26)</w:t>
            </w:r>
          </w:p>
          <w:p>
            <w:pPr>
              <w:spacing w:after="20" w:before="20" w:line="240"/>
              <w:jc w:val="center"/>
            </w:pPr>
            <w:r>
              <w:rPr>
                <w:rFonts w:ascii="Times New Roman" w:cs="Times New Roman" w:eastAsia="Times New Roman" w:hAnsi="Times New Roman"/>
                <w:sz w:val="16"/>
                <w:szCs w:val="16"/>
              </w:rPr>
              <w:t xml:space="preserve">.731</w:t>
            </w:r>
          </w:p>
        </w:tc>
        <w:tc>
          <w:tcPr>
            <w:tcW w:type="dxa" w:w="155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−0.88 (0.48)</w:t>
            </w:r>
          </w:p>
          <w:p>
            <w:pPr>
              <w:spacing w:after="20" w:before="20" w:line="240"/>
              <w:jc w:val="center"/>
            </w:pPr>
            <w:r>
              <w:rPr>
                <w:rFonts w:ascii="Times New Roman" w:cs="Times New Roman" w:eastAsia="Times New Roman" w:hAnsi="Times New Roman"/>
                <w:sz w:val="16"/>
                <w:szCs w:val="16"/>
              </w:rPr>
              <w:t xml:space="preserve">.065</w:t>
            </w:r>
          </w:p>
        </w:tc>
      </w:tr>
      <w:tr>
        <w:trPr>
          <w:cantSplit/>
          <w:tblHeader w:val="off"/>
        </w:trPr>
        <w:tc>
          <w:tcPr>
            <w:tcW w:type="dxa" w:w="31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Relationship ended</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−0.78 (0.36)</w:t>
            </w:r>
          </w:p>
          <w:p>
            <w:pPr>
              <w:spacing w:after="20" w:before="20" w:line="240"/>
              <w:jc w:val="center"/>
            </w:pPr>
            <w:r>
              <w:rPr>
                <w:rFonts w:ascii="Times New Roman" w:cs="Times New Roman" w:eastAsia="Times New Roman" w:hAnsi="Times New Roman"/>
                <w:sz w:val="16"/>
                <w:szCs w:val="16"/>
              </w:rPr>
              <w:t xml:space="preserve">.033</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0.06 (0.19)</w:t>
            </w:r>
          </w:p>
          <w:p>
            <w:pPr>
              <w:spacing w:after="20" w:before="20" w:line="240"/>
              <w:jc w:val="center"/>
            </w:pPr>
            <w:r>
              <w:rPr>
                <w:rFonts w:ascii="Times New Roman" w:cs="Times New Roman" w:eastAsia="Times New Roman" w:hAnsi="Times New Roman"/>
                <w:sz w:val="16"/>
                <w:szCs w:val="16"/>
              </w:rPr>
              <w:t xml:space="preserve">.752</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−0.11 (0.20)</w:t>
            </w:r>
          </w:p>
          <w:p>
            <w:pPr>
              <w:spacing w:after="20" w:before="20" w:line="240"/>
              <w:jc w:val="center"/>
            </w:pPr>
            <w:r>
              <w:rPr>
                <w:rFonts w:ascii="Times New Roman" w:cs="Times New Roman" w:eastAsia="Times New Roman" w:hAnsi="Times New Roman"/>
                <w:sz w:val="16"/>
                <w:szCs w:val="16"/>
              </w:rPr>
              <w:t xml:space="preserve">.577</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0.01 (0.19)</w:t>
            </w:r>
          </w:p>
          <w:p>
            <w:pPr>
              <w:spacing w:after="20" w:before="20" w:line="240"/>
              <w:jc w:val="center"/>
            </w:pPr>
            <w:r>
              <w:rPr>
                <w:rFonts w:ascii="Times New Roman" w:cs="Times New Roman" w:eastAsia="Times New Roman" w:hAnsi="Times New Roman"/>
                <w:sz w:val="16"/>
                <w:szCs w:val="16"/>
              </w:rPr>
              <w:t xml:space="preserve">.941</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0.06 (0.20)</w:t>
            </w:r>
          </w:p>
          <w:p>
            <w:pPr>
              <w:spacing w:after="20" w:before="20" w:line="240"/>
              <w:jc w:val="center"/>
            </w:pPr>
            <w:r>
              <w:rPr>
                <w:rFonts w:ascii="Times New Roman" w:cs="Times New Roman" w:eastAsia="Times New Roman" w:hAnsi="Times New Roman"/>
                <w:sz w:val="16"/>
                <w:szCs w:val="16"/>
              </w:rPr>
              <w:t xml:space="preserve">.757</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0.11 (0.20)</w:t>
            </w:r>
          </w:p>
          <w:p>
            <w:pPr>
              <w:spacing w:after="20" w:before="20" w:line="240"/>
              <w:jc w:val="center"/>
            </w:pPr>
            <w:r>
              <w:rPr>
                <w:rFonts w:ascii="Times New Roman" w:cs="Times New Roman" w:eastAsia="Times New Roman" w:hAnsi="Times New Roman"/>
                <w:sz w:val="16"/>
                <w:szCs w:val="16"/>
              </w:rPr>
              <w:t xml:space="preserve">.573</w:t>
            </w:r>
          </w:p>
        </w:tc>
        <w:tc>
          <w:tcPr>
            <w:tcW w:type="dxa" w:w="155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−0.39 (0.37)</w:t>
            </w:r>
          </w:p>
          <w:p>
            <w:pPr>
              <w:spacing w:after="20" w:before="20" w:line="240"/>
              <w:jc w:val="center"/>
            </w:pPr>
            <w:r>
              <w:rPr>
                <w:rFonts w:ascii="Times New Roman" w:cs="Times New Roman" w:eastAsia="Times New Roman" w:hAnsi="Times New Roman"/>
                <w:sz w:val="16"/>
                <w:szCs w:val="16"/>
              </w:rPr>
              <w:t xml:space="preserve">.296</w:t>
            </w:r>
          </w:p>
        </w:tc>
      </w:tr>
      <w:tr>
        <w:trPr>
          <w:cantSplit/>
          <w:tblHeader w:val="off"/>
        </w:trPr>
        <w:tc>
          <w:tcPr>
            <w:tcW w:type="dxa" w:w="31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Woman</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0.53 (0.33)</w:t>
            </w:r>
          </w:p>
          <w:p>
            <w:pPr>
              <w:spacing w:after="20" w:before="20" w:line="240"/>
              <w:jc w:val="center"/>
            </w:pPr>
            <w:r>
              <w:rPr>
                <w:rFonts w:ascii="Times New Roman" w:cs="Times New Roman" w:eastAsia="Times New Roman" w:hAnsi="Times New Roman"/>
                <w:sz w:val="16"/>
                <w:szCs w:val="16"/>
              </w:rPr>
              <w:t xml:space="preserve">.108</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−0.13 (0.16)</w:t>
            </w:r>
          </w:p>
          <w:p>
            <w:pPr>
              <w:spacing w:after="20" w:before="20" w:line="240"/>
              <w:jc w:val="center"/>
            </w:pPr>
            <w:r>
              <w:rPr>
                <w:rFonts w:ascii="Times New Roman" w:cs="Times New Roman" w:eastAsia="Times New Roman" w:hAnsi="Times New Roman"/>
                <w:sz w:val="16"/>
                <w:szCs w:val="16"/>
              </w:rPr>
              <w:t xml:space="preserve">.436</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−0.17 (0.14)</w:t>
            </w:r>
          </w:p>
          <w:p>
            <w:pPr>
              <w:spacing w:after="20" w:before="20" w:line="240"/>
              <w:jc w:val="center"/>
            </w:pPr>
            <w:r>
              <w:rPr>
                <w:rFonts w:ascii="Times New Roman" w:cs="Times New Roman" w:eastAsia="Times New Roman" w:hAnsi="Times New Roman"/>
                <w:sz w:val="16"/>
                <w:szCs w:val="16"/>
              </w:rPr>
              <w:t xml:space="preserve">.239</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0.15 (0.16)</w:t>
            </w:r>
          </w:p>
          <w:p>
            <w:pPr>
              <w:spacing w:after="20" w:before="20" w:line="240"/>
              <w:jc w:val="center"/>
            </w:pPr>
            <w:r>
              <w:rPr>
                <w:rFonts w:ascii="Times New Roman" w:cs="Times New Roman" w:eastAsia="Times New Roman" w:hAnsi="Times New Roman"/>
                <w:sz w:val="16"/>
                <w:szCs w:val="16"/>
              </w:rPr>
              <w:t xml:space="preserve">.359</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0.08 (0.16)</w:t>
            </w:r>
          </w:p>
          <w:p>
            <w:pPr>
              <w:spacing w:after="20" w:before="20" w:line="240"/>
              <w:jc w:val="center"/>
            </w:pPr>
            <w:r>
              <w:rPr>
                <w:rFonts w:ascii="Times New Roman" w:cs="Times New Roman" w:eastAsia="Times New Roman" w:hAnsi="Times New Roman"/>
                <w:sz w:val="16"/>
                <w:szCs w:val="16"/>
              </w:rPr>
              <w:t xml:space="preserve">.598</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0.07 (0.17)</w:t>
            </w:r>
          </w:p>
          <w:p>
            <w:pPr>
              <w:spacing w:after="20" w:before="20" w:line="240"/>
              <w:jc w:val="center"/>
            </w:pPr>
            <w:r>
              <w:rPr>
                <w:rFonts w:ascii="Times New Roman" w:cs="Times New Roman" w:eastAsia="Times New Roman" w:hAnsi="Times New Roman"/>
                <w:sz w:val="16"/>
                <w:szCs w:val="16"/>
              </w:rPr>
              <w:t xml:space="preserve">.668</w:t>
            </w:r>
          </w:p>
        </w:tc>
        <w:tc>
          <w:tcPr>
            <w:tcW w:type="dxa" w:w="155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0.36 (0.31)</w:t>
            </w:r>
          </w:p>
          <w:p>
            <w:pPr>
              <w:spacing w:after="20" w:before="20" w:line="240"/>
              <w:jc w:val="center"/>
            </w:pPr>
            <w:r>
              <w:rPr>
                <w:rFonts w:ascii="Times New Roman" w:cs="Times New Roman" w:eastAsia="Times New Roman" w:hAnsi="Times New Roman"/>
                <w:sz w:val="16"/>
                <w:szCs w:val="16"/>
              </w:rPr>
              <w:t xml:space="preserve">.235</w:t>
            </w:r>
          </w:p>
        </w:tc>
      </w:tr>
      <w:tr>
        <w:trPr>
          <w:cantSplit/>
          <w:tblHeader w:val="off"/>
        </w:trPr>
        <w:tc>
          <w:tcPr>
            <w:tcW w:type="dxa" w:w="31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Second year</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−0.05 (0.41)</w:t>
            </w:r>
          </w:p>
          <w:p>
            <w:pPr>
              <w:spacing w:after="20" w:before="20" w:line="240"/>
              <w:jc w:val="center"/>
            </w:pPr>
            <w:r>
              <w:rPr>
                <w:rFonts w:ascii="Times New Roman" w:cs="Times New Roman" w:eastAsia="Times New Roman" w:hAnsi="Times New Roman"/>
                <w:sz w:val="16"/>
                <w:szCs w:val="16"/>
              </w:rPr>
              <w:t xml:space="preserve">.907</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0.10 (0.26)</w:t>
            </w:r>
          </w:p>
          <w:p>
            <w:pPr>
              <w:spacing w:after="20" w:before="20" w:line="240"/>
              <w:jc w:val="center"/>
            </w:pPr>
            <w:r>
              <w:rPr>
                <w:rFonts w:ascii="Times New Roman" w:cs="Times New Roman" w:eastAsia="Times New Roman" w:hAnsi="Times New Roman"/>
                <w:sz w:val="16"/>
                <w:szCs w:val="16"/>
              </w:rPr>
              <w:t xml:space="preserve">.685</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−0.47 (0.24)</w:t>
            </w:r>
          </w:p>
          <w:p>
            <w:pPr>
              <w:spacing w:after="20" w:before="20" w:line="240"/>
              <w:jc w:val="center"/>
            </w:pPr>
            <w:r>
              <w:rPr>
                <w:rFonts w:ascii="Times New Roman" w:cs="Times New Roman" w:eastAsia="Times New Roman" w:hAnsi="Times New Roman"/>
                <w:sz w:val="16"/>
                <w:szCs w:val="16"/>
              </w:rPr>
              <w:t xml:space="preserve">.053</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−0.23 (0.22)</w:t>
            </w:r>
          </w:p>
          <w:p>
            <w:pPr>
              <w:spacing w:after="20" w:before="20" w:line="240"/>
              <w:jc w:val="center"/>
            </w:pPr>
            <w:r>
              <w:rPr>
                <w:rFonts w:ascii="Times New Roman" w:cs="Times New Roman" w:eastAsia="Times New Roman" w:hAnsi="Times New Roman"/>
                <w:sz w:val="16"/>
                <w:szCs w:val="16"/>
              </w:rPr>
              <w:t xml:space="preserve">.296</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−0.01 (0.23)</w:t>
            </w:r>
          </w:p>
          <w:p>
            <w:pPr>
              <w:spacing w:after="20" w:before="20" w:line="240"/>
              <w:jc w:val="center"/>
            </w:pPr>
            <w:r>
              <w:rPr>
                <w:rFonts w:ascii="Times New Roman" w:cs="Times New Roman" w:eastAsia="Times New Roman" w:hAnsi="Times New Roman"/>
                <w:sz w:val="16"/>
                <w:szCs w:val="16"/>
              </w:rPr>
              <w:t xml:space="preserve">.950</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−0.11 (0.24)</w:t>
            </w:r>
          </w:p>
          <w:p>
            <w:pPr>
              <w:spacing w:after="20" w:before="20" w:line="240"/>
              <w:jc w:val="center"/>
            </w:pPr>
            <w:r>
              <w:rPr>
                <w:rFonts w:ascii="Times New Roman" w:cs="Times New Roman" w:eastAsia="Times New Roman" w:hAnsi="Times New Roman"/>
                <w:sz w:val="16"/>
                <w:szCs w:val="16"/>
              </w:rPr>
              <w:t xml:space="preserve">.662</w:t>
            </w:r>
          </w:p>
        </w:tc>
        <w:tc>
          <w:tcPr>
            <w:tcW w:type="dxa" w:w="155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−0.46 (0.41)</w:t>
            </w:r>
          </w:p>
          <w:p>
            <w:pPr>
              <w:spacing w:after="20" w:before="20" w:line="240"/>
              <w:jc w:val="center"/>
            </w:pPr>
            <w:r>
              <w:rPr>
                <w:rFonts w:ascii="Times New Roman" w:cs="Times New Roman" w:eastAsia="Times New Roman" w:hAnsi="Times New Roman"/>
                <w:sz w:val="16"/>
                <w:szCs w:val="16"/>
              </w:rPr>
              <w:t xml:space="preserve">.261</w:t>
            </w:r>
          </w:p>
        </w:tc>
      </w:tr>
      <w:tr>
        <w:trPr>
          <w:cantSplit/>
          <w:tblHeader w:val="off"/>
        </w:trPr>
        <w:tc>
          <w:tcPr>
            <w:tcW w:type="dxa" w:w="31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Third year</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0.13 (0.39)</w:t>
            </w:r>
          </w:p>
          <w:p>
            <w:pPr>
              <w:spacing w:after="20" w:before="20" w:line="240"/>
              <w:jc w:val="center"/>
            </w:pPr>
            <w:r>
              <w:rPr>
                <w:rFonts w:ascii="Times New Roman" w:cs="Times New Roman" w:eastAsia="Times New Roman" w:hAnsi="Times New Roman"/>
                <w:sz w:val="16"/>
                <w:szCs w:val="16"/>
              </w:rPr>
              <w:t xml:space="preserve">.738</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−0.08 (0.20)</w:t>
            </w:r>
          </w:p>
          <w:p>
            <w:pPr>
              <w:spacing w:after="20" w:before="20" w:line="240"/>
              <w:jc w:val="center"/>
            </w:pPr>
            <w:r>
              <w:rPr>
                <w:rFonts w:ascii="Times New Roman" w:cs="Times New Roman" w:eastAsia="Times New Roman" w:hAnsi="Times New Roman"/>
                <w:sz w:val="16"/>
                <w:szCs w:val="16"/>
              </w:rPr>
              <w:t xml:space="preserve">.677</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−0.33 (0.21)</w:t>
            </w:r>
          </w:p>
          <w:p>
            <w:pPr>
              <w:spacing w:after="20" w:before="20" w:line="240"/>
              <w:jc w:val="center"/>
            </w:pPr>
            <w:r>
              <w:rPr>
                <w:rFonts w:ascii="Times New Roman" w:cs="Times New Roman" w:eastAsia="Times New Roman" w:hAnsi="Times New Roman"/>
                <w:sz w:val="16"/>
                <w:szCs w:val="16"/>
              </w:rPr>
              <w:t xml:space="preserve">.118</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−0.04 (0.19)</w:t>
            </w:r>
          </w:p>
          <w:p>
            <w:pPr>
              <w:spacing w:after="20" w:before="20" w:line="240"/>
              <w:jc w:val="center"/>
            </w:pPr>
            <w:r>
              <w:rPr>
                <w:rFonts w:ascii="Times New Roman" w:cs="Times New Roman" w:eastAsia="Times New Roman" w:hAnsi="Times New Roman"/>
                <w:sz w:val="16"/>
                <w:szCs w:val="16"/>
              </w:rPr>
              <w:t xml:space="preserve">.828</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−0.20 (0.21)</w:t>
            </w:r>
          </w:p>
          <w:p>
            <w:pPr>
              <w:spacing w:after="20" w:before="20" w:line="240"/>
              <w:jc w:val="center"/>
            </w:pPr>
            <w:r>
              <w:rPr>
                <w:rFonts w:ascii="Times New Roman" w:cs="Times New Roman" w:eastAsia="Times New Roman" w:hAnsi="Times New Roman"/>
                <w:sz w:val="16"/>
                <w:szCs w:val="16"/>
              </w:rPr>
              <w:t xml:space="preserve">.340</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−0.42 (0.22)</w:t>
            </w:r>
          </w:p>
          <w:p>
            <w:pPr>
              <w:spacing w:after="20" w:before="20" w:line="240"/>
              <w:jc w:val="center"/>
            </w:pPr>
            <w:r>
              <w:rPr>
                <w:rFonts w:ascii="Times New Roman" w:cs="Times New Roman" w:eastAsia="Times New Roman" w:hAnsi="Times New Roman"/>
                <w:sz w:val="16"/>
                <w:szCs w:val="16"/>
              </w:rPr>
              <w:t xml:space="preserve">.060</w:t>
            </w:r>
          </w:p>
        </w:tc>
        <w:tc>
          <w:tcPr>
            <w:tcW w:type="dxa" w:w="155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−0.35 (0.39)</w:t>
            </w:r>
          </w:p>
          <w:p>
            <w:pPr>
              <w:spacing w:after="20" w:before="20" w:line="240"/>
              <w:jc w:val="center"/>
            </w:pPr>
            <w:r>
              <w:rPr>
                <w:rFonts w:ascii="Times New Roman" w:cs="Times New Roman" w:eastAsia="Times New Roman" w:hAnsi="Times New Roman"/>
                <w:sz w:val="16"/>
                <w:szCs w:val="16"/>
              </w:rPr>
              <w:t xml:space="preserve">.365</w:t>
            </w:r>
          </w:p>
        </w:tc>
      </w:tr>
      <w:tr>
        <w:trPr>
          <w:cantSplit/>
          <w:tblHeader w:val="off"/>
        </w:trPr>
        <w:tc>
          <w:tcPr>
            <w:tcW w:type="dxa" w:w="31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Fourth year</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−0.09 (0.38)</w:t>
            </w:r>
          </w:p>
          <w:p>
            <w:pPr>
              <w:spacing w:after="20" w:before="20" w:line="240"/>
              <w:jc w:val="center"/>
            </w:pPr>
            <w:r>
              <w:rPr>
                <w:rFonts w:ascii="Times New Roman" w:cs="Times New Roman" w:eastAsia="Times New Roman" w:hAnsi="Times New Roman"/>
                <w:sz w:val="16"/>
                <w:szCs w:val="16"/>
              </w:rPr>
              <w:t xml:space="preserve">.812</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−0.17 (0.21)</w:t>
            </w:r>
          </w:p>
          <w:p>
            <w:pPr>
              <w:spacing w:after="20" w:before="20" w:line="240"/>
              <w:jc w:val="center"/>
            </w:pPr>
            <w:r>
              <w:rPr>
                <w:rFonts w:ascii="Times New Roman" w:cs="Times New Roman" w:eastAsia="Times New Roman" w:hAnsi="Times New Roman"/>
                <w:sz w:val="16"/>
                <w:szCs w:val="16"/>
              </w:rPr>
              <w:t xml:space="preserve">.422</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−0.20 (0.20)</w:t>
            </w:r>
          </w:p>
          <w:p>
            <w:pPr>
              <w:spacing w:after="20" w:before="20" w:line="240"/>
              <w:jc w:val="center"/>
            </w:pPr>
            <w:r>
              <w:rPr>
                <w:rFonts w:ascii="Times New Roman" w:cs="Times New Roman" w:eastAsia="Times New Roman" w:hAnsi="Times New Roman"/>
                <w:sz w:val="16"/>
                <w:szCs w:val="16"/>
              </w:rPr>
              <w:t xml:space="preserve">.322</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−0.14 (0.19)</w:t>
            </w:r>
          </w:p>
          <w:p>
            <w:pPr>
              <w:spacing w:after="20" w:before="20" w:line="240"/>
              <w:jc w:val="center"/>
            </w:pPr>
            <w:r>
              <w:rPr>
                <w:rFonts w:ascii="Times New Roman" w:cs="Times New Roman" w:eastAsia="Times New Roman" w:hAnsi="Times New Roman"/>
                <w:sz w:val="16"/>
                <w:szCs w:val="16"/>
              </w:rPr>
              <w:t xml:space="preserve">.462</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−0.15 (0.19)</w:t>
            </w:r>
          </w:p>
          <w:p>
            <w:pPr>
              <w:spacing w:after="20" w:before="20" w:line="240"/>
              <w:jc w:val="center"/>
            </w:pPr>
            <w:r>
              <w:rPr>
                <w:rFonts w:ascii="Times New Roman" w:cs="Times New Roman" w:eastAsia="Times New Roman" w:hAnsi="Times New Roman"/>
                <w:sz w:val="16"/>
                <w:szCs w:val="16"/>
              </w:rPr>
              <w:t xml:space="preserve">.441</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0.01 (0.21)</w:t>
            </w:r>
          </w:p>
          <w:p>
            <w:pPr>
              <w:spacing w:after="20" w:before="20" w:line="240"/>
              <w:jc w:val="center"/>
            </w:pPr>
            <w:r>
              <w:rPr>
                <w:rFonts w:ascii="Times New Roman" w:cs="Times New Roman" w:eastAsia="Times New Roman" w:hAnsi="Times New Roman"/>
                <w:sz w:val="16"/>
                <w:szCs w:val="16"/>
              </w:rPr>
              <w:t xml:space="preserve">.956</w:t>
            </w:r>
          </w:p>
        </w:tc>
        <w:tc>
          <w:tcPr>
            <w:tcW w:type="dxa" w:w="155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−0.49 (0.36)</w:t>
            </w:r>
          </w:p>
          <w:p>
            <w:pPr>
              <w:spacing w:after="20" w:before="20" w:line="240"/>
              <w:jc w:val="center"/>
            </w:pPr>
            <w:r>
              <w:rPr>
                <w:rFonts w:ascii="Times New Roman" w:cs="Times New Roman" w:eastAsia="Times New Roman" w:hAnsi="Times New Roman"/>
                <w:sz w:val="16"/>
                <w:szCs w:val="16"/>
              </w:rPr>
              <w:t xml:space="preserve">.180</w:t>
            </w:r>
          </w:p>
        </w:tc>
      </w:tr>
      <w:tr>
        <w:trPr>
          <w:cantSplit/>
          <w:tblHeader w:val="off"/>
        </w:trPr>
        <w:tc>
          <w:tcPr>
            <w:tcW w:type="dxa" w:w="31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Mass communication</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2.82 (0.48)</w:t>
            </w:r>
          </w:p>
          <w:p>
            <w:pPr>
              <w:spacing w:after="20" w:before="20" w:line="240"/>
              <w:jc w:val="center"/>
            </w:pPr>
            <w:r>
              <w:rPr>
                <w:rFonts w:ascii="Times New Roman" w:cs="Times New Roman" w:eastAsia="Times New Roman" w:hAnsi="Times New Roman"/>
                <w:sz w:val="16"/>
                <w:szCs w:val="16"/>
              </w:rPr>
              <w:t xml:space="preserve">&lt; .001</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0.44 (0.17)</w:t>
            </w:r>
          </w:p>
          <w:p>
            <w:pPr>
              <w:spacing w:after="20" w:before="20" w:line="240"/>
              <w:jc w:val="center"/>
            </w:pPr>
            <w:r>
              <w:rPr>
                <w:rFonts w:ascii="Times New Roman" w:cs="Times New Roman" w:eastAsia="Times New Roman" w:hAnsi="Times New Roman"/>
                <w:sz w:val="16"/>
                <w:szCs w:val="16"/>
              </w:rPr>
              <w:t xml:space="preserve">.012</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0.65 (0.18)</w:t>
            </w:r>
          </w:p>
          <w:p>
            <w:pPr>
              <w:spacing w:after="20" w:before="20" w:line="240"/>
              <w:jc w:val="center"/>
            </w:pPr>
            <w:r>
              <w:rPr>
                <w:rFonts w:ascii="Times New Roman" w:cs="Times New Roman" w:eastAsia="Times New Roman" w:hAnsi="Times New Roman"/>
                <w:sz w:val="16"/>
                <w:szCs w:val="16"/>
              </w:rPr>
              <w:t xml:space="preserve">&lt; .001</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0.59 (0.21)</w:t>
            </w:r>
          </w:p>
          <w:p>
            <w:pPr>
              <w:spacing w:after="20" w:before="20" w:line="240"/>
              <w:jc w:val="center"/>
            </w:pPr>
            <w:r>
              <w:rPr>
                <w:rFonts w:ascii="Times New Roman" w:cs="Times New Roman" w:eastAsia="Times New Roman" w:hAnsi="Times New Roman"/>
                <w:sz w:val="16"/>
                <w:szCs w:val="16"/>
              </w:rPr>
              <w:t xml:space="preserve">.004</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0.18 (0.21)</w:t>
            </w:r>
          </w:p>
          <w:p>
            <w:pPr>
              <w:spacing w:after="20" w:before="20" w:line="240"/>
              <w:jc w:val="center"/>
            </w:pPr>
            <w:r>
              <w:rPr>
                <w:rFonts w:ascii="Times New Roman" w:cs="Times New Roman" w:eastAsia="Times New Roman" w:hAnsi="Times New Roman"/>
                <w:sz w:val="16"/>
                <w:szCs w:val="16"/>
              </w:rPr>
              <w:t xml:space="preserve">.405</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0.07 (0.23)</w:t>
            </w:r>
          </w:p>
          <w:p>
            <w:pPr>
              <w:spacing w:after="20" w:before="20" w:line="240"/>
              <w:jc w:val="center"/>
            </w:pPr>
            <w:r>
              <w:rPr>
                <w:rFonts w:ascii="Times New Roman" w:cs="Times New Roman" w:eastAsia="Times New Roman" w:hAnsi="Times New Roman"/>
                <w:sz w:val="16"/>
                <w:szCs w:val="16"/>
              </w:rPr>
              <w:t xml:space="preserve">.763</w:t>
            </w:r>
          </w:p>
        </w:tc>
        <w:tc>
          <w:tcPr>
            <w:tcW w:type="dxa" w:w="155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0.56 (0.40)</w:t>
            </w:r>
          </w:p>
          <w:p>
            <w:pPr>
              <w:spacing w:after="20" w:before="20" w:line="240"/>
              <w:jc w:val="center"/>
            </w:pPr>
            <w:r>
              <w:rPr>
                <w:rFonts w:ascii="Times New Roman" w:cs="Times New Roman" w:eastAsia="Times New Roman" w:hAnsi="Times New Roman"/>
                <w:sz w:val="16"/>
                <w:szCs w:val="16"/>
              </w:rPr>
              <w:t xml:space="preserve">.161</w:t>
            </w:r>
          </w:p>
        </w:tc>
      </w:tr>
      <w:tr>
        <w:trPr>
          <w:cantSplit/>
          <w:tblHeader w:val="off"/>
        </w:trPr>
        <w:tc>
          <w:tcPr>
            <w:tcW w:type="dxa" w:w="31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Economics and political science</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2.32 (0.64)</w:t>
            </w:r>
          </w:p>
          <w:p>
            <w:pPr>
              <w:spacing w:after="20" w:before="20" w:line="240"/>
              <w:jc w:val="center"/>
            </w:pPr>
            <w:r>
              <w:rPr>
                <w:rFonts w:ascii="Times New Roman" w:cs="Times New Roman" w:eastAsia="Times New Roman" w:hAnsi="Times New Roman"/>
                <w:sz w:val="16"/>
                <w:szCs w:val="16"/>
              </w:rPr>
              <w:t xml:space="preserve">&lt; .001</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−0.05 (0.29)</w:t>
            </w:r>
          </w:p>
          <w:p>
            <w:pPr>
              <w:spacing w:after="20" w:before="20" w:line="240"/>
              <w:jc w:val="center"/>
            </w:pPr>
            <w:r>
              <w:rPr>
                <w:rFonts w:ascii="Times New Roman" w:cs="Times New Roman" w:eastAsia="Times New Roman" w:hAnsi="Times New Roman"/>
                <w:sz w:val="16"/>
                <w:szCs w:val="16"/>
              </w:rPr>
              <w:t xml:space="preserve">.873</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0.72 (0.26)</w:t>
            </w:r>
          </w:p>
          <w:p>
            <w:pPr>
              <w:spacing w:after="20" w:before="20" w:line="240"/>
              <w:jc w:val="center"/>
            </w:pPr>
            <w:r>
              <w:rPr>
                <w:rFonts w:ascii="Times New Roman" w:cs="Times New Roman" w:eastAsia="Times New Roman" w:hAnsi="Times New Roman"/>
                <w:sz w:val="16"/>
                <w:szCs w:val="16"/>
              </w:rPr>
              <w:t xml:space="preserve">.005</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0.67 (0.31)</w:t>
            </w:r>
          </w:p>
          <w:p>
            <w:pPr>
              <w:spacing w:after="20" w:before="20" w:line="240"/>
              <w:jc w:val="center"/>
            </w:pPr>
            <w:r>
              <w:rPr>
                <w:rFonts w:ascii="Times New Roman" w:cs="Times New Roman" w:eastAsia="Times New Roman" w:hAnsi="Times New Roman"/>
                <w:sz w:val="16"/>
                <w:szCs w:val="16"/>
              </w:rPr>
              <w:t xml:space="preserve">.034</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0.33 (0.29)</w:t>
            </w:r>
          </w:p>
          <w:p>
            <w:pPr>
              <w:spacing w:after="20" w:before="20" w:line="240"/>
              <w:jc w:val="center"/>
            </w:pPr>
            <w:r>
              <w:rPr>
                <w:rFonts w:ascii="Times New Roman" w:cs="Times New Roman" w:eastAsia="Times New Roman" w:hAnsi="Times New Roman"/>
                <w:sz w:val="16"/>
                <w:szCs w:val="16"/>
              </w:rPr>
              <w:t xml:space="preserve">.258</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0.13 (0.30)</w:t>
            </w:r>
          </w:p>
          <w:p>
            <w:pPr>
              <w:spacing w:after="20" w:before="20" w:line="240"/>
              <w:jc w:val="center"/>
            </w:pPr>
            <w:r>
              <w:rPr>
                <w:rFonts w:ascii="Times New Roman" w:cs="Times New Roman" w:eastAsia="Times New Roman" w:hAnsi="Times New Roman"/>
                <w:sz w:val="16"/>
                <w:szCs w:val="16"/>
              </w:rPr>
              <w:t xml:space="preserve">.670</w:t>
            </w:r>
          </w:p>
        </w:tc>
        <w:tc>
          <w:tcPr>
            <w:tcW w:type="dxa" w:w="155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0.95 (0.59)</w:t>
            </w:r>
          </w:p>
          <w:p>
            <w:pPr>
              <w:spacing w:after="20" w:before="20" w:line="240"/>
              <w:jc w:val="center"/>
            </w:pPr>
            <w:r>
              <w:rPr>
                <w:rFonts w:ascii="Times New Roman" w:cs="Times New Roman" w:eastAsia="Times New Roman" w:hAnsi="Times New Roman"/>
                <w:sz w:val="16"/>
                <w:szCs w:val="16"/>
              </w:rPr>
              <w:t xml:space="preserve">.109</w:t>
            </w:r>
          </w:p>
        </w:tc>
      </w:tr>
      <w:tr>
        <w:trPr>
          <w:cantSplit/>
          <w:tblHeader w:val="off"/>
        </w:trPr>
        <w:tc>
          <w:tcPr>
            <w:tcW w:type="dxa" w:w="31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Science, engineering and health</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1.99 (0.40)</w:t>
            </w:r>
          </w:p>
          <w:p>
            <w:pPr>
              <w:spacing w:after="20" w:before="20" w:line="240"/>
              <w:jc w:val="center"/>
            </w:pPr>
            <w:r>
              <w:rPr>
                <w:rFonts w:ascii="Times New Roman" w:cs="Times New Roman" w:eastAsia="Times New Roman" w:hAnsi="Times New Roman"/>
                <w:sz w:val="16"/>
                <w:szCs w:val="16"/>
              </w:rPr>
              <w:t xml:space="preserve">&lt; .001</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−0.55 (0.23)</w:t>
            </w:r>
          </w:p>
          <w:p>
            <w:pPr>
              <w:spacing w:after="20" w:before="20" w:line="240"/>
              <w:jc w:val="center"/>
            </w:pPr>
            <w:r>
              <w:rPr>
                <w:rFonts w:ascii="Times New Roman" w:cs="Times New Roman" w:eastAsia="Times New Roman" w:hAnsi="Times New Roman"/>
                <w:sz w:val="16"/>
                <w:szCs w:val="16"/>
              </w:rPr>
              <w:t xml:space="preserve">.016</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−0.16 (0.19)</w:t>
            </w:r>
          </w:p>
          <w:p>
            <w:pPr>
              <w:spacing w:after="20" w:before="20" w:line="240"/>
              <w:jc w:val="center"/>
            </w:pPr>
            <w:r>
              <w:rPr>
                <w:rFonts w:ascii="Times New Roman" w:cs="Times New Roman" w:eastAsia="Times New Roman" w:hAnsi="Times New Roman"/>
                <w:sz w:val="16"/>
                <w:szCs w:val="16"/>
              </w:rPr>
              <w:t xml:space="preserve">.416</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−0.15 (0.21)</w:t>
            </w:r>
          </w:p>
          <w:p>
            <w:pPr>
              <w:spacing w:after="20" w:before="20" w:line="240"/>
              <w:jc w:val="center"/>
            </w:pPr>
            <w:r>
              <w:rPr>
                <w:rFonts w:ascii="Times New Roman" w:cs="Times New Roman" w:eastAsia="Times New Roman" w:hAnsi="Times New Roman"/>
                <w:sz w:val="16"/>
                <w:szCs w:val="16"/>
              </w:rPr>
              <w:t xml:space="preserve">.478</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−0.42 (0.22)</w:t>
            </w:r>
          </w:p>
          <w:p>
            <w:pPr>
              <w:spacing w:after="20" w:before="20" w:line="240"/>
              <w:jc w:val="center"/>
            </w:pPr>
            <w:r>
              <w:rPr>
                <w:rFonts w:ascii="Times New Roman" w:cs="Times New Roman" w:eastAsia="Times New Roman" w:hAnsi="Times New Roman"/>
                <w:sz w:val="16"/>
                <w:szCs w:val="16"/>
              </w:rPr>
              <w:t xml:space="preserve">.055</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−0.33 (0.21)</w:t>
            </w:r>
          </w:p>
          <w:p>
            <w:pPr>
              <w:spacing w:after="20" w:before="20" w:line="240"/>
              <w:jc w:val="center"/>
            </w:pPr>
            <w:r>
              <w:rPr>
                <w:rFonts w:ascii="Times New Roman" w:cs="Times New Roman" w:eastAsia="Times New Roman" w:hAnsi="Times New Roman"/>
                <w:sz w:val="16"/>
                <w:szCs w:val="16"/>
              </w:rPr>
              <w:t xml:space="preserve">.111</w:t>
            </w:r>
          </w:p>
        </w:tc>
        <w:tc>
          <w:tcPr>
            <w:tcW w:type="dxa" w:w="155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−0.86 (0.39)</w:t>
            </w:r>
          </w:p>
          <w:p>
            <w:pPr>
              <w:spacing w:after="20" w:before="20" w:line="240"/>
              <w:jc w:val="center"/>
            </w:pPr>
            <w:r>
              <w:rPr>
                <w:rFonts w:ascii="Times New Roman" w:cs="Times New Roman" w:eastAsia="Times New Roman" w:hAnsi="Times New Roman"/>
                <w:sz w:val="16"/>
                <w:szCs w:val="16"/>
              </w:rPr>
              <w:t xml:space="preserve">.028</w:t>
            </w:r>
          </w:p>
        </w:tc>
      </w:tr>
      <w:tr>
        <w:trPr>
          <w:cantSplit/>
          <w:tblHeader w:val="off"/>
        </w:trPr>
        <w:tc>
          <w:tcPr>
            <w:tcW w:type="dxa" w:w="31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Education and other</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1.21 (0.49)</w:t>
            </w:r>
          </w:p>
          <w:p>
            <w:pPr>
              <w:spacing w:after="20" w:before="20" w:line="240"/>
              <w:jc w:val="center"/>
            </w:pPr>
            <w:r>
              <w:rPr>
                <w:rFonts w:ascii="Times New Roman" w:cs="Times New Roman" w:eastAsia="Times New Roman" w:hAnsi="Times New Roman"/>
                <w:sz w:val="16"/>
                <w:szCs w:val="16"/>
              </w:rPr>
              <w:t xml:space="preserve">.013</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−0.51 (0.29)</w:t>
            </w:r>
          </w:p>
          <w:p>
            <w:pPr>
              <w:spacing w:after="20" w:before="20" w:line="240"/>
              <w:jc w:val="center"/>
            </w:pPr>
            <w:r>
              <w:rPr>
                <w:rFonts w:ascii="Times New Roman" w:cs="Times New Roman" w:eastAsia="Times New Roman" w:hAnsi="Times New Roman"/>
                <w:sz w:val="16"/>
                <w:szCs w:val="16"/>
              </w:rPr>
              <w:t xml:space="preserve">.076</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−0.17 (0.27)</w:t>
            </w:r>
          </w:p>
          <w:p>
            <w:pPr>
              <w:spacing w:after="20" w:before="20" w:line="240"/>
              <w:jc w:val="center"/>
            </w:pPr>
            <w:r>
              <w:rPr>
                <w:rFonts w:ascii="Times New Roman" w:cs="Times New Roman" w:eastAsia="Times New Roman" w:hAnsi="Times New Roman"/>
                <w:sz w:val="16"/>
                <w:szCs w:val="16"/>
              </w:rPr>
              <w:t xml:space="preserve">.513</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0.08 (0.22)</w:t>
            </w:r>
          </w:p>
          <w:p>
            <w:pPr>
              <w:spacing w:after="20" w:before="20" w:line="240"/>
              <w:jc w:val="center"/>
            </w:pPr>
            <w:r>
              <w:rPr>
                <w:rFonts w:ascii="Times New Roman" w:cs="Times New Roman" w:eastAsia="Times New Roman" w:hAnsi="Times New Roman"/>
                <w:sz w:val="16"/>
                <w:szCs w:val="16"/>
              </w:rPr>
              <w:t xml:space="preserve">.707</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−0.17 (0.25)</w:t>
            </w:r>
          </w:p>
          <w:p>
            <w:pPr>
              <w:spacing w:after="20" w:before="20" w:line="240"/>
              <w:jc w:val="center"/>
            </w:pPr>
            <w:r>
              <w:rPr>
                <w:rFonts w:ascii="Times New Roman" w:cs="Times New Roman" w:eastAsia="Times New Roman" w:hAnsi="Times New Roman"/>
                <w:sz w:val="16"/>
                <w:szCs w:val="16"/>
              </w:rPr>
              <w:t xml:space="preserve">.488</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0.06 (0.28)</w:t>
            </w:r>
          </w:p>
          <w:p>
            <w:pPr>
              <w:spacing w:after="20" w:before="20" w:line="240"/>
              <w:jc w:val="center"/>
            </w:pPr>
            <w:r>
              <w:rPr>
                <w:rFonts w:ascii="Times New Roman" w:cs="Times New Roman" w:eastAsia="Times New Roman" w:hAnsi="Times New Roman"/>
                <w:sz w:val="16"/>
                <w:szCs w:val="16"/>
              </w:rPr>
              <w:t xml:space="preserve">.824</w:t>
            </w:r>
          </w:p>
        </w:tc>
        <w:tc>
          <w:tcPr>
            <w:tcW w:type="dxa" w:w="155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0.33 (0.48)</w:t>
            </w:r>
          </w:p>
          <w:p>
            <w:pPr>
              <w:spacing w:after="20" w:before="20" w:line="240"/>
              <w:jc w:val="center"/>
            </w:pPr>
            <w:r>
              <w:rPr>
                <w:rFonts w:ascii="Times New Roman" w:cs="Times New Roman" w:eastAsia="Times New Roman" w:hAnsi="Times New Roman"/>
                <w:sz w:val="16"/>
                <w:szCs w:val="16"/>
              </w:rPr>
              <w:t xml:space="preserve">.490</w:t>
            </w:r>
          </w:p>
        </w:tc>
      </w:tr>
      <w:tr>
        <w:trPr>
          <w:cantSplit/>
          <w:tblHeader w:val="off"/>
        </w:trPr>
        <w:tc>
          <w:tcPr>
            <w:tcW w:type="dxa" w:w="31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Daily allowance (1–4)</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−0.01 (0.14)</w:t>
            </w:r>
          </w:p>
          <w:p>
            <w:pPr>
              <w:spacing w:after="20" w:before="20" w:line="240"/>
              <w:jc w:val="center"/>
            </w:pPr>
            <w:r>
              <w:rPr>
                <w:rFonts w:ascii="Times New Roman" w:cs="Times New Roman" w:eastAsia="Times New Roman" w:hAnsi="Times New Roman"/>
                <w:sz w:val="16"/>
                <w:szCs w:val="16"/>
              </w:rPr>
              <w:t xml:space="preserve">.928</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0.05 (0.07)</w:t>
            </w:r>
          </w:p>
          <w:p>
            <w:pPr>
              <w:spacing w:after="20" w:before="20" w:line="240"/>
              <w:jc w:val="center"/>
            </w:pPr>
            <w:r>
              <w:rPr>
                <w:rFonts w:ascii="Times New Roman" w:cs="Times New Roman" w:eastAsia="Times New Roman" w:hAnsi="Times New Roman"/>
                <w:sz w:val="16"/>
                <w:szCs w:val="16"/>
              </w:rPr>
              <w:t xml:space="preserve">.496</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0.07 (0.07)</w:t>
            </w:r>
          </w:p>
          <w:p>
            <w:pPr>
              <w:spacing w:after="20" w:before="20" w:line="240"/>
              <w:jc w:val="center"/>
            </w:pPr>
            <w:r>
              <w:rPr>
                <w:rFonts w:ascii="Times New Roman" w:cs="Times New Roman" w:eastAsia="Times New Roman" w:hAnsi="Times New Roman"/>
                <w:sz w:val="16"/>
                <w:szCs w:val="16"/>
              </w:rPr>
              <w:t xml:space="preserve">.366</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0.02 (0.07)</w:t>
            </w:r>
          </w:p>
          <w:p>
            <w:pPr>
              <w:spacing w:after="20" w:before="20" w:line="240"/>
              <w:jc w:val="center"/>
            </w:pPr>
            <w:r>
              <w:rPr>
                <w:rFonts w:ascii="Times New Roman" w:cs="Times New Roman" w:eastAsia="Times New Roman" w:hAnsi="Times New Roman"/>
                <w:sz w:val="16"/>
                <w:szCs w:val="16"/>
              </w:rPr>
              <w:t xml:space="preserve">.747</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0.11 (0.07)</w:t>
            </w:r>
          </w:p>
          <w:p>
            <w:pPr>
              <w:spacing w:after="20" w:before="20" w:line="240"/>
              <w:jc w:val="center"/>
            </w:pPr>
            <w:r>
              <w:rPr>
                <w:rFonts w:ascii="Times New Roman" w:cs="Times New Roman" w:eastAsia="Times New Roman" w:hAnsi="Times New Roman"/>
                <w:sz w:val="16"/>
                <w:szCs w:val="16"/>
              </w:rPr>
              <w:t xml:space="preserve">.135</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0.14 (0.08)</w:t>
            </w:r>
          </w:p>
          <w:p>
            <w:pPr>
              <w:spacing w:after="20" w:before="20" w:line="240"/>
              <w:jc w:val="center"/>
            </w:pPr>
            <w:r>
              <w:rPr>
                <w:rFonts w:ascii="Times New Roman" w:cs="Times New Roman" w:eastAsia="Times New Roman" w:hAnsi="Times New Roman"/>
                <w:sz w:val="16"/>
                <w:szCs w:val="16"/>
              </w:rPr>
              <w:t xml:space="preserve">.094</w:t>
            </w:r>
          </w:p>
        </w:tc>
        <w:tc>
          <w:tcPr>
            <w:tcW w:type="dxa" w:w="155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0.07 (0.13)</w:t>
            </w:r>
          </w:p>
          <w:p>
            <w:pPr>
              <w:spacing w:after="20" w:before="20" w:line="240"/>
              <w:jc w:val="center"/>
            </w:pPr>
            <w:r>
              <w:rPr>
                <w:rFonts w:ascii="Times New Roman" w:cs="Times New Roman" w:eastAsia="Times New Roman" w:hAnsi="Times New Roman"/>
                <w:sz w:val="16"/>
                <w:szCs w:val="16"/>
              </w:rPr>
              <w:t xml:space="preserve">.615</w:t>
            </w:r>
          </w:p>
        </w:tc>
      </w:tr>
      <w:tr>
        <w:trPr>
          <w:cantSplit/>
          <w:tblHeader w:val="off"/>
        </w:trPr>
        <w:tc>
          <w:tcPr>
            <w:tcW w:type="dxa" w:w="31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Employed alongside study</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−0.72 (0.31)</w:t>
            </w:r>
          </w:p>
          <w:p>
            <w:pPr>
              <w:spacing w:after="20" w:before="20" w:line="240"/>
              <w:jc w:val="center"/>
            </w:pPr>
            <w:r>
              <w:rPr>
                <w:rFonts w:ascii="Times New Roman" w:cs="Times New Roman" w:eastAsia="Times New Roman" w:hAnsi="Times New Roman"/>
                <w:sz w:val="16"/>
                <w:szCs w:val="16"/>
              </w:rPr>
              <w:t xml:space="preserve">.020</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−0.40 (0.17)</w:t>
            </w:r>
          </w:p>
          <w:p>
            <w:pPr>
              <w:spacing w:after="20" w:before="20" w:line="240"/>
              <w:jc w:val="center"/>
            </w:pPr>
            <w:r>
              <w:rPr>
                <w:rFonts w:ascii="Times New Roman" w:cs="Times New Roman" w:eastAsia="Times New Roman" w:hAnsi="Times New Roman"/>
                <w:sz w:val="16"/>
                <w:szCs w:val="16"/>
              </w:rPr>
              <w:t xml:space="preserve">.022</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−0.01 (0.16)</w:t>
            </w:r>
          </w:p>
          <w:p>
            <w:pPr>
              <w:spacing w:after="20" w:before="20" w:line="240"/>
              <w:jc w:val="center"/>
            </w:pPr>
            <w:r>
              <w:rPr>
                <w:rFonts w:ascii="Times New Roman" w:cs="Times New Roman" w:eastAsia="Times New Roman" w:hAnsi="Times New Roman"/>
                <w:sz w:val="16"/>
                <w:szCs w:val="16"/>
              </w:rPr>
              <w:t xml:space="preserve">.967</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0.13 (0.15)</w:t>
            </w:r>
          </w:p>
          <w:p>
            <w:pPr>
              <w:spacing w:after="20" w:before="20" w:line="240"/>
              <w:jc w:val="center"/>
            </w:pPr>
            <w:r>
              <w:rPr>
                <w:rFonts w:ascii="Times New Roman" w:cs="Times New Roman" w:eastAsia="Times New Roman" w:hAnsi="Times New Roman"/>
                <w:sz w:val="16"/>
                <w:szCs w:val="16"/>
              </w:rPr>
              <w:t xml:space="preserve">.365</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−0.09 (0.16)</w:t>
            </w:r>
          </w:p>
          <w:p>
            <w:pPr>
              <w:spacing w:after="20" w:before="20" w:line="240"/>
              <w:jc w:val="center"/>
            </w:pPr>
            <w:r>
              <w:rPr>
                <w:rFonts w:ascii="Times New Roman" w:cs="Times New Roman" w:eastAsia="Times New Roman" w:hAnsi="Times New Roman"/>
                <w:sz w:val="16"/>
                <w:szCs w:val="16"/>
              </w:rPr>
              <w:t xml:space="preserve">.602</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−0.10 (0.16)</w:t>
            </w:r>
          </w:p>
          <w:p>
            <w:pPr>
              <w:spacing w:after="20" w:before="20" w:line="240"/>
              <w:jc w:val="center"/>
            </w:pPr>
            <w:r>
              <w:rPr>
                <w:rFonts w:ascii="Times New Roman" w:cs="Times New Roman" w:eastAsia="Times New Roman" w:hAnsi="Times New Roman"/>
                <w:sz w:val="16"/>
                <w:szCs w:val="16"/>
              </w:rPr>
              <w:t xml:space="preserve">.532</w:t>
            </w:r>
          </w:p>
        </w:tc>
        <w:tc>
          <w:tcPr>
            <w:tcW w:type="dxa" w:w="155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0.07 (0.30)</w:t>
            </w:r>
          </w:p>
          <w:p>
            <w:pPr>
              <w:spacing w:after="20" w:before="20" w:line="240"/>
              <w:jc w:val="center"/>
            </w:pPr>
            <w:r>
              <w:rPr>
                <w:rFonts w:ascii="Times New Roman" w:cs="Times New Roman" w:eastAsia="Times New Roman" w:hAnsi="Times New Roman"/>
                <w:sz w:val="16"/>
                <w:szCs w:val="16"/>
              </w:rPr>
              <w:t xml:space="preserve">.820</w:t>
            </w:r>
          </w:p>
        </w:tc>
      </w:tr>
      <w:tr>
        <w:trPr>
          <w:cantSplit/>
          <w:tblHeader w:val="off"/>
        </w:trPr>
        <w:tc>
          <w:tcPr>
            <w:tcW w:type="dxa" w:w="31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Private housing, non-local</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−0.59 (0.41)</w:t>
            </w:r>
          </w:p>
          <w:p>
            <w:pPr>
              <w:spacing w:after="20" w:before="20" w:line="240"/>
              <w:jc w:val="center"/>
            </w:pPr>
            <w:r>
              <w:rPr>
                <w:rFonts w:ascii="Times New Roman" w:cs="Times New Roman" w:eastAsia="Times New Roman" w:hAnsi="Times New Roman"/>
                <w:sz w:val="16"/>
                <w:szCs w:val="16"/>
              </w:rPr>
              <w:t xml:space="preserve">.150</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0.05 (0.23)</w:t>
            </w:r>
          </w:p>
          <w:p>
            <w:pPr>
              <w:spacing w:after="20" w:before="20" w:line="240"/>
              <w:jc w:val="center"/>
            </w:pPr>
            <w:r>
              <w:rPr>
                <w:rFonts w:ascii="Times New Roman" w:cs="Times New Roman" w:eastAsia="Times New Roman" w:hAnsi="Times New Roman"/>
                <w:sz w:val="16"/>
                <w:szCs w:val="16"/>
              </w:rPr>
              <w:t xml:space="preserve">.833</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−0.03 (0.22)</w:t>
            </w:r>
          </w:p>
          <w:p>
            <w:pPr>
              <w:spacing w:after="20" w:before="20" w:line="240"/>
              <w:jc w:val="center"/>
            </w:pPr>
            <w:r>
              <w:rPr>
                <w:rFonts w:ascii="Times New Roman" w:cs="Times New Roman" w:eastAsia="Times New Roman" w:hAnsi="Times New Roman"/>
                <w:sz w:val="16"/>
                <w:szCs w:val="16"/>
              </w:rPr>
              <w:t xml:space="preserve">.899</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0.35 (0.19)</w:t>
            </w:r>
          </w:p>
          <w:p>
            <w:pPr>
              <w:spacing w:after="20" w:before="20" w:line="240"/>
              <w:jc w:val="center"/>
            </w:pPr>
            <w:r>
              <w:rPr>
                <w:rFonts w:ascii="Times New Roman" w:cs="Times New Roman" w:eastAsia="Times New Roman" w:hAnsi="Times New Roman"/>
                <w:sz w:val="16"/>
                <w:szCs w:val="16"/>
              </w:rPr>
              <w:t xml:space="preserve">.065</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0.24 (0.21)</w:t>
            </w:r>
          </w:p>
          <w:p>
            <w:pPr>
              <w:spacing w:after="20" w:before="20" w:line="240"/>
              <w:jc w:val="center"/>
            </w:pPr>
            <w:r>
              <w:rPr>
                <w:rFonts w:ascii="Times New Roman" w:cs="Times New Roman" w:eastAsia="Times New Roman" w:hAnsi="Times New Roman"/>
                <w:sz w:val="16"/>
                <w:szCs w:val="16"/>
              </w:rPr>
              <w:t xml:space="preserve">.262</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0.14 (0.22)</w:t>
            </w:r>
          </w:p>
          <w:p>
            <w:pPr>
              <w:spacing w:after="20" w:before="20" w:line="240"/>
              <w:jc w:val="center"/>
            </w:pPr>
            <w:r>
              <w:rPr>
                <w:rFonts w:ascii="Times New Roman" w:cs="Times New Roman" w:eastAsia="Times New Roman" w:hAnsi="Times New Roman"/>
                <w:sz w:val="16"/>
                <w:szCs w:val="16"/>
              </w:rPr>
              <w:t xml:space="preserve">.521</w:t>
            </w:r>
          </w:p>
        </w:tc>
        <w:tc>
          <w:tcPr>
            <w:tcW w:type="dxa" w:w="155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0.14 (0.39)</w:t>
            </w:r>
          </w:p>
          <w:p>
            <w:pPr>
              <w:spacing w:after="20" w:before="20" w:line="240"/>
              <w:jc w:val="center"/>
            </w:pPr>
            <w:r>
              <w:rPr>
                <w:rFonts w:ascii="Times New Roman" w:cs="Times New Roman" w:eastAsia="Times New Roman" w:hAnsi="Times New Roman"/>
                <w:sz w:val="16"/>
                <w:szCs w:val="16"/>
              </w:rPr>
              <w:t xml:space="preserve">.718</w:t>
            </w:r>
          </w:p>
        </w:tc>
      </w:tr>
      <w:tr>
        <w:trPr>
          <w:cantSplit/>
          <w:tblHeader w:val="off"/>
        </w:trPr>
        <w:tc>
          <w:tcPr>
            <w:tcW w:type="dxa" w:w="31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University dormitory</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−0.36 (0.62)</w:t>
            </w:r>
          </w:p>
          <w:p>
            <w:pPr>
              <w:spacing w:after="20" w:before="20" w:line="240"/>
              <w:jc w:val="center"/>
            </w:pPr>
            <w:r>
              <w:rPr>
                <w:rFonts w:ascii="Times New Roman" w:cs="Times New Roman" w:eastAsia="Times New Roman" w:hAnsi="Times New Roman"/>
                <w:sz w:val="16"/>
                <w:szCs w:val="16"/>
              </w:rPr>
              <w:t xml:space="preserve">.565</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0.51 (0.29)</w:t>
            </w:r>
          </w:p>
          <w:p>
            <w:pPr>
              <w:spacing w:after="20" w:before="20" w:line="240"/>
              <w:jc w:val="center"/>
            </w:pPr>
            <w:r>
              <w:rPr>
                <w:rFonts w:ascii="Times New Roman" w:cs="Times New Roman" w:eastAsia="Times New Roman" w:hAnsi="Times New Roman"/>
                <w:sz w:val="16"/>
                <w:szCs w:val="16"/>
              </w:rPr>
              <w:t xml:space="preserve">.077</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−0.02 (0.26)</w:t>
            </w:r>
          </w:p>
          <w:p>
            <w:pPr>
              <w:spacing w:after="20" w:before="20" w:line="240"/>
              <w:jc w:val="center"/>
            </w:pPr>
            <w:r>
              <w:rPr>
                <w:rFonts w:ascii="Times New Roman" w:cs="Times New Roman" w:eastAsia="Times New Roman" w:hAnsi="Times New Roman"/>
                <w:sz w:val="16"/>
                <w:szCs w:val="16"/>
              </w:rPr>
              <w:t xml:space="preserve">.949</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0.01 (0.30)</w:t>
            </w:r>
          </w:p>
          <w:p>
            <w:pPr>
              <w:spacing w:after="20" w:before="20" w:line="240"/>
              <w:jc w:val="center"/>
            </w:pPr>
            <w:r>
              <w:rPr>
                <w:rFonts w:ascii="Times New Roman" w:cs="Times New Roman" w:eastAsia="Times New Roman" w:hAnsi="Times New Roman"/>
                <w:sz w:val="16"/>
                <w:szCs w:val="16"/>
              </w:rPr>
              <w:t xml:space="preserve">.964</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0.29 (0.28)</w:t>
            </w:r>
          </w:p>
          <w:p>
            <w:pPr>
              <w:spacing w:after="20" w:before="20" w:line="240"/>
              <w:jc w:val="center"/>
            </w:pPr>
            <w:r>
              <w:rPr>
                <w:rFonts w:ascii="Times New Roman" w:cs="Times New Roman" w:eastAsia="Times New Roman" w:hAnsi="Times New Roman"/>
                <w:sz w:val="16"/>
                <w:szCs w:val="16"/>
              </w:rPr>
              <w:t xml:space="preserve">.294</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0.22 (0.33)</w:t>
            </w:r>
          </w:p>
          <w:p>
            <w:pPr>
              <w:spacing w:after="20" w:before="20" w:line="240"/>
              <w:jc w:val="center"/>
            </w:pPr>
            <w:r>
              <w:rPr>
                <w:rFonts w:ascii="Times New Roman" w:cs="Times New Roman" w:eastAsia="Times New Roman" w:hAnsi="Times New Roman"/>
                <w:sz w:val="16"/>
                <w:szCs w:val="16"/>
              </w:rPr>
              <w:t xml:space="preserve">.497</w:t>
            </w:r>
          </w:p>
        </w:tc>
        <w:tc>
          <w:tcPr>
            <w:tcW w:type="dxa" w:w="155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−0.48 (0.55)</w:t>
            </w:r>
          </w:p>
          <w:p>
            <w:pPr>
              <w:spacing w:after="20" w:before="20" w:line="240"/>
              <w:jc w:val="center"/>
            </w:pPr>
            <w:r>
              <w:rPr>
                <w:rFonts w:ascii="Times New Roman" w:cs="Times New Roman" w:eastAsia="Times New Roman" w:hAnsi="Times New Roman"/>
                <w:sz w:val="16"/>
                <w:szCs w:val="16"/>
              </w:rPr>
              <w:t xml:space="preserve">.384</w:t>
            </w:r>
          </w:p>
        </w:tc>
      </w:tr>
      <w:tr>
        <w:trPr>
          <w:cantSplit/>
          <w:tblHeader w:val="off"/>
        </w:trPr>
        <w:tc>
          <w:tcPr>
            <w:tcW w:type="dxa" w:w="31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Rural origin</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0.60 (0.39)</w:t>
            </w:r>
          </w:p>
          <w:p>
            <w:pPr>
              <w:spacing w:after="20" w:before="20" w:line="240"/>
              <w:jc w:val="center"/>
            </w:pPr>
            <w:r>
              <w:rPr>
                <w:rFonts w:ascii="Times New Roman" w:cs="Times New Roman" w:eastAsia="Times New Roman" w:hAnsi="Times New Roman"/>
                <w:sz w:val="16"/>
                <w:szCs w:val="16"/>
              </w:rPr>
              <w:t xml:space="preserve">.122</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−0.08 (0.22)</w:t>
            </w:r>
          </w:p>
          <w:p>
            <w:pPr>
              <w:spacing w:after="20" w:before="20" w:line="240"/>
              <w:jc w:val="center"/>
            </w:pPr>
            <w:r>
              <w:rPr>
                <w:rFonts w:ascii="Times New Roman" w:cs="Times New Roman" w:eastAsia="Times New Roman" w:hAnsi="Times New Roman"/>
                <w:sz w:val="16"/>
                <w:szCs w:val="16"/>
              </w:rPr>
              <w:t xml:space="preserve">.725</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0.30 (0.17)</w:t>
            </w:r>
          </w:p>
          <w:p>
            <w:pPr>
              <w:spacing w:after="20" w:before="20" w:line="240"/>
              <w:jc w:val="center"/>
            </w:pPr>
            <w:r>
              <w:rPr>
                <w:rFonts w:ascii="Times New Roman" w:cs="Times New Roman" w:eastAsia="Times New Roman" w:hAnsi="Times New Roman"/>
                <w:sz w:val="16"/>
                <w:szCs w:val="16"/>
              </w:rPr>
              <w:t xml:space="preserve">.078</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0.13 (0.17)</w:t>
            </w:r>
          </w:p>
          <w:p>
            <w:pPr>
              <w:spacing w:after="20" w:before="20" w:line="240"/>
              <w:jc w:val="center"/>
            </w:pPr>
            <w:r>
              <w:rPr>
                <w:rFonts w:ascii="Times New Roman" w:cs="Times New Roman" w:eastAsia="Times New Roman" w:hAnsi="Times New Roman"/>
                <w:sz w:val="16"/>
                <w:szCs w:val="16"/>
              </w:rPr>
              <w:t xml:space="preserve">.438</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0.01 (0.17)</w:t>
            </w:r>
          </w:p>
          <w:p>
            <w:pPr>
              <w:spacing w:after="20" w:before="20" w:line="240"/>
              <w:jc w:val="center"/>
            </w:pPr>
            <w:r>
              <w:rPr>
                <w:rFonts w:ascii="Times New Roman" w:cs="Times New Roman" w:eastAsia="Times New Roman" w:hAnsi="Times New Roman"/>
                <w:sz w:val="16"/>
                <w:szCs w:val="16"/>
              </w:rPr>
              <w:t xml:space="preserve">.968</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−0.07 (0.20)</w:t>
            </w:r>
          </w:p>
          <w:p>
            <w:pPr>
              <w:spacing w:after="20" w:before="20" w:line="240"/>
              <w:jc w:val="center"/>
            </w:pPr>
            <w:r>
              <w:rPr>
                <w:rFonts w:ascii="Times New Roman" w:cs="Times New Roman" w:eastAsia="Times New Roman" w:hAnsi="Times New Roman"/>
                <w:sz w:val="16"/>
                <w:szCs w:val="16"/>
              </w:rPr>
              <w:t xml:space="preserve">.747</w:t>
            </w:r>
          </w:p>
        </w:tc>
        <w:tc>
          <w:tcPr>
            <w:tcW w:type="dxa" w:w="155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0.32 (0.36)</w:t>
            </w:r>
          </w:p>
          <w:p>
            <w:pPr>
              <w:spacing w:after="20" w:before="20" w:line="240"/>
              <w:jc w:val="center"/>
            </w:pPr>
            <w:r>
              <w:rPr>
                <w:rFonts w:ascii="Times New Roman" w:cs="Times New Roman" w:eastAsia="Times New Roman" w:hAnsi="Times New Roman"/>
                <w:sz w:val="16"/>
                <w:szCs w:val="16"/>
              </w:rPr>
              <w:t xml:space="preserve">.380</w:t>
            </w:r>
          </w:p>
        </w:tc>
      </w:tr>
      <w:tr>
        <w:trPr>
          <w:cantSplit/>
          <w:tblHeader w:val="off"/>
        </w:trPr>
        <w:tc>
          <w:tcPr>
            <w:tcW w:type="dxa" w:w="31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Intercept</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0.09 (0.26)</w:t>
            </w:r>
          </w:p>
          <w:p>
            <w:pPr>
              <w:spacing w:after="20" w:before="20" w:line="240"/>
              <w:jc w:val="center"/>
            </w:pPr>
            <w:r>
              <w:rPr>
                <w:rFonts w:ascii="Times New Roman" w:cs="Times New Roman" w:eastAsia="Times New Roman" w:hAnsi="Times New Roman"/>
                <w:sz w:val="16"/>
                <w:szCs w:val="16"/>
              </w:rPr>
              <w:t xml:space="preserve">.742</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−0.11 (0.24)</w:t>
            </w:r>
          </w:p>
          <w:p>
            <w:pPr>
              <w:spacing w:after="20" w:before="20" w:line="240"/>
              <w:jc w:val="center"/>
            </w:pPr>
            <w:r>
              <w:rPr>
                <w:rFonts w:ascii="Times New Roman" w:cs="Times New Roman" w:eastAsia="Times New Roman" w:hAnsi="Times New Roman"/>
                <w:sz w:val="16"/>
                <w:szCs w:val="16"/>
              </w:rPr>
              <w:t xml:space="preserve">.633</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−0.47 (0.23)</w:t>
            </w:r>
          </w:p>
          <w:p>
            <w:pPr>
              <w:spacing w:after="20" w:before="20" w:line="240"/>
              <w:jc w:val="center"/>
            </w:pPr>
            <w:r>
              <w:rPr>
                <w:rFonts w:ascii="Times New Roman" w:cs="Times New Roman" w:eastAsia="Times New Roman" w:hAnsi="Times New Roman"/>
                <w:sz w:val="16"/>
                <w:szCs w:val="16"/>
              </w:rPr>
              <w:t xml:space="preserve">.044</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−0.40 (0.24)</w:t>
            </w:r>
          </w:p>
          <w:p>
            <w:pPr>
              <w:spacing w:after="20" w:before="20" w:line="240"/>
              <w:jc w:val="center"/>
            </w:pPr>
            <w:r>
              <w:rPr>
                <w:rFonts w:ascii="Times New Roman" w:cs="Times New Roman" w:eastAsia="Times New Roman" w:hAnsi="Times New Roman"/>
                <w:sz w:val="16"/>
                <w:szCs w:val="16"/>
              </w:rPr>
              <w:t xml:space="preserve">.102</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−0.30 (0.24)</w:t>
            </w:r>
          </w:p>
          <w:p>
            <w:pPr>
              <w:spacing w:after="20" w:before="20" w:line="240"/>
              <w:jc w:val="center"/>
            </w:pPr>
            <w:r>
              <w:rPr>
                <w:rFonts w:ascii="Times New Roman" w:cs="Times New Roman" w:eastAsia="Times New Roman" w:hAnsi="Times New Roman"/>
                <w:sz w:val="16"/>
                <w:szCs w:val="16"/>
              </w:rPr>
              <w:t xml:space="preserve">.199</w:t>
            </w:r>
          </w:p>
        </w:tc>
        <w:tc>
          <w:tcPr>
            <w:tcW w:type="dxa" w:w="155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w:t>
            </w:r>
          </w:p>
        </w:tc>
      </w:tr>
      <w:tr>
        <w:trPr>
          <w:cantSplit/>
          <w:tblHeader w:val="off"/>
        </w:trPr>
        <w:tc>
          <w:tcPr>
            <w:tcW w:type="dxa" w:w="31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6"/>
                <w:szCs w:val="16"/>
              </w:rPr>
              <w:t xml:space="preserve">R</w:t>
            </w:r>
            <w:r>
              <w:rPr>
                <w:rFonts w:ascii="Times New Roman" w:cs="Times New Roman" w:eastAsia="Times New Roman" w:hAnsi="Times New Roman"/>
                <w:sz w:val="16"/>
                <w:szCs w:val="16"/>
              </w:rPr>
              <w:t xml:space="preserve">²</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.19</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.25</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.19</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.14</w:t>
            </w:r>
          </w:p>
        </w:tc>
        <w:tc>
          <w:tcPr>
            <w:tcW w:type="dxa" w:w="155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.08</w:t>
            </w:r>
          </w:p>
        </w:tc>
        <w:tc>
          <w:tcPr>
            <w:tcW w:type="dxa" w:w="155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w:t>
            </w:r>
          </w:p>
        </w:tc>
      </w:tr>
      <w:tr>
        <w:trPr>
          <w:cantSplit/>
          <w:tblHeader w:val="off"/>
        </w:trPr>
        <w:tc>
          <w:tcPr>
            <w:tcW w:type="dxa" w:w="310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6"/>
                <w:szCs w:val="16"/>
              </w:rPr>
              <w:t xml:space="preserve">n</w:t>
            </w:r>
          </w:p>
        </w:tc>
        <w:tc>
          <w:tcPr>
            <w:tcW w:type="dxa" w:w="1551"/>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246</w:t>
            </w:r>
          </w:p>
        </w:tc>
        <w:tc>
          <w:tcPr>
            <w:tcW w:type="dxa" w:w="1551"/>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260</w:t>
            </w:r>
          </w:p>
        </w:tc>
        <w:tc>
          <w:tcPr>
            <w:tcW w:type="dxa" w:w="1551"/>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260</w:t>
            </w:r>
          </w:p>
        </w:tc>
        <w:tc>
          <w:tcPr>
            <w:tcW w:type="dxa" w:w="1551"/>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260</w:t>
            </w:r>
          </w:p>
        </w:tc>
        <w:tc>
          <w:tcPr>
            <w:tcW w:type="dxa" w:w="1551"/>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260</w:t>
            </w:r>
          </w:p>
        </w:tc>
        <w:tc>
          <w:tcPr>
            <w:tcW w:type="dxa" w:w="1551"/>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260</w:t>
            </w:r>
          </w:p>
        </w:tc>
        <w:tc>
          <w:tcPr>
            <w:tcW w:type="dxa" w:w="1550"/>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260</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Entries are coefficients with standard errors in parentheses; the second line is the </w:t>
      </w: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value. Ordinal models (grade; single-item life satisfaction): proportional-odds logistic regression, coefficients are log-odds (odds ratio = exp(coefficient)); thresholds are omitted. Other outcomes: ordinary least squares on standardised scores with HC3 standard errors. Grade models use the analytic cases with a reported grade category.</w:t>
      </w:r>
    </w:p>
    <w:p>
      <w:pPr>
        <w:keepNext/>
        <w:spacing w:after="80" w:before="240" w:line="276"/>
        <w:jc w:val="left"/>
      </w:pPr>
      <w:r>
        <w:rPr>
          <w:rFonts w:ascii="Times New Roman" w:cs="Times New Roman" w:eastAsia="Times New Roman" w:hAnsi="Times New Roman"/>
          <w:b/>
          <w:bCs/>
          <w:sz w:val="22"/>
          <w:szCs w:val="22"/>
        </w:rPr>
        <w:t xml:space="preserve">Table S5b </w:t>
      </w:r>
      <w:r>
        <w:rPr>
          <w:rFonts w:ascii="Times New Roman" w:cs="Times New Roman" w:eastAsia="Times New Roman" w:hAnsi="Times New Roman"/>
          <w:sz w:val="22"/>
          <w:szCs w:val="22"/>
        </w:rPr>
        <w:t xml:space="preserve">Relationship-experienced students: complete coefficients, four-item interference scale (primary)</w:t>
      </w:r>
    </w:p>
    <w:tbl>
      <w:tblPr>
        <w:tblW w:type="dxa" w:w="1395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63"/>
        <w:gridCol w:w="1766"/>
        <w:gridCol w:w="1766"/>
        <w:gridCol w:w="1766"/>
        <w:gridCol w:w="1766"/>
        <w:gridCol w:w="1766"/>
        <w:gridCol w:w="1765"/>
      </w:tblGrid>
      <w:tr>
        <w:trPr>
          <w:cantSplit/>
          <w:tblHeader/>
        </w:trPr>
        <w:tc>
          <w:tcPr>
            <w:tcW w:type="dxa" w:w="336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Term</w:t>
            </w:r>
          </w:p>
        </w:tc>
        <w:tc>
          <w:tcPr>
            <w:tcW w:type="dxa" w:w="176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Interference</w:t>
            </w:r>
          </w:p>
        </w:tc>
        <w:tc>
          <w:tcPr>
            <w:tcW w:type="dxa" w:w="176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Well-being</w:t>
            </w:r>
          </w:p>
        </w:tc>
        <w:tc>
          <w:tcPr>
            <w:tcW w:type="dxa" w:w="176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Motivation</w:t>
            </w:r>
          </w:p>
        </w:tc>
        <w:tc>
          <w:tcPr>
            <w:tcW w:type="dxa" w:w="176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Engagement</w:t>
            </w:r>
          </w:p>
        </w:tc>
        <w:tc>
          <w:tcPr>
            <w:tcW w:type="dxa" w:w="176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Integration</w:t>
            </w:r>
          </w:p>
        </w:tc>
        <w:tc>
          <w:tcPr>
            <w:tcW w:type="dxa" w:w="176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Grade (ordinal)</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Relationship quality</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−0.01 (0.10)</w:t>
            </w:r>
          </w:p>
          <w:p>
            <w:pPr>
              <w:spacing w:after="20" w:before="20" w:line="240"/>
              <w:jc w:val="center"/>
            </w:pPr>
            <w:r>
              <w:rPr>
                <w:rFonts w:ascii="Times New Roman" w:cs="Times New Roman" w:eastAsia="Times New Roman" w:hAnsi="Times New Roman"/>
                <w:sz w:val="16"/>
                <w:szCs w:val="16"/>
              </w:rPr>
              <w:t xml:space="preserve">.897</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0.29 (0.13)</w:t>
            </w:r>
          </w:p>
          <w:p>
            <w:pPr>
              <w:spacing w:after="20" w:before="20" w:line="240"/>
              <w:jc w:val="center"/>
            </w:pPr>
            <w:r>
              <w:rPr>
                <w:rFonts w:ascii="Times New Roman" w:cs="Times New Roman" w:eastAsia="Times New Roman" w:hAnsi="Times New Roman"/>
                <w:sz w:val="16"/>
                <w:szCs w:val="16"/>
              </w:rPr>
              <w:t xml:space="preserve">.028</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0.30 (0.11)</w:t>
            </w:r>
          </w:p>
          <w:p>
            <w:pPr>
              <w:spacing w:after="20" w:before="20" w:line="240"/>
              <w:jc w:val="center"/>
            </w:pPr>
            <w:r>
              <w:rPr>
                <w:rFonts w:ascii="Times New Roman" w:cs="Times New Roman" w:eastAsia="Times New Roman" w:hAnsi="Times New Roman"/>
                <w:sz w:val="16"/>
                <w:szCs w:val="16"/>
              </w:rPr>
              <w:t xml:space="preserve">.008</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0.29 (0.13)</w:t>
            </w:r>
          </w:p>
          <w:p>
            <w:pPr>
              <w:spacing w:after="20" w:before="20" w:line="240"/>
              <w:jc w:val="center"/>
            </w:pPr>
            <w:r>
              <w:rPr>
                <w:rFonts w:ascii="Times New Roman" w:cs="Times New Roman" w:eastAsia="Times New Roman" w:hAnsi="Times New Roman"/>
                <w:sz w:val="16"/>
                <w:szCs w:val="16"/>
              </w:rPr>
              <w:t xml:space="preserve">.021</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0.25 (0.14)</w:t>
            </w:r>
          </w:p>
          <w:p>
            <w:pPr>
              <w:spacing w:after="20" w:before="20" w:line="240"/>
              <w:jc w:val="center"/>
            </w:pPr>
            <w:r>
              <w:rPr>
                <w:rFonts w:ascii="Times New Roman" w:cs="Times New Roman" w:eastAsia="Times New Roman" w:hAnsi="Times New Roman"/>
                <w:sz w:val="16"/>
                <w:szCs w:val="16"/>
              </w:rPr>
              <w:t xml:space="preserve">.082</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−0.20 (0.23)</w:t>
            </w:r>
          </w:p>
          <w:p>
            <w:pPr>
              <w:spacing w:after="20" w:before="20" w:line="240"/>
              <w:jc w:val="center"/>
            </w:pPr>
            <w:r>
              <w:rPr>
                <w:rFonts w:ascii="Times New Roman" w:cs="Times New Roman" w:eastAsia="Times New Roman" w:hAnsi="Times New Roman"/>
                <w:sz w:val="16"/>
                <w:szCs w:val="16"/>
              </w:rPr>
              <w:t xml:space="preserve">.395</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Relationship strain</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0.62 (0.09)</w:t>
            </w:r>
          </w:p>
          <w:p>
            <w:pPr>
              <w:spacing w:after="20" w:before="20" w:line="240"/>
              <w:jc w:val="center"/>
            </w:pPr>
            <w:r>
              <w:rPr>
                <w:rFonts w:ascii="Times New Roman" w:cs="Times New Roman" w:eastAsia="Times New Roman" w:hAnsi="Times New Roman"/>
                <w:sz w:val="16"/>
                <w:szCs w:val="16"/>
              </w:rPr>
              <w:t xml:space="preserve">&lt; .001</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−0.18 (0.15)</w:t>
            </w:r>
          </w:p>
          <w:p>
            <w:pPr>
              <w:spacing w:after="20" w:before="20" w:line="240"/>
              <w:jc w:val="center"/>
            </w:pPr>
            <w:r>
              <w:rPr>
                <w:rFonts w:ascii="Times New Roman" w:cs="Times New Roman" w:eastAsia="Times New Roman" w:hAnsi="Times New Roman"/>
                <w:sz w:val="16"/>
                <w:szCs w:val="16"/>
              </w:rPr>
              <w:t xml:space="preserve">.238</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0.26 (0.14)</w:t>
            </w:r>
          </w:p>
          <w:p>
            <w:pPr>
              <w:spacing w:after="20" w:before="20" w:line="240"/>
              <w:jc w:val="center"/>
            </w:pPr>
            <w:r>
              <w:rPr>
                <w:rFonts w:ascii="Times New Roman" w:cs="Times New Roman" w:eastAsia="Times New Roman" w:hAnsi="Times New Roman"/>
                <w:sz w:val="16"/>
                <w:szCs w:val="16"/>
              </w:rPr>
              <w:t xml:space="preserve">.063</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0.10 (0.13)</w:t>
            </w:r>
          </w:p>
          <w:p>
            <w:pPr>
              <w:spacing w:after="20" w:before="20" w:line="240"/>
              <w:jc w:val="center"/>
            </w:pPr>
            <w:r>
              <w:rPr>
                <w:rFonts w:ascii="Times New Roman" w:cs="Times New Roman" w:eastAsia="Times New Roman" w:hAnsi="Times New Roman"/>
                <w:sz w:val="16"/>
                <w:szCs w:val="16"/>
              </w:rPr>
              <w:t xml:space="preserve">.465</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−0.03 (0.15)</w:t>
            </w:r>
          </w:p>
          <w:p>
            <w:pPr>
              <w:spacing w:after="20" w:before="20" w:line="240"/>
              <w:jc w:val="center"/>
            </w:pPr>
            <w:r>
              <w:rPr>
                <w:rFonts w:ascii="Times New Roman" w:cs="Times New Roman" w:eastAsia="Times New Roman" w:hAnsi="Times New Roman"/>
                <w:sz w:val="16"/>
                <w:szCs w:val="16"/>
              </w:rPr>
              <w:t xml:space="preserve">.825</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−0.13 (0.29)</w:t>
            </w:r>
          </w:p>
          <w:p>
            <w:pPr>
              <w:spacing w:after="20" w:before="20" w:line="240"/>
              <w:jc w:val="center"/>
            </w:pPr>
            <w:r>
              <w:rPr>
                <w:rFonts w:ascii="Times New Roman" w:cs="Times New Roman" w:eastAsia="Times New Roman" w:hAnsi="Times New Roman"/>
                <w:sz w:val="16"/>
                <w:szCs w:val="16"/>
              </w:rPr>
              <w:t xml:space="preserve">.662</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Interference (four items)</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0.16 (0.13)</w:t>
            </w:r>
          </w:p>
          <w:p>
            <w:pPr>
              <w:spacing w:after="20" w:before="20" w:line="240"/>
              <w:jc w:val="center"/>
            </w:pPr>
            <w:r>
              <w:rPr>
                <w:rFonts w:ascii="Times New Roman" w:cs="Times New Roman" w:eastAsia="Times New Roman" w:hAnsi="Times New Roman"/>
                <w:sz w:val="16"/>
                <w:szCs w:val="16"/>
              </w:rPr>
              <w:t xml:space="preserve">.212</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−0.34 (0.13)</w:t>
            </w:r>
          </w:p>
          <w:p>
            <w:pPr>
              <w:spacing w:after="20" w:before="20" w:line="240"/>
              <w:jc w:val="center"/>
            </w:pPr>
            <w:r>
              <w:rPr>
                <w:rFonts w:ascii="Times New Roman" w:cs="Times New Roman" w:eastAsia="Times New Roman" w:hAnsi="Times New Roman"/>
                <w:sz w:val="16"/>
                <w:szCs w:val="16"/>
              </w:rPr>
              <w:t xml:space="preserve">.009</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−0.26 (0.13)</w:t>
            </w:r>
          </w:p>
          <w:p>
            <w:pPr>
              <w:spacing w:after="20" w:before="20" w:line="240"/>
              <w:jc w:val="center"/>
            </w:pPr>
            <w:r>
              <w:rPr>
                <w:rFonts w:ascii="Times New Roman" w:cs="Times New Roman" w:eastAsia="Times New Roman" w:hAnsi="Times New Roman"/>
                <w:sz w:val="16"/>
                <w:szCs w:val="16"/>
              </w:rPr>
              <w:t xml:space="preserve">.037</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−0.01 (0.13)</w:t>
            </w:r>
          </w:p>
          <w:p>
            <w:pPr>
              <w:spacing w:after="20" w:before="20" w:line="240"/>
              <w:jc w:val="center"/>
            </w:pPr>
            <w:r>
              <w:rPr>
                <w:rFonts w:ascii="Times New Roman" w:cs="Times New Roman" w:eastAsia="Times New Roman" w:hAnsi="Times New Roman"/>
                <w:sz w:val="16"/>
                <w:szCs w:val="16"/>
              </w:rPr>
              <w:t xml:space="preserve">.927</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−0.48 (0.28)</w:t>
            </w:r>
          </w:p>
          <w:p>
            <w:pPr>
              <w:spacing w:after="20" w:before="20" w:line="240"/>
              <w:jc w:val="center"/>
            </w:pPr>
            <w:r>
              <w:rPr>
                <w:rFonts w:ascii="Times New Roman" w:cs="Times New Roman" w:eastAsia="Times New Roman" w:hAnsi="Times New Roman"/>
                <w:sz w:val="16"/>
                <w:szCs w:val="16"/>
              </w:rPr>
              <w:t xml:space="preserve">.085</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Woman</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0.05 (0.18)</w:t>
            </w:r>
          </w:p>
          <w:p>
            <w:pPr>
              <w:spacing w:after="20" w:before="20" w:line="240"/>
              <w:jc w:val="center"/>
            </w:pPr>
            <w:r>
              <w:rPr>
                <w:rFonts w:ascii="Times New Roman" w:cs="Times New Roman" w:eastAsia="Times New Roman" w:hAnsi="Times New Roman"/>
                <w:sz w:val="16"/>
                <w:szCs w:val="16"/>
              </w:rPr>
              <w:t xml:space="preserve">.766</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0.10 (0.19)</w:t>
            </w:r>
          </w:p>
          <w:p>
            <w:pPr>
              <w:spacing w:after="20" w:before="20" w:line="240"/>
              <w:jc w:val="center"/>
            </w:pPr>
            <w:r>
              <w:rPr>
                <w:rFonts w:ascii="Times New Roman" w:cs="Times New Roman" w:eastAsia="Times New Roman" w:hAnsi="Times New Roman"/>
                <w:sz w:val="16"/>
                <w:szCs w:val="16"/>
              </w:rPr>
              <w:t xml:space="preserve">.597</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−0.08 (0.20)</w:t>
            </w:r>
          </w:p>
          <w:p>
            <w:pPr>
              <w:spacing w:after="20" w:before="20" w:line="240"/>
              <w:jc w:val="center"/>
            </w:pPr>
            <w:r>
              <w:rPr>
                <w:rFonts w:ascii="Times New Roman" w:cs="Times New Roman" w:eastAsia="Times New Roman" w:hAnsi="Times New Roman"/>
                <w:sz w:val="16"/>
                <w:szCs w:val="16"/>
              </w:rPr>
              <w:t xml:space="preserve">.696</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−0.05 (0.21)</w:t>
            </w:r>
          </w:p>
          <w:p>
            <w:pPr>
              <w:spacing w:after="20" w:before="20" w:line="240"/>
              <w:jc w:val="center"/>
            </w:pPr>
            <w:r>
              <w:rPr>
                <w:rFonts w:ascii="Times New Roman" w:cs="Times New Roman" w:eastAsia="Times New Roman" w:hAnsi="Times New Roman"/>
                <w:sz w:val="16"/>
                <w:szCs w:val="16"/>
              </w:rPr>
              <w:t xml:space="preserve">.809</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0.22 (0.21)</w:t>
            </w:r>
          </w:p>
          <w:p>
            <w:pPr>
              <w:spacing w:after="20" w:before="20" w:line="240"/>
              <w:jc w:val="center"/>
            </w:pPr>
            <w:r>
              <w:rPr>
                <w:rFonts w:ascii="Times New Roman" w:cs="Times New Roman" w:eastAsia="Times New Roman" w:hAnsi="Times New Roman"/>
                <w:sz w:val="16"/>
                <w:szCs w:val="16"/>
              </w:rPr>
              <w:t xml:space="preserve">.298</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1.42 (0.47)</w:t>
            </w:r>
          </w:p>
          <w:p>
            <w:pPr>
              <w:spacing w:after="20" w:before="20" w:line="240"/>
              <w:jc w:val="center"/>
            </w:pPr>
            <w:r>
              <w:rPr>
                <w:rFonts w:ascii="Times New Roman" w:cs="Times New Roman" w:eastAsia="Times New Roman" w:hAnsi="Times New Roman"/>
                <w:sz w:val="16"/>
                <w:szCs w:val="16"/>
              </w:rPr>
              <w:t xml:space="preserve">.002</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First year</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0.21 (0.19)</w:t>
            </w:r>
          </w:p>
          <w:p>
            <w:pPr>
              <w:spacing w:after="20" w:before="20" w:line="240"/>
              <w:jc w:val="center"/>
            </w:pPr>
            <w:r>
              <w:rPr>
                <w:rFonts w:ascii="Times New Roman" w:cs="Times New Roman" w:eastAsia="Times New Roman" w:hAnsi="Times New Roman"/>
                <w:sz w:val="16"/>
                <w:szCs w:val="16"/>
              </w:rPr>
              <w:t xml:space="preserve">.256</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−0.13 (0.24)</w:t>
            </w:r>
          </w:p>
          <w:p>
            <w:pPr>
              <w:spacing w:after="20" w:before="20" w:line="240"/>
              <w:jc w:val="center"/>
            </w:pPr>
            <w:r>
              <w:rPr>
                <w:rFonts w:ascii="Times New Roman" w:cs="Times New Roman" w:eastAsia="Times New Roman" w:hAnsi="Times New Roman"/>
                <w:sz w:val="16"/>
                <w:szCs w:val="16"/>
              </w:rPr>
              <w:t xml:space="preserve">.600</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0.16 (0.25)</w:t>
            </w:r>
          </w:p>
          <w:p>
            <w:pPr>
              <w:spacing w:after="20" w:before="20" w:line="240"/>
              <w:jc w:val="center"/>
            </w:pPr>
            <w:r>
              <w:rPr>
                <w:rFonts w:ascii="Times New Roman" w:cs="Times New Roman" w:eastAsia="Times New Roman" w:hAnsi="Times New Roman"/>
                <w:sz w:val="16"/>
                <w:szCs w:val="16"/>
              </w:rPr>
              <w:t xml:space="preserve">.538</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−0.23 (0.26)</w:t>
            </w:r>
          </w:p>
          <w:p>
            <w:pPr>
              <w:spacing w:after="20" w:before="20" w:line="240"/>
              <w:jc w:val="center"/>
            </w:pPr>
            <w:r>
              <w:rPr>
                <w:rFonts w:ascii="Times New Roman" w:cs="Times New Roman" w:eastAsia="Times New Roman" w:hAnsi="Times New Roman"/>
                <w:sz w:val="16"/>
                <w:szCs w:val="16"/>
              </w:rPr>
              <w:t xml:space="preserve">.373</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0.15 (0.26)</w:t>
            </w:r>
          </w:p>
          <w:p>
            <w:pPr>
              <w:spacing w:after="20" w:before="20" w:line="240"/>
              <w:jc w:val="center"/>
            </w:pPr>
            <w:r>
              <w:rPr>
                <w:rFonts w:ascii="Times New Roman" w:cs="Times New Roman" w:eastAsia="Times New Roman" w:hAnsi="Times New Roman"/>
                <w:sz w:val="16"/>
                <w:szCs w:val="16"/>
              </w:rPr>
              <w:t xml:space="preserve">.576</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0.43 (0.48)</w:t>
            </w:r>
          </w:p>
          <w:p>
            <w:pPr>
              <w:spacing w:after="20" w:before="20" w:line="240"/>
              <w:jc w:val="center"/>
            </w:pPr>
            <w:r>
              <w:rPr>
                <w:rFonts w:ascii="Times New Roman" w:cs="Times New Roman" w:eastAsia="Times New Roman" w:hAnsi="Times New Roman"/>
                <w:sz w:val="16"/>
                <w:szCs w:val="16"/>
              </w:rPr>
              <w:t xml:space="preserve">.370</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Mass communication</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−1.05 (0.25)</w:t>
            </w:r>
          </w:p>
          <w:p>
            <w:pPr>
              <w:spacing w:after="20" w:before="20" w:line="240"/>
              <w:jc w:val="center"/>
            </w:pPr>
            <w:r>
              <w:rPr>
                <w:rFonts w:ascii="Times New Roman" w:cs="Times New Roman" w:eastAsia="Times New Roman" w:hAnsi="Times New Roman"/>
                <w:sz w:val="16"/>
                <w:szCs w:val="16"/>
              </w:rPr>
              <w:t xml:space="preserve">&lt; .001</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0.43 (0.34)</w:t>
            </w:r>
          </w:p>
          <w:p>
            <w:pPr>
              <w:spacing w:after="20" w:before="20" w:line="240"/>
              <w:jc w:val="center"/>
            </w:pPr>
            <w:r>
              <w:rPr>
                <w:rFonts w:ascii="Times New Roman" w:cs="Times New Roman" w:eastAsia="Times New Roman" w:hAnsi="Times New Roman"/>
                <w:sz w:val="16"/>
                <w:szCs w:val="16"/>
              </w:rPr>
              <w:t xml:space="preserve">.213</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0.38 (0.32)</w:t>
            </w:r>
          </w:p>
          <w:p>
            <w:pPr>
              <w:spacing w:after="20" w:before="20" w:line="240"/>
              <w:jc w:val="center"/>
            </w:pPr>
            <w:r>
              <w:rPr>
                <w:rFonts w:ascii="Times New Roman" w:cs="Times New Roman" w:eastAsia="Times New Roman" w:hAnsi="Times New Roman"/>
                <w:sz w:val="16"/>
                <w:szCs w:val="16"/>
              </w:rPr>
              <w:t xml:space="preserve">.241</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0.51 (0.34)</w:t>
            </w:r>
          </w:p>
          <w:p>
            <w:pPr>
              <w:spacing w:after="20" w:before="20" w:line="240"/>
              <w:jc w:val="center"/>
            </w:pPr>
            <w:r>
              <w:rPr>
                <w:rFonts w:ascii="Times New Roman" w:cs="Times New Roman" w:eastAsia="Times New Roman" w:hAnsi="Times New Roman"/>
                <w:sz w:val="16"/>
                <w:szCs w:val="16"/>
              </w:rPr>
              <w:t xml:space="preserve">.130</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−0.02 (0.32)</w:t>
            </w:r>
          </w:p>
          <w:p>
            <w:pPr>
              <w:spacing w:after="20" w:before="20" w:line="240"/>
              <w:jc w:val="center"/>
            </w:pPr>
            <w:r>
              <w:rPr>
                <w:rFonts w:ascii="Times New Roman" w:cs="Times New Roman" w:eastAsia="Times New Roman" w:hAnsi="Times New Roman"/>
                <w:sz w:val="16"/>
                <w:szCs w:val="16"/>
              </w:rPr>
              <w:t xml:space="preserve">.944</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3.63 (0.93)</w:t>
            </w:r>
          </w:p>
          <w:p>
            <w:pPr>
              <w:spacing w:after="20" w:before="20" w:line="240"/>
              <w:jc w:val="center"/>
            </w:pPr>
            <w:r>
              <w:rPr>
                <w:rFonts w:ascii="Times New Roman" w:cs="Times New Roman" w:eastAsia="Times New Roman" w:hAnsi="Times New Roman"/>
                <w:sz w:val="16"/>
                <w:szCs w:val="16"/>
              </w:rPr>
              <w:t xml:space="preserve">&lt; .001</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Economics and political science</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−0.60 (0.25)</w:t>
            </w:r>
          </w:p>
          <w:p>
            <w:pPr>
              <w:spacing w:after="20" w:before="20" w:line="240"/>
              <w:jc w:val="center"/>
            </w:pPr>
            <w:r>
              <w:rPr>
                <w:rFonts w:ascii="Times New Roman" w:cs="Times New Roman" w:eastAsia="Times New Roman" w:hAnsi="Times New Roman"/>
                <w:sz w:val="16"/>
                <w:szCs w:val="16"/>
              </w:rPr>
              <w:t xml:space="preserve">.016</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0.34 (0.41)</w:t>
            </w:r>
          </w:p>
          <w:p>
            <w:pPr>
              <w:spacing w:after="20" w:before="20" w:line="240"/>
              <w:jc w:val="center"/>
            </w:pPr>
            <w:r>
              <w:rPr>
                <w:rFonts w:ascii="Times New Roman" w:cs="Times New Roman" w:eastAsia="Times New Roman" w:hAnsi="Times New Roman"/>
                <w:sz w:val="16"/>
                <w:szCs w:val="16"/>
              </w:rPr>
              <w:t xml:space="preserve">.405</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0.77 (0.35)</w:t>
            </w:r>
          </w:p>
          <w:p>
            <w:pPr>
              <w:spacing w:after="20" w:before="20" w:line="240"/>
              <w:jc w:val="center"/>
            </w:pPr>
            <w:r>
              <w:rPr>
                <w:rFonts w:ascii="Times New Roman" w:cs="Times New Roman" w:eastAsia="Times New Roman" w:hAnsi="Times New Roman"/>
                <w:sz w:val="16"/>
                <w:szCs w:val="16"/>
              </w:rPr>
              <w:t xml:space="preserve">.029</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−0.04 (0.39)</w:t>
            </w:r>
          </w:p>
          <w:p>
            <w:pPr>
              <w:spacing w:after="20" w:before="20" w:line="240"/>
              <w:jc w:val="center"/>
            </w:pPr>
            <w:r>
              <w:rPr>
                <w:rFonts w:ascii="Times New Roman" w:cs="Times New Roman" w:eastAsia="Times New Roman" w:hAnsi="Times New Roman"/>
                <w:sz w:val="16"/>
                <w:szCs w:val="16"/>
              </w:rPr>
              <w:t xml:space="preserve">.927</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0.12 (0.41)</w:t>
            </w:r>
          </w:p>
          <w:p>
            <w:pPr>
              <w:spacing w:after="20" w:before="20" w:line="240"/>
              <w:jc w:val="center"/>
            </w:pPr>
            <w:r>
              <w:rPr>
                <w:rFonts w:ascii="Times New Roman" w:cs="Times New Roman" w:eastAsia="Times New Roman" w:hAnsi="Times New Roman"/>
                <w:sz w:val="16"/>
                <w:szCs w:val="16"/>
              </w:rPr>
              <w:t xml:space="preserve">.777</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2.93 (0.96)</w:t>
            </w:r>
          </w:p>
          <w:p>
            <w:pPr>
              <w:spacing w:after="20" w:before="20" w:line="240"/>
              <w:jc w:val="center"/>
            </w:pPr>
            <w:r>
              <w:rPr>
                <w:rFonts w:ascii="Times New Roman" w:cs="Times New Roman" w:eastAsia="Times New Roman" w:hAnsi="Times New Roman"/>
                <w:sz w:val="16"/>
                <w:szCs w:val="16"/>
              </w:rPr>
              <w:t xml:space="preserve">.002</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Science, engineering and health</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−0.34 (0.19)</w:t>
            </w:r>
          </w:p>
          <w:p>
            <w:pPr>
              <w:spacing w:after="20" w:before="20" w:line="240"/>
              <w:jc w:val="center"/>
            </w:pPr>
            <w:r>
              <w:rPr>
                <w:rFonts w:ascii="Times New Roman" w:cs="Times New Roman" w:eastAsia="Times New Roman" w:hAnsi="Times New Roman"/>
                <w:sz w:val="16"/>
                <w:szCs w:val="16"/>
              </w:rPr>
              <w:t xml:space="preserve">.070</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0.09 (0.31)</w:t>
            </w:r>
          </w:p>
          <w:p>
            <w:pPr>
              <w:spacing w:after="20" w:before="20" w:line="240"/>
              <w:jc w:val="center"/>
            </w:pPr>
            <w:r>
              <w:rPr>
                <w:rFonts w:ascii="Times New Roman" w:cs="Times New Roman" w:eastAsia="Times New Roman" w:hAnsi="Times New Roman"/>
                <w:sz w:val="16"/>
                <w:szCs w:val="16"/>
              </w:rPr>
              <w:t xml:space="preserve">.772</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−0.17 (0.25)</w:t>
            </w:r>
          </w:p>
          <w:p>
            <w:pPr>
              <w:spacing w:after="20" w:before="20" w:line="240"/>
              <w:jc w:val="center"/>
            </w:pPr>
            <w:r>
              <w:rPr>
                <w:rFonts w:ascii="Times New Roman" w:cs="Times New Roman" w:eastAsia="Times New Roman" w:hAnsi="Times New Roman"/>
                <w:sz w:val="16"/>
                <w:szCs w:val="16"/>
              </w:rPr>
              <w:t xml:space="preserve">.503</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−0.22 (0.27)</w:t>
            </w:r>
          </w:p>
          <w:p>
            <w:pPr>
              <w:spacing w:after="20" w:before="20" w:line="240"/>
              <w:jc w:val="center"/>
            </w:pPr>
            <w:r>
              <w:rPr>
                <w:rFonts w:ascii="Times New Roman" w:cs="Times New Roman" w:eastAsia="Times New Roman" w:hAnsi="Times New Roman"/>
                <w:sz w:val="16"/>
                <w:szCs w:val="16"/>
              </w:rPr>
              <w:t xml:space="preserve">.409</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−0.04 (0.31)</w:t>
            </w:r>
          </w:p>
          <w:p>
            <w:pPr>
              <w:spacing w:after="20" w:before="20" w:line="240"/>
              <w:jc w:val="center"/>
            </w:pPr>
            <w:r>
              <w:rPr>
                <w:rFonts w:ascii="Times New Roman" w:cs="Times New Roman" w:eastAsia="Times New Roman" w:hAnsi="Times New Roman"/>
                <w:sz w:val="16"/>
                <w:szCs w:val="16"/>
              </w:rPr>
              <w:t xml:space="preserve">.886</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2.29 (0.55)</w:t>
            </w:r>
          </w:p>
          <w:p>
            <w:pPr>
              <w:spacing w:after="20" w:before="20" w:line="240"/>
              <w:jc w:val="center"/>
            </w:pPr>
            <w:r>
              <w:rPr>
                <w:rFonts w:ascii="Times New Roman" w:cs="Times New Roman" w:eastAsia="Times New Roman" w:hAnsi="Times New Roman"/>
                <w:sz w:val="16"/>
                <w:szCs w:val="16"/>
              </w:rPr>
              <w:t xml:space="preserve">&lt; .001</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Education and other</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−0.01 (0.28)</w:t>
            </w:r>
          </w:p>
          <w:p>
            <w:pPr>
              <w:spacing w:after="20" w:before="20" w:line="240"/>
              <w:jc w:val="center"/>
            </w:pPr>
            <w:r>
              <w:rPr>
                <w:rFonts w:ascii="Times New Roman" w:cs="Times New Roman" w:eastAsia="Times New Roman" w:hAnsi="Times New Roman"/>
                <w:sz w:val="16"/>
                <w:szCs w:val="16"/>
              </w:rPr>
              <w:t xml:space="preserve">.980</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0.18 (0.23)</w:t>
            </w:r>
          </w:p>
          <w:p>
            <w:pPr>
              <w:spacing w:after="20" w:before="20" w:line="240"/>
              <w:jc w:val="center"/>
            </w:pPr>
            <w:r>
              <w:rPr>
                <w:rFonts w:ascii="Times New Roman" w:cs="Times New Roman" w:eastAsia="Times New Roman" w:hAnsi="Times New Roman"/>
                <w:sz w:val="16"/>
                <w:szCs w:val="16"/>
              </w:rPr>
              <w:t xml:space="preserve">.430</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−0.13 (0.33)</w:t>
            </w:r>
          </w:p>
          <w:p>
            <w:pPr>
              <w:spacing w:after="20" w:before="20" w:line="240"/>
              <w:jc w:val="center"/>
            </w:pPr>
            <w:r>
              <w:rPr>
                <w:rFonts w:ascii="Times New Roman" w:cs="Times New Roman" w:eastAsia="Times New Roman" w:hAnsi="Times New Roman"/>
                <w:sz w:val="16"/>
                <w:szCs w:val="16"/>
              </w:rPr>
              <w:t xml:space="preserve">.685</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−0.42 (0.33)</w:t>
            </w:r>
          </w:p>
          <w:p>
            <w:pPr>
              <w:spacing w:after="20" w:before="20" w:line="240"/>
              <w:jc w:val="center"/>
            </w:pPr>
            <w:r>
              <w:rPr>
                <w:rFonts w:ascii="Times New Roman" w:cs="Times New Roman" w:eastAsia="Times New Roman" w:hAnsi="Times New Roman"/>
                <w:sz w:val="16"/>
                <w:szCs w:val="16"/>
              </w:rPr>
              <w:t xml:space="preserve">.212</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0.18 (0.27)</w:t>
            </w:r>
          </w:p>
          <w:p>
            <w:pPr>
              <w:spacing w:after="20" w:before="20" w:line="240"/>
              <w:jc w:val="center"/>
            </w:pPr>
            <w:r>
              <w:rPr>
                <w:rFonts w:ascii="Times New Roman" w:cs="Times New Roman" w:eastAsia="Times New Roman" w:hAnsi="Times New Roman"/>
                <w:sz w:val="16"/>
                <w:szCs w:val="16"/>
              </w:rPr>
              <w:t xml:space="preserve">.516</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2.10 (0.61)</w:t>
            </w:r>
          </w:p>
          <w:p>
            <w:pPr>
              <w:spacing w:after="20" w:before="20" w:line="240"/>
              <w:jc w:val="center"/>
            </w:pPr>
            <w:r>
              <w:rPr>
                <w:rFonts w:ascii="Times New Roman" w:cs="Times New Roman" w:eastAsia="Times New Roman" w:hAnsi="Times New Roman"/>
                <w:sz w:val="16"/>
                <w:szCs w:val="16"/>
              </w:rPr>
              <w:t xml:space="preserve">&lt; .001</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Daily allowance (1–4)</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0.13 (0.08)</w:t>
            </w:r>
          </w:p>
          <w:p>
            <w:pPr>
              <w:spacing w:after="20" w:before="20" w:line="240"/>
              <w:jc w:val="center"/>
            </w:pPr>
            <w:r>
              <w:rPr>
                <w:rFonts w:ascii="Times New Roman" w:cs="Times New Roman" w:eastAsia="Times New Roman" w:hAnsi="Times New Roman"/>
                <w:sz w:val="16"/>
                <w:szCs w:val="16"/>
              </w:rPr>
              <w:t xml:space="preserve">.099</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0.07 (0.09)</w:t>
            </w:r>
          </w:p>
          <w:p>
            <w:pPr>
              <w:spacing w:after="20" w:before="20" w:line="240"/>
              <w:jc w:val="center"/>
            </w:pPr>
            <w:r>
              <w:rPr>
                <w:rFonts w:ascii="Times New Roman" w:cs="Times New Roman" w:eastAsia="Times New Roman" w:hAnsi="Times New Roman"/>
                <w:sz w:val="16"/>
                <w:szCs w:val="16"/>
              </w:rPr>
              <w:t xml:space="preserve">.421</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0.08 (0.09)</w:t>
            </w:r>
          </w:p>
          <w:p>
            <w:pPr>
              <w:spacing w:after="20" w:before="20" w:line="240"/>
              <w:jc w:val="center"/>
            </w:pPr>
            <w:r>
              <w:rPr>
                <w:rFonts w:ascii="Times New Roman" w:cs="Times New Roman" w:eastAsia="Times New Roman" w:hAnsi="Times New Roman"/>
                <w:sz w:val="16"/>
                <w:szCs w:val="16"/>
              </w:rPr>
              <w:t xml:space="preserve">.423</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0.08 (0.11)</w:t>
            </w:r>
          </w:p>
          <w:p>
            <w:pPr>
              <w:spacing w:after="20" w:before="20" w:line="240"/>
              <w:jc w:val="center"/>
            </w:pPr>
            <w:r>
              <w:rPr>
                <w:rFonts w:ascii="Times New Roman" w:cs="Times New Roman" w:eastAsia="Times New Roman" w:hAnsi="Times New Roman"/>
                <w:sz w:val="16"/>
                <w:szCs w:val="16"/>
              </w:rPr>
              <w:t xml:space="preserve">.426</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0.17 (0.10)</w:t>
            </w:r>
          </w:p>
          <w:p>
            <w:pPr>
              <w:spacing w:after="20" w:before="20" w:line="240"/>
              <w:jc w:val="center"/>
            </w:pPr>
            <w:r>
              <w:rPr>
                <w:rFonts w:ascii="Times New Roman" w:cs="Times New Roman" w:eastAsia="Times New Roman" w:hAnsi="Times New Roman"/>
                <w:sz w:val="16"/>
                <w:szCs w:val="16"/>
              </w:rPr>
              <w:t xml:space="preserve">.092</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−0.004 (0.22)</w:t>
            </w:r>
          </w:p>
          <w:p>
            <w:pPr>
              <w:spacing w:after="20" w:before="20" w:line="240"/>
              <w:jc w:val="center"/>
            </w:pPr>
            <w:r>
              <w:rPr>
                <w:rFonts w:ascii="Times New Roman" w:cs="Times New Roman" w:eastAsia="Times New Roman" w:hAnsi="Times New Roman"/>
                <w:sz w:val="16"/>
                <w:szCs w:val="16"/>
              </w:rPr>
              <w:t xml:space="preserve">.987</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Employed alongside study</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−0.08 (0.17)</w:t>
            </w:r>
          </w:p>
          <w:p>
            <w:pPr>
              <w:spacing w:after="20" w:before="20" w:line="240"/>
              <w:jc w:val="center"/>
            </w:pPr>
            <w:r>
              <w:rPr>
                <w:rFonts w:ascii="Times New Roman" w:cs="Times New Roman" w:eastAsia="Times New Roman" w:hAnsi="Times New Roman"/>
                <w:sz w:val="16"/>
                <w:szCs w:val="16"/>
              </w:rPr>
              <w:t xml:space="preserve">.638</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0.09 (0.18)</w:t>
            </w:r>
          </w:p>
          <w:p>
            <w:pPr>
              <w:spacing w:after="20" w:before="20" w:line="240"/>
              <w:jc w:val="center"/>
            </w:pPr>
            <w:r>
              <w:rPr>
                <w:rFonts w:ascii="Times New Roman" w:cs="Times New Roman" w:eastAsia="Times New Roman" w:hAnsi="Times New Roman"/>
                <w:sz w:val="16"/>
                <w:szCs w:val="16"/>
              </w:rPr>
              <w:t xml:space="preserve">.601</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0.19 (0.18)</w:t>
            </w:r>
          </w:p>
          <w:p>
            <w:pPr>
              <w:spacing w:after="20" w:before="20" w:line="240"/>
              <w:jc w:val="center"/>
            </w:pPr>
            <w:r>
              <w:rPr>
                <w:rFonts w:ascii="Times New Roman" w:cs="Times New Roman" w:eastAsia="Times New Roman" w:hAnsi="Times New Roman"/>
                <w:sz w:val="16"/>
                <w:szCs w:val="16"/>
              </w:rPr>
              <w:t xml:space="preserve">.280</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−0.15 (0.21)</w:t>
            </w:r>
          </w:p>
          <w:p>
            <w:pPr>
              <w:spacing w:after="20" w:before="20" w:line="240"/>
              <w:jc w:val="center"/>
            </w:pPr>
            <w:r>
              <w:rPr>
                <w:rFonts w:ascii="Times New Roman" w:cs="Times New Roman" w:eastAsia="Times New Roman" w:hAnsi="Times New Roman"/>
                <w:sz w:val="16"/>
                <w:szCs w:val="16"/>
              </w:rPr>
              <w:t xml:space="preserve">.483</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0.03 (0.21)</w:t>
            </w:r>
          </w:p>
          <w:p>
            <w:pPr>
              <w:spacing w:after="20" w:before="20" w:line="240"/>
              <w:jc w:val="center"/>
            </w:pPr>
            <w:r>
              <w:rPr>
                <w:rFonts w:ascii="Times New Roman" w:cs="Times New Roman" w:eastAsia="Times New Roman" w:hAnsi="Times New Roman"/>
                <w:sz w:val="16"/>
                <w:szCs w:val="16"/>
              </w:rPr>
              <w:t xml:space="preserve">.880</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−0.51 (0.42)</w:t>
            </w:r>
          </w:p>
          <w:p>
            <w:pPr>
              <w:spacing w:after="20" w:before="20" w:line="240"/>
              <w:jc w:val="center"/>
            </w:pPr>
            <w:r>
              <w:rPr>
                <w:rFonts w:ascii="Times New Roman" w:cs="Times New Roman" w:eastAsia="Times New Roman" w:hAnsi="Times New Roman"/>
                <w:sz w:val="16"/>
                <w:szCs w:val="16"/>
              </w:rPr>
              <w:t xml:space="preserve">.227</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Relationship ended</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0.06 (0.19)</w:t>
            </w:r>
          </w:p>
          <w:p>
            <w:pPr>
              <w:spacing w:after="20" w:before="20" w:line="240"/>
              <w:jc w:val="center"/>
            </w:pPr>
            <w:r>
              <w:rPr>
                <w:rFonts w:ascii="Times New Roman" w:cs="Times New Roman" w:eastAsia="Times New Roman" w:hAnsi="Times New Roman"/>
                <w:sz w:val="16"/>
                <w:szCs w:val="16"/>
              </w:rPr>
              <w:t xml:space="preserve">.769</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−0.07 (0.19)</w:t>
            </w:r>
          </w:p>
          <w:p>
            <w:pPr>
              <w:spacing w:after="20" w:before="20" w:line="240"/>
              <w:jc w:val="center"/>
            </w:pPr>
            <w:r>
              <w:rPr>
                <w:rFonts w:ascii="Times New Roman" w:cs="Times New Roman" w:eastAsia="Times New Roman" w:hAnsi="Times New Roman"/>
                <w:sz w:val="16"/>
                <w:szCs w:val="16"/>
              </w:rPr>
              <w:t xml:space="preserve">.721</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−0.04 (0.23)</w:t>
            </w:r>
          </w:p>
          <w:p>
            <w:pPr>
              <w:spacing w:after="20" w:before="20" w:line="240"/>
              <w:jc w:val="center"/>
            </w:pPr>
            <w:r>
              <w:rPr>
                <w:rFonts w:ascii="Times New Roman" w:cs="Times New Roman" w:eastAsia="Times New Roman" w:hAnsi="Times New Roman"/>
                <w:sz w:val="16"/>
                <w:szCs w:val="16"/>
              </w:rPr>
              <w:t xml:space="preserve">.848</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0.05 (0.24)</w:t>
            </w:r>
          </w:p>
          <w:p>
            <w:pPr>
              <w:spacing w:after="20" w:before="20" w:line="240"/>
              <w:jc w:val="center"/>
            </w:pPr>
            <w:r>
              <w:rPr>
                <w:rFonts w:ascii="Times New Roman" w:cs="Times New Roman" w:eastAsia="Times New Roman" w:hAnsi="Times New Roman"/>
                <w:sz w:val="16"/>
                <w:szCs w:val="16"/>
              </w:rPr>
              <w:t xml:space="preserve">.848</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−0.13 (0.23)</w:t>
            </w:r>
          </w:p>
          <w:p>
            <w:pPr>
              <w:spacing w:after="20" w:before="20" w:line="240"/>
              <w:jc w:val="center"/>
            </w:pPr>
            <w:r>
              <w:rPr>
                <w:rFonts w:ascii="Times New Roman" w:cs="Times New Roman" w:eastAsia="Times New Roman" w:hAnsi="Times New Roman"/>
                <w:sz w:val="16"/>
                <w:szCs w:val="16"/>
              </w:rPr>
              <w:t xml:space="preserve">.574</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0.31 (0.46)</w:t>
            </w:r>
          </w:p>
          <w:p>
            <w:pPr>
              <w:spacing w:after="20" w:before="20" w:line="240"/>
              <w:jc w:val="center"/>
            </w:pPr>
            <w:r>
              <w:rPr>
                <w:rFonts w:ascii="Times New Roman" w:cs="Times New Roman" w:eastAsia="Times New Roman" w:hAnsi="Times New Roman"/>
                <w:sz w:val="16"/>
                <w:szCs w:val="16"/>
              </w:rPr>
              <w:t xml:space="preserve">.504</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Intercept</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−0.15 (0.30)</w:t>
            </w:r>
          </w:p>
          <w:p>
            <w:pPr>
              <w:spacing w:after="20" w:before="20" w:line="240"/>
              <w:jc w:val="center"/>
            </w:pPr>
            <w:r>
              <w:rPr>
                <w:rFonts w:ascii="Times New Roman" w:cs="Times New Roman" w:eastAsia="Times New Roman" w:hAnsi="Times New Roman"/>
                <w:sz w:val="16"/>
                <w:szCs w:val="16"/>
              </w:rPr>
              <w:t xml:space="preserve">.614</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−0.27 (0.31)</w:t>
            </w:r>
          </w:p>
          <w:p>
            <w:pPr>
              <w:spacing w:after="20" w:before="20" w:line="240"/>
              <w:jc w:val="center"/>
            </w:pPr>
            <w:r>
              <w:rPr>
                <w:rFonts w:ascii="Times New Roman" w:cs="Times New Roman" w:eastAsia="Times New Roman" w:hAnsi="Times New Roman"/>
                <w:sz w:val="16"/>
                <w:szCs w:val="16"/>
              </w:rPr>
              <w:t xml:space="preserve">.385</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−0.36 (0.36)</w:t>
            </w:r>
          </w:p>
          <w:p>
            <w:pPr>
              <w:spacing w:after="20" w:before="20" w:line="240"/>
              <w:jc w:val="center"/>
            </w:pPr>
            <w:r>
              <w:rPr>
                <w:rFonts w:ascii="Times New Roman" w:cs="Times New Roman" w:eastAsia="Times New Roman" w:hAnsi="Times New Roman"/>
                <w:sz w:val="16"/>
                <w:szCs w:val="16"/>
              </w:rPr>
              <w:t xml:space="preserve">.323</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−0.01 (0.38)</w:t>
            </w:r>
          </w:p>
          <w:p>
            <w:pPr>
              <w:spacing w:after="20" w:before="20" w:line="240"/>
              <w:jc w:val="center"/>
            </w:pPr>
            <w:r>
              <w:rPr>
                <w:rFonts w:ascii="Times New Roman" w:cs="Times New Roman" w:eastAsia="Times New Roman" w:hAnsi="Times New Roman"/>
                <w:sz w:val="16"/>
                <w:szCs w:val="16"/>
              </w:rPr>
              <w:t xml:space="preserve">.979</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−0.49 (0.35)</w:t>
            </w:r>
          </w:p>
          <w:p>
            <w:pPr>
              <w:spacing w:after="20" w:before="20" w:line="240"/>
              <w:jc w:val="center"/>
            </w:pPr>
            <w:r>
              <w:rPr>
                <w:rFonts w:ascii="Times New Roman" w:cs="Times New Roman" w:eastAsia="Times New Roman" w:hAnsi="Times New Roman"/>
                <w:sz w:val="16"/>
                <w:szCs w:val="16"/>
              </w:rPr>
              <w:t xml:space="preserve">.166</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6"/>
                <w:szCs w:val="16"/>
              </w:rPr>
              <w:t xml:space="preserve">R</w:t>
            </w:r>
            <w:r>
              <w:rPr>
                <w:rFonts w:ascii="Times New Roman" w:cs="Times New Roman" w:eastAsia="Times New Roman" w:hAnsi="Times New Roman"/>
                <w:sz w:val="16"/>
                <w:szCs w:val="16"/>
              </w:rPr>
              <w:t xml:space="preserve">²</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.56</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.20</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.33</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.22</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.19</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w:t>
            </w:r>
          </w:p>
        </w:tc>
      </w:tr>
      <w:tr>
        <w:trPr>
          <w:cantSplit/>
          <w:tblHeader w:val="off"/>
        </w:trPr>
        <w:tc>
          <w:tcPr>
            <w:tcW w:type="dxa" w:w="336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6"/>
                <w:szCs w:val="16"/>
              </w:rPr>
              <w:t xml:space="preserve">n</w:t>
            </w:r>
          </w:p>
        </w:tc>
        <w:tc>
          <w:tcPr>
            <w:tcW w:type="dxa" w:w="176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128</w:t>
            </w:r>
          </w:p>
        </w:tc>
        <w:tc>
          <w:tcPr>
            <w:tcW w:type="dxa" w:w="176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128</w:t>
            </w:r>
          </w:p>
        </w:tc>
        <w:tc>
          <w:tcPr>
            <w:tcW w:type="dxa" w:w="176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128</w:t>
            </w:r>
          </w:p>
        </w:tc>
        <w:tc>
          <w:tcPr>
            <w:tcW w:type="dxa" w:w="176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128</w:t>
            </w:r>
          </w:p>
        </w:tc>
        <w:tc>
          <w:tcPr>
            <w:tcW w:type="dxa" w:w="176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128</w:t>
            </w:r>
          </w:p>
        </w:tc>
        <w:tc>
          <w:tcPr>
            <w:tcW w:type="dxa" w:w="176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121</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Entries as in Table S5a. Relationship measures standardised within the subsample (</w:t>
      </w:r>
      <w:r>
        <w:rPr>
          <w:rFonts w:ascii="Times New Roman" w:cs="Times New Roman" w:eastAsia="Times New Roman" w:hAnsi="Times New Roman"/>
          <w:i/>
          <w:iCs/>
          <w:sz w:val="17"/>
          <w:szCs w:val="17"/>
        </w:rPr>
        <w:t xml:space="preserve">n</w:t>
      </w:r>
      <w:r>
        <w:rPr>
          <w:rFonts w:ascii="Times New Roman" w:cs="Times New Roman" w:eastAsia="Times New Roman" w:hAnsi="Times New Roman"/>
          <w:sz w:val="17"/>
          <w:szCs w:val="17"/>
        </w:rPr>
        <w:t xml:space="preserve"> = 128); outcomes in standard deviations of the analytic sample. Reference categories: man, later years, Arts, current relationship.</w:t>
      </w:r>
    </w:p>
    <w:p>
      <w:pPr>
        <w:keepNext/>
        <w:spacing w:after="80" w:before="240" w:line="276"/>
        <w:jc w:val="left"/>
      </w:pPr>
      <w:r>
        <w:rPr>
          <w:rFonts w:ascii="Times New Roman" w:cs="Times New Roman" w:eastAsia="Times New Roman" w:hAnsi="Times New Roman"/>
          <w:b/>
          <w:bCs/>
          <w:sz w:val="22"/>
          <w:szCs w:val="22"/>
        </w:rPr>
        <w:t xml:space="preserve">Table S5c </w:t>
      </w:r>
      <w:r>
        <w:rPr>
          <w:rFonts w:ascii="Times New Roman" w:cs="Times New Roman" w:eastAsia="Times New Roman" w:hAnsi="Times New Roman"/>
          <w:sz w:val="22"/>
          <w:szCs w:val="22"/>
        </w:rPr>
        <w:t xml:space="preserve">Relationship-experienced students: complete coefficients, eight-item interference scale (comparison)</w:t>
      </w:r>
    </w:p>
    <w:tbl>
      <w:tblPr>
        <w:tblW w:type="dxa" w:w="1395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63"/>
        <w:gridCol w:w="1766"/>
        <w:gridCol w:w="1766"/>
        <w:gridCol w:w="1766"/>
        <w:gridCol w:w="1766"/>
        <w:gridCol w:w="1766"/>
        <w:gridCol w:w="1765"/>
      </w:tblGrid>
      <w:tr>
        <w:trPr>
          <w:cantSplit/>
          <w:tblHeader/>
        </w:trPr>
        <w:tc>
          <w:tcPr>
            <w:tcW w:type="dxa" w:w="336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Term</w:t>
            </w:r>
          </w:p>
        </w:tc>
        <w:tc>
          <w:tcPr>
            <w:tcW w:type="dxa" w:w="176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Interference</w:t>
            </w:r>
          </w:p>
        </w:tc>
        <w:tc>
          <w:tcPr>
            <w:tcW w:type="dxa" w:w="176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Well-being</w:t>
            </w:r>
          </w:p>
        </w:tc>
        <w:tc>
          <w:tcPr>
            <w:tcW w:type="dxa" w:w="176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Motivation</w:t>
            </w:r>
          </w:p>
        </w:tc>
        <w:tc>
          <w:tcPr>
            <w:tcW w:type="dxa" w:w="176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Engagement</w:t>
            </w:r>
          </w:p>
        </w:tc>
        <w:tc>
          <w:tcPr>
            <w:tcW w:type="dxa" w:w="176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Integration</w:t>
            </w:r>
          </w:p>
        </w:tc>
        <w:tc>
          <w:tcPr>
            <w:tcW w:type="dxa" w:w="176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6"/>
                <w:szCs w:val="16"/>
              </w:rPr>
              <w:t xml:space="preserve">Grade (ordinal)</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Relationship quality</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0.002 (0.10)</w:t>
            </w:r>
          </w:p>
          <w:p>
            <w:pPr>
              <w:spacing w:after="20" w:before="20" w:line="240"/>
              <w:jc w:val="center"/>
            </w:pPr>
            <w:r>
              <w:rPr>
                <w:rFonts w:ascii="Times New Roman" w:cs="Times New Roman" w:eastAsia="Times New Roman" w:hAnsi="Times New Roman"/>
                <w:sz w:val="16"/>
                <w:szCs w:val="16"/>
              </w:rPr>
              <w:t xml:space="preserve">.987</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0.28 (0.13)</w:t>
            </w:r>
          </w:p>
          <w:p>
            <w:pPr>
              <w:spacing w:after="20" w:before="20" w:line="240"/>
              <w:jc w:val="center"/>
            </w:pPr>
            <w:r>
              <w:rPr>
                <w:rFonts w:ascii="Times New Roman" w:cs="Times New Roman" w:eastAsia="Times New Roman" w:hAnsi="Times New Roman"/>
                <w:sz w:val="16"/>
                <w:szCs w:val="16"/>
              </w:rPr>
              <w:t xml:space="preserve">.030</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0.30 (0.11)</w:t>
            </w:r>
          </w:p>
          <w:p>
            <w:pPr>
              <w:spacing w:after="20" w:before="20" w:line="240"/>
              <w:jc w:val="center"/>
            </w:pPr>
            <w:r>
              <w:rPr>
                <w:rFonts w:ascii="Times New Roman" w:cs="Times New Roman" w:eastAsia="Times New Roman" w:hAnsi="Times New Roman"/>
                <w:sz w:val="16"/>
                <w:szCs w:val="16"/>
              </w:rPr>
              <w:t xml:space="preserve">.007</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0.30 (0.13)</w:t>
            </w:r>
          </w:p>
          <w:p>
            <w:pPr>
              <w:spacing w:after="20" w:before="20" w:line="240"/>
              <w:jc w:val="center"/>
            </w:pPr>
            <w:r>
              <w:rPr>
                <w:rFonts w:ascii="Times New Roman" w:cs="Times New Roman" w:eastAsia="Times New Roman" w:hAnsi="Times New Roman"/>
                <w:sz w:val="16"/>
                <w:szCs w:val="16"/>
              </w:rPr>
              <w:t xml:space="preserve">.018</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0.25 (0.14)</w:t>
            </w:r>
          </w:p>
          <w:p>
            <w:pPr>
              <w:spacing w:after="20" w:before="20" w:line="240"/>
              <w:jc w:val="center"/>
            </w:pPr>
            <w:r>
              <w:rPr>
                <w:rFonts w:ascii="Times New Roman" w:cs="Times New Roman" w:eastAsia="Times New Roman" w:hAnsi="Times New Roman"/>
                <w:sz w:val="16"/>
                <w:szCs w:val="16"/>
              </w:rPr>
              <w:t xml:space="preserve">.080</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−0.20 (0.24)</w:t>
            </w:r>
          </w:p>
          <w:p>
            <w:pPr>
              <w:spacing w:after="20" w:before="20" w:line="240"/>
              <w:jc w:val="center"/>
            </w:pPr>
            <w:r>
              <w:rPr>
                <w:rFonts w:ascii="Times New Roman" w:cs="Times New Roman" w:eastAsia="Times New Roman" w:hAnsi="Times New Roman"/>
                <w:sz w:val="16"/>
                <w:szCs w:val="16"/>
              </w:rPr>
              <w:t xml:space="preserve">.402</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Relationship strain</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0.64 (0.09)</w:t>
            </w:r>
          </w:p>
          <w:p>
            <w:pPr>
              <w:spacing w:after="20" w:before="20" w:line="240"/>
              <w:jc w:val="center"/>
            </w:pPr>
            <w:r>
              <w:rPr>
                <w:rFonts w:ascii="Times New Roman" w:cs="Times New Roman" w:eastAsia="Times New Roman" w:hAnsi="Times New Roman"/>
                <w:sz w:val="16"/>
                <w:szCs w:val="16"/>
              </w:rPr>
              <w:t xml:space="preserve">&lt; .001</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−0.17 (0.15)</w:t>
            </w:r>
          </w:p>
          <w:p>
            <w:pPr>
              <w:spacing w:after="20" w:before="20" w:line="240"/>
              <w:jc w:val="center"/>
            </w:pPr>
            <w:r>
              <w:rPr>
                <w:rFonts w:ascii="Times New Roman" w:cs="Times New Roman" w:eastAsia="Times New Roman" w:hAnsi="Times New Roman"/>
                <w:sz w:val="16"/>
                <w:szCs w:val="16"/>
              </w:rPr>
              <w:t xml:space="preserve">.235</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0.25 (0.14)</w:t>
            </w:r>
          </w:p>
          <w:p>
            <w:pPr>
              <w:spacing w:after="20" w:before="20" w:line="240"/>
              <w:jc w:val="center"/>
            </w:pPr>
            <w:r>
              <w:rPr>
                <w:rFonts w:ascii="Times New Roman" w:cs="Times New Roman" w:eastAsia="Times New Roman" w:hAnsi="Times New Roman"/>
                <w:sz w:val="16"/>
                <w:szCs w:val="16"/>
              </w:rPr>
              <w:t xml:space="preserve">.081</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0.11 (0.14)</w:t>
            </w:r>
          </w:p>
          <w:p>
            <w:pPr>
              <w:spacing w:after="20" w:before="20" w:line="240"/>
              <w:jc w:val="center"/>
            </w:pPr>
            <w:r>
              <w:rPr>
                <w:rFonts w:ascii="Times New Roman" w:cs="Times New Roman" w:eastAsia="Times New Roman" w:hAnsi="Times New Roman"/>
                <w:sz w:val="16"/>
                <w:szCs w:val="16"/>
              </w:rPr>
              <w:t xml:space="preserve">.400</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−0.04 (0.15)</w:t>
            </w:r>
          </w:p>
          <w:p>
            <w:pPr>
              <w:spacing w:after="20" w:before="20" w:line="240"/>
              <w:jc w:val="center"/>
            </w:pPr>
            <w:r>
              <w:rPr>
                <w:rFonts w:ascii="Times New Roman" w:cs="Times New Roman" w:eastAsia="Times New Roman" w:hAnsi="Times New Roman"/>
                <w:sz w:val="16"/>
                <w:szCs w:val="16"/>
              </w:rPr>
              <w:t xml:space="preserve">.799</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−0.20 (0.29)</w:t>
            </w:r>
          </w:p>
          <w:p>
            <w:pPr>
              <w:spacing w:after="20" w:before="20" w:line="240"/>
              <w:jc w:val="center"/>
            </w:pPr>
            <w:r>
              <w:rPr>
                <w:rFonts w:ascii="Times New Roman" w:cs="Times New Roman" w:eastAsia="Times New Roman" w:hAnsi="Times New Roman"/>
                <w:sz w:val="16"/>
                <w:szCs w:val="16"/>
              </w:rPr>
              <w:t xml:space="preserve">.482</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Interference (eight items)</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0.15 (0.11)</w:t>
            </w:r>
          </w:p>
          <w:p>
            <w:pPr>
              <w:spacing w:after="20" w:before="20" w:line="240"/>
              <w:jc w:val="center"/>
            </w:pPr>
            <w:r>
              <w:rPr>
                <w:rFonts w:ascii="Times New Roman" w:cs="Times New Roman" w:eastAsia="Times New Roman" w:hAnsi="Times New Roman"/>
                <w:sz w:val="16"/>
                <w:szCs w:val="16"/>
              </w:rPr>
              <w:t xml:space="preserve">.174</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−0.32 (0.13)</w:t>
            </w:r>
          </w:p>
          <w:p>
            <w:pPr>
              <w:spacing w:after="20" w:before="20" w:line="240"/>
              <w:jc w:val="center"/>
            </w:pPr>
            <w:r>
              <w:rPr>
                <w:rFonts w:ascii="Times New Roman" w:cs="Times New Roman" w:eastAsia="Times New Roman" w:hAnsi="Times New Roman"/>
                <w:sz w:val="16"/>
                <w:szCs w:val="16"/>
              </w:rPr>
              <w:t xml:space="preserve">.014</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−0.28 (0.13)</w:t>
            </w:r>
          </w:p>
          <w:p>
            <w:pPr>
              <w:spacing w:after="20" w:before="20" w:line="240"/>
              <w:jc w:val="center"/>
            </w:pPr>
            <w:r>
              <w:rPr>
                <w:rFonts w:ascii="Times New Roman" w:cs="Times New Roman" w:eastAsia="Times New Roman" w:hAnsi="Times New Roman"/>
                <w:sz w:val="16"/>
                <w:szCs w:val="16"/>
              </w:rPr>
              <w:t xml:space="preserve">.026</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−0.01 (0.12)</w:t>
            </w:r>
          </w:p>
          <w:p>
            <w:pPr>
              <w:spacing w:after="20" w:before="20" w:line="240"/>
              <w:jc w:val="center"/>
            </w:pPr>
            <w:r>
              <w:rPr>
                <w:rFonts w:ascii="Times New Roman" w:cs="Times New Roman" w:eastAsia="Times New Roman" w:hAnsi="Times New Roman"/>
                <w:sz w:val="16"/>
                <w:szCs w:val="16"/>
              </w:rPr>
              <w:t xml:space="preserve">.965</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−0.36 (0.27)</w:t>
            </w:r>
          </w:p>
          <w:p>
            <w:pPr>
              <w:spacing w:after="20" w:before="20" w:line="240"/>
              <w:jc w:val="center"/>
            </w:pPr>
            <w:r>
              <w:rPr>
                <w:rFonts w:ascii="Times New Roman" w:cs="Times New Roman" w:eastAsia="Times New Roman" w:hAnsi="Times New Roman"/>
                <w:sz w:val="16"/>
                <w:szCs w:val="16"/>
              </w:rPr>
              <w:t xml:space="preserve">.177</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Woman</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0.04 (0.18)</w:t>
            </w:r>
          </w:p>
          <w:p>
            <w:pPr>
              <w:spacing w:after="20" w:before="20" w:line="240"/>
              <w:jc w:val="center"/>
            </w:pPr>
            <w:r>
              <w:rPr>
                <w:rFonts w:ascii="Times New Roman" w:cs="Times New Roman" w:eastAsia="Times New Roman" w:hAnsi="Times New Roman"/>
                <w:sz w:val="16"/>
                <w:szCs w:val="16"/>
              </w:rPr>
              <w:t xml:space="preserve">.813</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0.10 (0.19)</w:t>
            </w:r>
          </w:p>
          <w:p>
            <w:pPr>
              <w:spacing w:after="20" w:before="20" w:line="240"/>
              <w:jc w:val="center"/>
            </w:pPr>
            <w:r>
              <w:rPr>
                <w:rFonts w:ascii="Times New Roman" w:cs="Times New Roman" w:eastAsia="Times New Roman" w:hAnsi="Times New Roman"/>
                <w:sz w:val="16"/>
                <w:szCs w:val="16"/>
              </w:rPr>
              <w:t xml:space="preserve">.592</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−0.08 (0.20)</w:t>
            </w:r>
          </w:p>
          <w:p>
            <w:pPr>
              <w:spacing w:after="20" w:before="20" w:line="240"/>
              <w:jc w:val="center"/>
            </w:pPr>
            <w:r>
              <w:rPr>
                <w:rFonts w:ascii="Times New Roman" w:cs="Times New Roman" w:eastAsia="Times New Roman" w:hAnsi="Times New Roman"/>
                <w:sz w:val="16"/>
                <w:szCs w:val="16"/>
              </w:rPr>
              <w:t xml:space="preserve">.672</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−0.05 (0.21)</w:t>
            </w:r>
          </w:p>
          <w:p>
            <w:pPr>
              <w:spacing w:after="20" w:before="20" w:line="240"/>
              <w:jc w:val="center"/>
            </w:pPr>
            <w:r>
              <w:rPr>
                <w:rFonts w:ascii="Times New Roman" w:cs="Times New Roman" w:eastAsia="Times New Roman" w:hAnsi="Times New Roman"/>
                <w:sz w:val="16"/>
                <w:szCs w:val="16"/>
              </w:rPr>
              <w:t xml:space="preserve">.800</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0.21 (0.21)</w:t>
            </w:r>
          </w:p>
          <w:p>
            <w:pPr>
              <w:spacing w:after="20" w:before="20" w:line="240"/>
              <w:jc w:val="center"/>
            </w:pPr>
            <w:r>
              <w:rPr>
                <w:rFonts w:ascii="Times New Roman" w:cs="Times New Roman" w:eastAsia="Times New Roman" w:hAnsi="Times New Roman"/>
                <w:sz w:val="16"/>
                <w:szCs w:val="16"/>
              </w:rPr>
              <w:t xml:space="preserve">.299</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1.39 (0.46)</w:t>
            </w:r>
          </w:p>
          <w:p>
            <w:pPr>
              <w:spacing w:after="20" w:before="20" w:line="240"/>
              <w:jc w:val="center"/>
            </w:pPr>
            <w:r>
              <w:rPr>
                <w:rFonts w:ascii="Times New Roman" w:cs="Times New Roman" w:eastAsia="Times New Roman" w:hAnsi="Times New Roman"/>
                <w:sz w:val="16"/>
                <w:szCs w:val="16"/>
              </w:rPr>
              <w:t xml:space="preserve">.003</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First year</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0.23 (0.19)</w:t>
            </w:r>
          </w:p>
          <w:p>
            <w:pPr>
              <w:spacing w:after="20" w:before="20" w:line="240"/>
              <w:jc w:val="center"/>
            </w:pPr>
            <w:r>
              <w:rPr>
                <w:rFonts w:ascii="Times New Roman" w:cs="Times New Roman" w:eastAsia="Times New Roman" w:hAnsi="Times New Roman"/>
                <w:sz w:val="16"/>
                <w:szCs w:val="16"/>
              </w:rPr>
              <w:t xml:space="preserve">.242</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−0.13 (0.25)</w:t>
            </w:r>
          </w:p>
          <w:p>
            <w:pPr>
              <w:spacing w:after="20" w:before="20" w:line="240"/>
              <w:jc w:val="center"/>
            </w:pPr>
            <w:r>
              <w:rPr>
                <w:rFonts w:ascii="Times New Roman" w:cs="Times New Roman" w:eastAsia="Times New Roman" w:hAnsi="Times New Roman"/>
                <w:sz w:val="16"/>
                <w:szCs w:val="16"/>
              </w:rPr>
              <w:t xml:space="preserve">.605</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0.16 (0.26)</w:t>
            </w:r>
          </w:p>
          <w:p>
            <w:pPr>
              <w:spacing w:after="20" w:before="20" w:line="240"/>
              <w:jc w:val="center"/>
            </w:pPr>
            <w:r>
              <w:rPr>
                <w:rFonts w:ascii="Times New Roman" w:cs="Times New Roman" w:eastAsia="Times New Roman" w:hAnsi="Times New Roman"/>
                <w:sz w:val="16"/>
                <w:szCs w:val="16"/>
              </w:rPr>
              <w:t xml:space="preserve">.542</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−0.22 (0.25)</w:t>
            </w:r>
          </w:p>
          <w:p>
            <w:pPr>
              <w:spacing w:after="20" w:before="20" w:line="240"/>
              <w:jc w:val="center"/>
            </w:pPr>
            <w:r>
              <w:rPr>
                <w:rFonts w:ascii="Times New Roman" w:cs="Times New Roman" w:eastAsia="Times New Roman" w:hAnsi="Times New Roman"/>
                <w:sz w:val="16"/>
                <w:szCs w:val="16"/>
              </w:rPr>
              <w:t xml:space="preserve">.375</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0.15 (0.26)</w:t>
            </w:r>
          </w:p>
          <w:p>
            <w:pPr>
              <w:spacing w:after="20" w:before="20" w:line="240"/>
              <w:jc w:val="center"/>
            </w:pPr>
            <w:r>
              <w:rPr>
                <w:rFonts w:ascii="Times New Roman" w:cs="Times New Roman" w:eastAsia="Times New Roman" w:hAnsi="Times New Roman"/>
                <w:sz w:val="16"/>
                <w:szCs w:val="16"/>
              </w:rPr>
              <w:t xml:space="preserve">.576</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0.40 (0.48)</w:t>
            </w:r>
          </w:p>
          <w:p>
            <w:pPr>
              <w:spacing w:after="20" w:before="20" w:line="240"/>
              <w:jc w:val="center"/>
            </w:pPr>
            <w:r>
              <w:rPr>
                <w:rFonts w:ascii="Times New Roman" w:cs="Times New Roman" w:eastAsia="Times New Roman" w:hAnsi="Times New Roman"/>
                <w:sz w:val="16"/>
                <w:szCs w:val="16"/>
              </w:rPr>
              <w:t xml:space="preserve">.406</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Mass communication</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−0.99 (0.25)</w:t>
            </w:r>
          </w:p>
          <w:p>
            <w:pPr>
              <w:spacing w:after="20" w:before="20" w:line="240"/>
              <w:jc w:val="center"/>
            </w:pPr>
            <w:r>
              <w:rPr>
                <w:rFonts w:ascii="Times New Roman" w:cs="Times New Roman" w:eastAsia="Times New Roman" w:hAnsi="Times New Roman"/>
                <w:sz w:val="16"/>
                <w:szCs w:val="16"/>
              </w:rPr>
              <w:t xml:space="preserve">&lt; .001</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0.40 (0.33)</w:t>
            </w:r>
          </w:p>
          <w:p>
            <w:pPr>
              <w:spacing w:after="20" w:before="20" w:line="240"/>
              <w:jc w:val="center"/>
            </w:pPr>
            <w:r>
              <w:rPr>
                <w:rFonts w:ascii="Times New Roman" w:cs="Times New Roman" w:eastAsia="Times New Roman" w:hAnsi="Times New Roman"/>
                <w:sz w:val="16"/>
                <w:szCs w:val="16"/>
              </w:rPr>
              <w:t xml:space="preserve">.228</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0.42 (0.32)</w:t>
            </w:r>
          </w:p>
          <w:p>
            <w:pPr>
              <w:spacing w:after="20" w:before="20" w:line="240"/>
              <w:jc w:val="center"/>
            </w:pPr>
            <w:r>
              <w:rPr>
                <w:rFonts w:ascii="Times New Roman" w:cs="Times New Roman" w:eastAsia="Times New Roman" w:hAnsi="Times New Roman"/>
                <w:sz w:val="16"/>
                <w:szCs w:val="16"/>
              </w:rPr>
              <w:t xml:space="preserve">.193</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0.51 (0.33)</w:t>
            </w:r>
          </w:p>
          <w:p>
            <w:pPr>
              <w:spacing w:after="20" w:before="20" w:line="240"/>
              <w:jc w:val="center"/>
            </w:pPr>
            <w:r>
              <w:rPr>
                <w:rFonts w:ascii="Times New Roman" w:cs="Times New Roman" w:eastAsia="Times New Roman" w:hAnsi="Times New Roman"/>
                <w:sz w:val="16"/>
                <w:szCs w:val="16"/>
              </w:rPr>
              <w:t xml:space="preserve">.118</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−0.02 (0.31)</w:t>
            </w:r>
          </w:p>
          <w:p>
            <w:pPr>
              <w:spacing w:after="20" w:before="20" w:line="240"/>
              <w:jc w:val="center"/>
            </w:pPr>
            <w:r>
              <w:rPr>
                <w:rFonts w:ascii="Times New Roman" w:cs="Times New Roman" w:eastAsia="Times New Roman" w:hAnsi="Times New Roman"/>
                <w:sz w:val="16"/>
                <w:szCs w:val="16"/>
              </w:rPr>
              <w:t xml:space="preserve">.960</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3.74 (0.92)</w:t>
            </w:r>
          </w:p>
          <w:p>
            <w:pPr>
              <w:spacing w:after="20" w:before="20" w:line="240"/>
              <w:jc w:val="center"/>
            </w:pPr>
            <w:r>
              <w:rPr>
                <w:rFonts w:ascii="Times New Roman" w:cs="Times New Roman" w:eastAsia="Times New Roman" w:hAnsi="Times New Roman"/>
                <w:sz w:val="16"/>
                <w:szCs w:val="16"/>
              </w:rPr>
              <w:t xml:space="preserve">&lt; .001</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Economics and political science</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−0.48 (0.25)</w:t>
            </w:r>
          </w:p>
          <w:p>
            <w:pPr>
              <w:spacing w:after="20" w:before="20" w:line="240"/>
              <w:jc w:val="center"/>
            </w:pPr>
            <w:r>
              <w:rPr>
                <w:rFonts w:ascii="Times New Roman" w:cs="Times New Roman" w:eastAsia="Times New Roman" w:hAnsi="Times New Roman"/>
                <w:sz w:val="16"/>
                <w:szCs w:val="16"/>
              </w:rPr>
              <w:t xml:space="preserve">.050</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0.32 (0.41)</w:t>
            </w:r>
          </w:p>
          <w:p>
            <w:pPr>
              <w:spacing w:after="20" w:before="20" w:line="240"/>
              <w:jc w:val="center"/>
            </w:pPr>
            <w:r>
              <w:rPr>
                <w:rFonts w:ascii="Times New Roman" w:cs="Times New Roman" w:eastAsia="Times New Roman" w:hAnsi="Times New Roman"/>
                <w:sz w:val="16"/>
                <w:szCs w:val="16"/>
              </w:rPr>
              <w:t xml:space="preserve">.435</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0.82 (0.36)</w:t>
            </w:r>
          </w:p>
          <w:p>
            <w:pPr>
              <w:spacing w:after="20" w:before="20" w:line="240"/>
              <w:jc w:val="center"/>
            </w:pPr>
            <w:r>
              <w:rPr>
                <w:rFonts w:ascii="Times New Roman" w:cs="Times New Roman" w:eastAsia="Times New Roman" w:hAnsi="Times New Roman"/>
                <w:sz w:val="16"/>
                <w:szCs w:val="16"/>
              </w:rPr>
              <w:t xml:space="preserve">.021</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−0.01 (0.37)</w:t>
            </w:r>
          </w:p>
          <w:p>
            <w:pPr>
              <w:spacing w:after="20" w:before="20" w:line="240"/>
              <w:jc w:val="center"/>
            </w:pPr>
            <w:r>
              <w:rPr>
                <w:rFonts w:ascii="Times New Roman" w:cs="Times New Roman" w:eastAsia="Times New Roman" w:hAnsi="Times New Roman"/>
                <w:sz w:val="16"/>
                <w:szCs w:val="16"/>
              </w:rPr>
              <w:t xml:space="preserve">.971</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0.12 (0.40)</w:t>
            </w:r>
          </w:p>
          <w:p>
            <w:pPr>
              <w:spacing w:after="20" w:before="20" w:line="240"/>
              <w:jc w:val="center"/>
            </w:pPr>
            <w:r>
              <w:rPr>
                <w:rFonts w:ascii="Times New Roman" w:cs="Times New Roman" w:eastAsia="Times New Roman" w:hAnsi="Times New Roman"/>
                <w:sz w:val="16"/>
                <w:szCs w:val="16"/>
              </w:rPr>
              <w:t xml:space="preserve">.760</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3.10 (0.95)</w:t>
            </w:r>
          </w:p>
          <w:p>
            <w:pPr>
              <w:spacing w:after="20" w:before="20" w:line="240"/>
              <w:jc w:val="center"/>
            </w:pPr>
            <w:r>
              <w:rPr>
                <w:rFonts w:ascii="Times New Roman" w:cs="Times New Roman" w:eastAsia="Times New Roman" w:hAnsi="Times New Roman"/>
                <w:sz w:val="16"/>
                <w:szCs w:val="16"/>
              </w:rPr>
              <w:t xml:space="preserve">.001</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Science, engineering and health</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−0.54 (0.19)</w:t>
            </w:r>
          </w:p>
          <w:p>
            <w:pPr>
              <w:spacing w:after="20" w:before="20" w:line="240"/>
              <w:jc w:val="center"/>
            </w:pPr>
            <w:r>
              <w:rPr>
                <w:rFonts w:ascii="Times New Roman" w:cs="Times New Roman" w:eastAsia="Times New Roman" w:hAnsi="Times New Roman"/>
                <w:sz w:val="16"/>
                <w:szCs w:val="16"/>
              </w:rPr>
              <w:t xml:space="preserve">.006</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0.11 (0.32)</w:t>
            </w:r>
          </w:p>
          <w:p>
            <w:pPr>
              <w:spacing w:after="20" w:before="20" w:line="240"/>
              <w:jc w:val="center"/>
            </w:pPr>
            <w:r>
              <w:rPr>
                <w:rFonts w:ascii="Times New Roman" w:cs="Times New Roman" w:eastAsia="Times New Roman" w:hAnsi="Times New Roman"/>
                <w:sz w:val="16"/>
                <w:szCs w:val="16"/>
              </w:rPr>
              <w:t xml:space="preserve">.717</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−0.22 (0.25)</w:t>
            </w:r>
          </w:p>
          <w:p>
            <w:pPr>
              <w:spacing w:after="20" w:before="20" w:line="240"/>
              <w:jc w:val="center"/>
            </w:pPr>
            <w:r>
              <w:rPr>
                <w:rFonts w:ascii="Times New Roman" w:cs="Times New Roman" w:eastAsia="Times New Roman" w:hAnsi="Times New Roman"/>
                <w:sz w:val="16"/>
                <w:szCs w:val="16"/>
              </w:rPr>
              <w:t xml:space="preserve">.379</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−0.29 (0.28)</w:t>
            </w:r>
          </w:p>
          <w:p>
            <w:pPr>
              <w:spacing w:after="20" w:before="20" w:line="240"/>
              <w:jc w:val="center"/>
            </w:pPr>
            <w:r>
              <w:rPr>
                <w:rFonts w:ascii="Times New Roman" w:cs="Times New Roman" w:eastAsia="Times New Roman" w:hAnsi="Times New Roman"/>
                <w:sz w:val="16"/>
                <w:szCs w:val="16"/>
              </w:rPr>
              <w:t xml:space="preserve">.301</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−0.04 (0.31)</w:t>
            </w:r>
          </w:p>
          <w:p>
            <w:pPr>
              <w:spacing w:after="20" w:before="20" w:line="240"/>
              <w:jc w:val="center"/>
            </w:pPr>
            <w:r>
              <w:rPr>
                <w:rFonts w:ascii="Times New Roman" w:cs="Times New Roman" w:eastAsia="Times New Roman" w:hAnsi="Times New Roman"/>
                <w:sz w:val="16"/>
                <w:szCs w:val="16"/>
              </w:rPr>
              <w:t xml:space="preserve">.889</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2.25 (0.56)</w:t>
            </w:r>
          </w:p>
          <w:p>
            <w:pPr>
              <w:spacing w:after="20" w:before="20" w:line="240"/>
              <w:jc w:val="center"/>
            </w:pPr>
            <w:r>
              <w:rPr>
                <w:rFonts w:ascii="Times New Roman" w:cs="Times New Roman" w:eastAsia="Times New Roman" w:hAnsi="Times New Roman"/>
                <w:sz w:val="16"/>
                <w:szCs w:val="16"/>
              </w:rPr>
              <w:t xml:space="preserve">&lt; .001</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Education and other</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0.06 (0.27)</w:t>
            </w:r>
          </w:p>
          <w:p>
            <w:pPr>
              <w:spacing w:after="20" w:before="20" w:line="240"/>
              <w:jc w:val="center"/>
            </w:pPr>
            <w:r>
              <w:rPr>
                <w:rFonts w:ascii="Times New Roman" w:cs="Times New Roman" w:eastAsia="Times New Roman" w:hAnsi="Times New Roman"/>
                <w:sz w:val="16"/>
                <w:szCs w:val="16"/>
              </w:rPr>
              <w:t xml:space="preserve">.815</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0.17 (0.23)</w:t>
            </w:r>
          </w:p>
          <w:p>
            <w:pPr>
              <w:spacing w:after="20" w:before="20" w:line="240"/>
              <w:jc w:val="center"/>
            </w:pPr>
            <w:r>
              <w:rPr>
                <w:rFonts w:ascii="Times New Roman" w:cs="Times New Roman" w:eastAsia="Times New Roman" w:hAnsi="Times New Roman"/>
                <w:sz w:val="16"/>
                <w:szCs w:val="16"/>
              </w:rPr>
              <w:t xml:space="preserve">.457</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−0.11 (0.33)</w:t>
            </w:r>
          </w:p>
          <w:p>
            <w:pPr>
              <w:spacing w:after="20" w:before="20" w:line="240"/>
              <w:jc w:val="center"/>
            </w:pPr>
            <w:r>
              <w:rPr>
                <w:rFonts w:ascii="Times New Roman" w:cs="Times New Roman" w:eastAsia="Times New Roman" w:hAnsi="Times New Roman"/>
                <w:sz w:val="16"/>
                <w:szCs w:val="16"/>
              </w:rPr>
              <w:t xml:space="preserve">.736</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−0.40 (0.33)</w:t>
            </w:r>
          </w:p>
          <w:p>
            <w:pPr>
              <w:spacing w:after="20" w:before="20" w:line="240"/>
              <w:jc w:val="center"/>
            </w:pPr>
            <w:r>
              <w:rPr>
                <w:rFonts w:ascii="Times New Roman" w:cs="Times New Roman" w:eastAsia="Times New Roman" w:hAnsi="Times New Roman"/>
                <w:sz w:val="16"/>
                <w:szCs w:val="16"/>
              </w:rPr>
              <w:t xml:space="preserve">.233</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0.18 (0.27)</w:t>
            </w:r>
          </w:p>
          <w:p>
            <w:pPr>
              <w:spacing w:after="20" w:before="20" w:line="240"/>
              <w:jc w:val="center"/>
            </w:pPr>
            <w:r>
              <w:rPr>
                <w:rFonts w:ascii="Times New Roman" w:cs="Times New Roman" w:eastAsia="Times New Roman" w:hAnsi="Times New Roman"/>
                <w:sz w:val="16"/>
                <w:szCs w:val="16"/>
              </w:rPr>
              <w:t xml:space="preserve">.512</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2.10 (0.61)</w:t>
            </w:r>
          </w:p>
          <w:p>
            <w:pPr>
              <w:spacing w:after="20" w:before="20" w:line="240"/>
              <w:jc w:val="center"/>
            </w:pPr>
            <w:r>
              <w:rPr>
                <w:rFonts w:ascii="Times New Roman" w:cs="Times New Roman" w:eastAsia="Times New Roman" w:hAnsi="Times New Roman"/>
                <w:sz w:val="16"/>
                <w:szCs w:val="16"/>
              </w:rPr>
              <w:t xml:space="preserve">&lt; .001</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Daily allowance (1–4)</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0.12 (0.08)</w:t>
            </w:r>
          </w:p>
          <w:p>
            <w:pPr>
              <w:spacing w:after="20" w:before="20" w:line="240"/>
              <w:jc w:val="center"/>
            </w:pPr>
            <w:r>
              <w:rPr>
                <w:rFonts w:ascii="Times New Roman" w:cs="Times New Roman" w:eastAsia="Times New Roman" w:hAnsi="Times New Roman"/>
                <w:sz w:val="16"/>
                <w:szCs w:val="16"/>
              </w:rPr>
              <w:t xml:space="preserve">.132</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0.07 (0.09)</w:t>
            </w:r>
          </w:p>
          <w:p>
            <w:pPr>
              <w:spacing w:after="20" w:before="20" w:line="240"/>
              <w:jc w:val="center"/>
            </w:pPr>
            <w:r>
              <w:rPr>
                <w:rFonts w:ascii="Times New Roman" w:cs="Times New Roman" w:eastAsia="Times New Roman" w:hAnsi="Times New Roman"/>
                <w:sz w:val="16"/>
                <w:szCs w:val="16"/>
              </w:rPr>
              <w:t xml:space="preserve">.399</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0.07 (0.09)</w:t>
            </w:r>
          </w:p>
          <w:p>
            <w:pPr>
              <w:spacing w:after="20" w:before="20" w:line="240"/>
              <w:jc w:val="center"/>
            </w:pPr>
            <w:r>
              <w:rPr>
                <w:rFonts w:ascii="Times New Roman" w:cs="Times New Roman" w:eastAsia="Times New Roman" w:hAnsi="Times New Roman"/>
                <w:sz w:val="16"/>
                <w:szCs w:val="16"/>
              </w:rPr>
              <w:t xml:space="preserve">.461</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0.08 (0.10)</w:t>
            </w:r>
          </w:p>
          <w:p>
            <w:pPr>
              <w:spacing w:after="20" w:before="20" w:line="240"/>
              <w:jc w:val="center"/>
            </w:pPr>
            <w:r>
              <w:rPr>
                <w:rFonts w:ascii="Times New Roman" w:cs="Times New Roman" w:eastAsia="Times New Roman" w:hAnsi="Times New Roman"/>
                <w:sz w:val="16"/>
                <w:szCs w:val="16"/>
              </w:rPr>
              <w:t xml:space="preserve">.420</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0.17 (0.10)</w:t>
            </w:r>
          </w:p>
          <w:p>
            <w:pPr>
              <w:spacing w:after="20" w:before="20" w:line="240"/>
              <w:jc w:val="center"/>
            </w:pPr>
            <w:r>
              <w:rPr>
                <w:rFonts w:ascii="Times New Roman" w:cs="Times New Roman" w:eastAsia="Times New Roman" w:hAnsi="Times New Roman"/>
                <w:sz w:val="16"/>
                <w:szCs w:val="16"/>
              </w:rPr>
              <w:t xml:space="preserve">.091</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−0.03 (0.22)</w:t>
            </w:r>
          </w:p>
          <w:p>
            <w:pPr>
              <w:spacing w:after="20" w:before="20" w:line="240"/>
              <w:jc w:val="center"/>
            </w:pPr>
            <w:r>
              <w:rPr>
                <w:rFonts w:ascii="Times New Roman" w:cs="Times New Roman" w:eastAsia="Times New Roman" w:hAnsi="Times New Roman"/>
                <w:sz w:val="16"/>
                <w:szCs w:val="16"/>
              </w:rPr>
              <w:t xml:space="preserve">.904</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Employed alongside study</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0.04 (0.16)</w:t>
            </w:r>
          </w:p>
          <w:p>
            <w:pPr>
              <w:spacing w:after="20" w:before="20" w:line="240"/>
              <w:jc w:val="center"/>
            </w:pPr>
            <w:r>
              <w:rPr>
                <w:rFonts w:ascii="Times New Roman" w:cs="Times New Roman" w:eastAsia="Times New Roman" w:hAnsi="Times New Roman"/>
                <w:sz w:val="16"/>
                <w:szCs w:val="16"/>
              </w:rPr>
              <w:t xml:space="preserve">.790</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0.08 (0.18)</w:t>
            </w:r>
          </w:p>
          <w:p>
            <w:pPr>
              <w:spacing w:after="20" w:before="20" w:line="240"/>
              <w:jc w:val="center"/>
            </w:pPr>
            <w:r>
              <w:rPr>
                <w:rFonts w:ascii="Times New Roman" w:cs="Times New Roman" w:eastAsia="Times New Roman" w:hAnsi="Times New Roman"/>
                <w:sz w:val="16"/>
                <w:szCs w:val="16"/>
              </w:rPr>
              <w:t xml:space="preserve">.678</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0.24 (0.18)</w:t>
            </w:r>
          </w:p>
          <w:p>
            <w:pPr>
              <w:spacing w:after="20" w:before="20" w:line="240"/>
              <w:jc w:val="center"/>
            </w:pPr>
            <w:r>
              <w:rPr>
                <w:rFonts w:ascii="Times New Roman" w:cs="Times New Roman" w:eastAsia="Times New Roman" w:hAnsi="Times New Roman"/>
                <w:sz w:val="16"/>
                <w:szCs w:val="16"/>
              </w:rPr>
              <w:t xml:space="preserve">.191</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−0.12 (0.21)</w:t>
            </w:r>
          </w:p>
          <w:p>
            <w:pPr>
              <w:spacing w:after="20" w:before="20" w:line="240"/>
              <w:jc w:val="center"/>
            </w:pPr>
            <w:r>
              <w:rPr>
                <w:rFonts w:ascii="Times New Roman" w:cs="Times New Roman" w:eastAsia="Times New Roman" w:hAnsi="Times New Roman"/>
                <w:sz w:val="16"/>
                <w:szCs w:val="16"/>
              </w:rPr>
              <w:t xml:space="preserve">.580</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0.03 (0.20)</w:t>
            </w:r>
          </w:p>
          <w:p>
            <w:pPr>
              <w:spacing w:after="20" w:before="20" w:line="240"/>
              <w:jc w:val="center"/>
            </w:pPr>
            <w:r>
              <w:rPr>
                <w:rFonts w:ascii="Times New Roman" w:cs="Times New Roman" w:eastAsia="Times New Roman" w:hAnsi="Times New Roman"/>
                <w:sz w:val="16"/>
                <w:szCs w:val="16"/>
              </w:rPr>
              <w:t xml:space="preserve">.874</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−0.47 (0.42)</w:t>
            </w:r>
          </w:p>
          <w:p>
            <w:pPr>
              <w:spacing w:after="20" w:before="20" w:line="240"/>
              <w:jc w:val="center"/>
            </w:pPr>
            <w:r>
              <w:rPr>
                <w:rFonts w:ascii="Times New Roman" w:cs="Times New Roman" w:eastAsia="Times New Roman" w:hAnsi="Times New Roman"/>
                <w:sz w:val="16"/>
                <w:szCs w:val="16"/>
              </w:rPr>
              <w:t xml:space="preserve">.265</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Relationship ended</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0.01 (0.19)</w:t>
            </w:r>
          </w:p>
          <w:p>
            <w:pPr>
              <w:spacing w:after="20" w:before="20" w:line="240"/>
              <w:jc w:val="center"/>
            </w:pPr>
            <w:r>
              <w:rPr>
                <w:rFonts w:ascii="Times New Roman" w:cs="Times New Roman" w:eastAsia="Times New Roman" w:hAnsi="Times New Roman"/>
                <w:sz w:val="16"/>
                <w:szCs w:val="16"/>
              </w:rPr>
              <w:t xml:space="preserve">.972</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−0.06 (0.19)</w:t>
            </w:r>
          </w:p>
          <w:p>
            <w:pPr>
              <w:spacing w:after="20" w:before="20" w:line="240"/>
              <w:jc w:val="center"/>
            </w:pPr>
            <w:r>
              <w:rPr>
                <w:rFonts w:ascii="Times New Roman" w:cs="Times New Roman" w:eastAsia="Times New Roman" w:hAnsi="Times New Roman"/>
                <w:sz w:val="16"/>
                <w:szCs w:val="16"/>
              </w:rPr>
              <w:t xml:space="preserve">.755</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−0.06 (0.24)</w:t>
            </w:r>
          </w:p>
          <w:p>
            <w:pPr>
              <w:spacing w:after="20" w:before="20" w:line="240"/>
              <w:jc w:val="center"/>
            </w:pPr>
            <w:r>
              <w:rPr>
                <w:rFonts w:ascii="Times New Roman" w:cs="Times New Roman" w:eastAsia="Times New Roman" w:hAnsi="Times New Roman"/>
                <w:sz w:val="16"/>
                <w:szCs w:val="16"/>
              </w:rPr>
              <w:t xml:space="preserve">.796</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0.03 (0.24)</w:t>
            </w:r>
          </w:p>
          <w:p>
            <w:pPr>
              <w:spacing w:after="20" w:before="20" w:line="240"/>
              <w:jc w:val="center"/>
            </w:pPr>
            <w:r>
              <w:rPr>
                <w:rFonts w:ascii="Times New Roman" w:cs="Times New Roman" w:eastAsia="Times New Roman" w:hAnsi="Times New Roman"/>
                <w:sz w:val="16"/>
                <w:szCs w:val="16"/>
              </w:rPr>
              <w:t xml:space="preserve">.890</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−0.13 (0.23)</w:t>
            </w:r>
          </w:p>
          <w:p>
            <w:pPr>
              <w:spacing w:after="20" w:before="20" w:line="240"/>
              <w:jc w:val="center"/>
            </w:pPr>
            <w:r>
              <w:rPr>
                <w:rFonts w:ascii="Times New Roman" w:cs="Times New Roman" w:eastAsia="Times New Roman" w:hAnsi="Times New Roman"/>
                <w:sz w:val="16"/>
                <w:szCs w:val="16"/>
              </w:rPr>
              <w:t xml:space="preserve">.572</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0.25 (0.46)</w:t>
            </w:r>
          </w:p>
          <w:p>
            <w:pPr>
              <w:spacing w:after="20" w:before="20" w:line="240"/>
              <w:jc w:val="center"/>
            </w:pPr>
            <w:r>
              <w:rPr>
                <w:rFonts w:ascii="Times New Roman" w:cs="Times New Roman" w:eastAsia="Times New Roman" w:hAnsi="Times New Roman"/>
                <w:sz w:val="16"/>
                <w:szCs w:val="16"/>
              </w:rPr>
              <w:t xml:space="preserve">.586</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Intercept</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−0.14 (0.31)</w:t>
            </w:r>
          </w:p>
          <w:p>
            <w:pPr>
              <w:spacing w:after="20" w:before="20" w:line="240"/>
              <w:jc w:val="center"/>
            </w:pPr>
            <w:r>
              <w:rPr>
                <w:rFonts w:ascii="Times New Roman" w:cs="Times New Roman" w:eastAsia="Times New Roman" w:hAnsi="Times New Roman"/>
                <w:sz w:val="16"/>
                <w:szCs w:val="16"/>
              </w:rPr>
              <w:t xml:space="preserve">.646</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−0.27 (0.31)</w:t>
            </w:r>
          </w:p>
          <w:p>
            <w:pPr>
              <w:spacing w:after="20" w:before="20" w:line="240"/>
              <w:jc w:val="center"/>
            </w:pPr>
            <w:r>
              <w:rPr>
                <w:rFonts w:ascii="Times New Roman" w:cs="Times New Roman" w:eastAsia="Times New Roman" w:hAnsi="Times New Roman"/>
                <w:sz w:val="16"/>
                <w:szCs w:val="16"/>
              </w:rPr>
              <w:t xml:space="preserve">.381</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−0.35 (0.35)</w:t>
            </w:r>
          </w:p>
          <w:p>
            <w:pPr>
              <w:spacing w:after="20" w:before="20" w:line="240"/>
              <w:jc w:val="center"/>
            </w:pPr>
            <w:r>
              <w:rPr>
                <w:rFonts w:ascii="Times New Roman" w:cs="Times New Roman" w:eastAsia="Times New Roman" w:hAnsi="Times New Roman"/>
                <w:sz w:val="16"/>
                <w:szCs w:val="16"/>
              </w:rPr>
              <w:t xml:space="preserve">.323</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−0.01 (0.38)</w:t>
            </w:r>
          </w:p>
          <w:p>
            <w:pPr>
              <w:spacing w:after="20" w:before="20" w:line="240"/>
              <w:jc w:val="center"/>
            </w:pPr>
            <w:r>
              <w:rPr>
                <w:rFonts w:ascii="Times New Roman" w:cs="Times New Roman" w:eastAsia="Times New Roman" w:hAnsi="Times New Roman"/>
                <w:sz w:val="16"/>
                <w:szCs w:val="16"/>
              </w:rPr>
              <w:t xml:space="preserve">.979</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−0.48 (0.35)</w:t>
            </w:r>
          </w:p>
          <w:p>
            <w:pPr>
              <w:spacing w:after="20" w:before="20" w:line="240"/>
              <w:jc w:val="center"/>
            </w:pPr>
            <w:r>
              <w:rPr>
                <w:rFonts w:ascii="Times New Roman" w:cs="Times New Roman" w:eastAsia="Times New Roman" w:hAnsi="Times New Roman"/>
                <w:sz w:val="16"/>
                <w:szCs w:val="16"/>
              </w:rPr>
              <w:t xml:space="preserve">.166</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w:t>
            </w:r>
          </w:p>
        </w:tc>
      </w:tr>
      <w:tr>
        <w:trPr>
          <w:cantSplit/>
          <w:tblHeader w:val="off"/>
        </w:trPr>
        <w:tc>
          <w:tcPr>
            <w:tcW w:type="dxa" w:w="33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6"/>
                <w:szCs w:val="16"/>
              </w:rPr>
              <w:t xml:space="preserve">R</w:t>
            </w:r>
            <w:r>
              <w:rPr>
                <w:rFonts w:ascii="Times New Roman" w:cs="Times New Roman" w:eastAsia="Times New Roman" w:hAnsi="Times New Roman"/>
                <w:sz w:val="16"/>
                <w:szCs w:val="16"/>
              </w:rPr>
              <w:t xml:space="preserve">²</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.55</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.20</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.33</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.22</w:t>
            </w:r>
          </w:p>
        </w:tc>
        <w:tc>
          <w:tcPr>
            <w:tcW w:type="dxa" w:w="17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.19</w:t>
            </w:r>
          </w:p>
        </w:tc>
        <w:tc>
          <w:tcPr>
            <w:tcW w:type="dxa" w:w="17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w:t>
            </w:r>
          </w:p>
        </w:tc>
      </w:tr>
      <w:tr>
        <w:trPr>
          <w:cantSplit/>
          <w:tblHeader w:val="off"/>
        </w:trPr>
        <w:tc>
          <w:tcPr>
            <w:tcW w:type="dxa" w:w="336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6"/>
                <w:szCs w:val="16"/>
              </w:rPr>
              <w:t xml:space="preserve">n</w:t>
            </w:r>
          </w:p>
        </w:tc>
        <w:tc>
          <w:tcPr>
            <w:tcW w:type="dxa" w:w="176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128</w:t>
            </w:r>
          </w:p>
        </w:tc>
        <w:tc>
          <w:tcPr>
            <w:tcW w:type="dxa" w:w="176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128</w:t>
            </w:r>
          </w:p>
        </w:tc>
        <w:tc>
          <w:tcPr>
            <w:tcW w:type="dxa" w:w="176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128</w:t>
            </w:r>
          </w:p>
        </w:tc>
        <w:tc>
          <w:tcPr>
            <w:tcW w:type="dxa" w:w="176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128</w:t>
            </w:r>
          </w:p>
        </w:tc>
        <w:tc>
          <w:tcPr>
            <w:tcW w:type="dxa" w:w="176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128</w:t>
            </w:r>
          </w:p>
        </w:tc>
        <w:tc>
          <w:tcPr>
            <w:tcW w:type="dxa" w:w="176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6"/>
                <w:szCs w:val="16"/>
              </w:rPr>
              <w:t xml:space="preserve">121</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Entries as in Table S5a. Relationship measures standardised within the subsample (</w:t>
      </w:r>
      <w:r>
        <w:rPr>
          <w:rFonts w:ascii="Times New Roman" w:cs="Times New Roman" w:eastAsia="Times New Roman" w:hAnsi="Times New Roman"/>
          <w:i/>
          <w:iCs/>
          <w:sz w:val="17"/>
          <w:szCs w:val="17"/>
        </w:rPr>
        <w:t xml:space="preserve">n</w:t>
      </w:r>
      <w:r>
        <w:rPr>
          <w:rFonts w:ascii="Times New Roman" w:cs="Times New Roman" w:eastAsia="Times New Roman" w:hAnsi="Times New Roman"/>
          <w:sz w:val="17"/>
          <w:szCs w:val="17"/>
        </w:rPr>
        <w:t xml:space="preserve"> = 128); outcomes in standard deviations of the analytic sample. Reference categories: man, later years, Arts, current relationship.</w:t>
      </w:r>
    </w:p>
    <w:p>
      <w:pPr>
        <w:keepNext/>
        <w:spacing w:after="80" w:before="240" w:line="276"/>
        <w:jc w:val="left"/>
      </w:pPr>
      <w:r>
        <w:rPr>
          <w:rFonts w:ascii="Times New Roman" w:cs="Times New Roman" w:eastAsia="Times New Roman" w:hAnsi="Times New Roman"/>
          <w:b/>
          <w:bCs/>
          <w:sz w:val="22"/>
          <w:szCs w:val="22"/>
        </w:rPr>
        <w:t xml:space="preserve">Table S5d </w:t>
      </w:r>
      <w:r>
        <w:rPr>
          <w:rFonts w:ascii="Times New Roman" w:cs="Times New Roman" w:eastAsia="Times New Roman" w:hAnsi="Times New Roman"/>
          <w:sz w:val="22"/>
          <w:szCs w:val="22"/>
        </w:rPr>
        <w:t xml:space="preserve">Indirect, direct and total associations of relationship strain through relationship-to-study interference (percentile bootstrap 95% CI)</w:t>
      </w:r>
    </w:p>
    <w:tbl>
      <w:tblPr>
        <w:tblW w:type="dxa" w:w="1395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746"/>
        <w:gridCol w:w="3071"/>
        <w:gridCol w:w="3071"/>
        <w:gridCol w:w="3070"/>
      </w:tblGrid>
      <w:tr>
        <w:trPr>
          <w:cantSplit/>
          <w:tblHeader/>
        </w:trPr>
        <w:tc>
          <w:tcPr>
            <w:tcW w:type="dxa" w:w="474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Outcome</w:t>
            </w:r>
          </w:p>
        </w:tc>
        <w:tc>
          <w:tcPr>
            <w:tcW w:type="dxa" w:w="3071"/>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Indirect</w:t>
            </w:r>
          </w:p>
        </w:tc>
        <w:tc>
          <w:tcPr>
            <w:tcW w:type="dxa" w:w="3071"/>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Direct</w:t>
            </w:r>
          </w:p>
        </w:tc>
        <w:tc>
          <w:tcPr>
            <w:tcW w:type="dxa" w:w="3070"/>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Total</w:t>
            </w:r>
          </w:p>
        </w:tc>
      </w:tr>
      <w:tr>
        <w:trPr>
          <w:cantSplit/>
          <w:tblHeader w:val="off"/>
        </w:trPr>
        <w:tc>
          <w:tcPr>
            <w:tcW w:type="dxa" w:w="13958"/>
            <w:gridSpan w:val="4"/>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7"/>
                <w:szCs w:val="17"/>
              </w:rPr>
              <w:t xml:space="preserve">Four-item scale (primary)</w:t>
            </w:r>
          </w:p>
        </w:tc>
      </w:tr>
      <w:tr>
        <w:trPr>
          <w:cantSplit/>
          <w:tblHeader w:val="off"/>
        </w:trPr>
        <w:tc>
          <w:tcPr>
            <w:tcW w:type="dxa" w:w="474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Psychological well-being</w:t>
            </w:r>
          </w:p>
        </w:tc>
        <w:tc>
          <w:tcPr>
            <w:tcW w:type="dxa" w:w="307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0.10 [−0.04, 0.27]</w:t>
            </w:r>
          </w:p>
        </w:tc>
        <w:tc>
          <w:tcPr>
            <w:tcW w:type="dxa" w:w="307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−0.18 [−0.47, 0.08]</w:t>
            </w:r>
          </w:p>
        </w:tc>
        <w:tc>
          <w:tcPr>
            <w:tcW w:type="dxa" w:w="307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−0.08 [−0.34, 0.14]</w:t>
            </w:r>
          </w:p>
        </w:tc>
      </w:tr>
      <w:tr>
        <w:trPr>
          <w:cantSplit/>
          <w:tblHeader w:val="off"/>
        </w:trPr>
        <w:tc>
          <w:tcPr>
            <w:tcW w:type="dxa" w:w="474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Achievement motivation</w:t>
            </w:r>
          </w:p>
        </w:tc>
        <w:tc>
          <w:tcPr>
            <w:tcW w:type="dxa" w:w="307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−0.21 [−0.35, −0.06]</w:t>
            </w:r>
          </w:p>
        </w:tc>
        <w:tc>
          <w:tcPr>
            <w:tcW w:type="dxa" w:w="307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0.26 [−0.03, 0.49]</w:t>
            </w:r>
          </w:p>
        </w:tc>
        <w:tc>
          <w:tcPr>
            <w:tcW w:type="dxa" w:w="307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0.04 [−0.17, 0.24]</w:t>
            </w:r>
          </w:p>
        </w:tc>
      </w:tr>
      <w:tr>
        <w:trPr>
          <w:cantSplit/>
          <w:tblHeader w:val="off"/>
        </w:trPr>
        <w:tc>
          <w:tcPr>
            <w:tcW w:type="dxa" w:w="474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Academic engagement</w:t>
            </w:r>
          </w:p>
        </w:tc>
        <w:tc>
          <w:tcPr>
            <w:tcW w:type="dxa" w:w="307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−0.16 [−0.30, −0.01]</w:t>
            </w:r>
          </w:p>
        </w:tc>
        <w:tc>
          <w:tcPr>
            <w:tcW w:type="dxa" w:w="307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0.10 [−0.18, 0.32]</w:t>
            </w:r>
          </w:p>
        </w:tc>
        <w:tc>
          <w:tcPr>
            <w:tcW w:type="dxa" w:w="307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−0.07 [−0.30, 0.14]</w:t>
            </w:r>
          </w:p>
        </w:tc>
      </w:tr>
      <w:tr>
        <w:trPr>
          <w:cantSplit/>
          <w:tblHeader w:val="off"/>
        </w:trPr>
        <w:tc>
          <w:tcPr>
            <w:tcW w:type="dxa" w:w="13958"/>
            <w:gridSpan w:val="4"/>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7"/>
                <w:szCs w:val="17"/>
              </w:rPr>
              <w:t xml:space="preserve">Eight-item scale</w:t>
            </w:r>
          </w:p>
        </w:tc>
      </w:tr>
      <w:tr>
        <w:trPr>
          <w:cantSplit/>
          <w:tblHeader w:val="off"/>
        </w:trPr>
        <w:tc>
          <w:tcPr>
            <w:tcW w:type="dxa" w:w="474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Psychological well-being</w:t>
            </w:r>
          </w:p>
        </w:tc>
        <w:tc>
          <w:tcPr>
            <w:tcW w:type="dxa" w:w="307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0.09 [−0.03, 0.26]</w:t>
            </w:r>
          </w:p>
        </w:tc>
        <w:tc>
          <w:tcPr>
            <w:tcW w:type="dxa" w:w="307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−0.17 [−0.46, 0.07]</w:t>
            </w:r>
          </w:p>
        </w:tc>
        <w:tc>
          <w:tcPr>
            <w:tcW w:type="dxa" w:w="307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−0.08 [−0.34, 0.14]</w:t>
            </w:r>
          </w:p>
        </w:tc>
      </w:tr>
      <w:tr>
        <w:trPr>
          <w:cantSplit/>
          <w:tblHeader w:val="off"/>
        </w:trPr>
        <w:tc>
          <w:tcPr>
            <w:tcW w:type="dxa" w:w="474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Achievement motivation</w:t>
            </w:r>
          </w:p>
        </w:tc>
        <w:tc>
          <w:tcPr>
            <w:tcW w:type="dxa" w:w="307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−0.21 [−0.35, −0.05]</w:t>
            </w:r>
          </w:p>
        </w:tc>
        <w:tc>
          <w:tcPr>
            <w:tcW w:type="dxa" w:w="307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0.25 [−0.04, 0.49]</w:t>
            </w:r>
          </w:p>
        </w:tc>
        <w:tc>
          <w:tcPr>
            <w:tcW w:type="dxa" w:w="307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0.04 [−0.17, 0.24]</w:t>
            </w:r>
          </w:p>
        </w:tc>
      </w:tr>
      <w:tr>
        <w:trPr>
          <w:cantSplit/>
          <w:tblHeader w:val="off"/>
        </w:trPr>
        <w:tc>
          <w:tcPr>
            <w:tcW w:type="dxa" w:w="474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Academic engagement</w:t>
            </w:r>
          </w:p>
        </w:tc>
        <w:tc>
          <w:tcPr>
            <w:tcW w:type="dxa" w:w="307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−0.18 [−0.33, −0.03]</w:t>
            </w:r>
          </w:p>
        </w:tc>
        <w:tc>
          <w:tcPr>
            <w:tcW w:type="dxa" w:w="307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0.11 [−0.16, 0.35]</w:t>
            </w:r>
          </w:p>
        </w:tc>
        <w:tc>
          <w:tcPr>
            <w:tcW w:type="dxa" w:w="307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−0.07 [−0.30, 0.14]</w:t>
            </w:r>
          </w:p>
        </w:tc>
      </w:tr>
      <w:tr>
        <w:trPr>
          <w:cantSplit/>
          <w:tblHeader w:val="off"/>
        </w:trPr>
        <w:tc>
          <w:tcPr>
            <w:tcW w:type="dxa" w:w="13958"/>
            <w:gridSpan w:val="4"/>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7"/>
                <w:szCs w:val="17"/>
              </w:rPr>
              <w:t xml:space="preserve">Three-item scale (200 resamples)</w:t>
            </w:r>
          </w:p>
        </w:tc>
      </w:tr>
      <w:tr>
        <w:trPr>
          <w:cantSplit/>
          <w:tblHeader w:val="off"/>
        </w:trPr>
        <w:tc>
          <w:tcPr>
            <w:tcW w:type="dxa" w:w="474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Psychological well-being</w:t>
            </w:r>
          </w:p>
        </w:tc>
        <w:tc>
          <w:tcPr>
            <w:tcW w:type="dxa" w:w="307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0.11 [−0.03, 0.29]</w:t>
            </w:r>
          </w:p>
        </w:tc>
        <w:tc>
          <w:tcPr>
            <w:tcW w:type="dxa" w:w="307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−0.19 [−0.50, 0.04]</w:t>
            </w:r>
          </w:p>
        </w:tc>
        <w:tc>
          <w:tcPr>
            <w:tcW w:type="dxa" w:w="307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−0.08 [−0.35, 0.13]</w:t>
            </w:r>
          </w:p>
        </w:tc>
      </w:tr>
      <w:tr>
        <w:trPr>
          <w:cantSplit/>
          <w:tblHeader w:val="off"/>
        </w:trPr>
        <w:tc>
          <w:tcPr>
            <w:tcW w:type="dxa" w:w="474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Achievement motivation</w:t>
            </w:r>
          </w:p>
        </w:tc>
        <w:tc>
          <w:tcPr>
            <w:tcW w:type="dxa" w:w="307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−0.23 [−0.38, −0.10]</w:t>
            </w:r>
          </w:p>
        </w:tc>
        <w:tc>
          <w:tcPr>
            <w:tcW w:type="dxa" w:w="307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0.28 [0.03, 0.51]</w:t>
            </w:r>
          </w:p>
        </w:tc>
        <w:tc>
          <w:tcPr>
            <w:tcW w:type="dxa" w:w="307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0.04 [−0.13, 0.25]</w:t>
            </w:r>
          </w:p>
        </w:tc>
      </w:tr>
      <w:tr>
        <w:trPr>
          <w:cantSplit/>
          <w:tblHeader w:val="off"/>
        </w:trPr>
        <w:tc>
          <w:tcPr>
            <w:tcW w:type="dxa" w:w="474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ind w:left="150"/>
              <w:jc w:val="left"/>
            </w:pPr>
            <w:r>
              <w:rPr>
                <w:rFonts w:ascii="Times New Roman" w:cs="Times New Roman" w:eastAsia="Times New Roman" w:hAnsi="Times New Roman"/>
                <w:sz w:val="17"/>
                <w:szCs w:val="17"/>
              </w:rPr>
              <w:t xml:space="preserve">Academic engagement</w:t>
            </w:r>
          </w:p>
        </w:tc>
        <w:tc>
          <w:tcPr>
            <w:tcW w:type="dxa" w:w="3071"/>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−0.18 [−0.33, −0.002]</w:t>
            </w:r>
          </w:p>
        </w:tc>
        <w:tc>
          <w:tcPr>
            <w:tcW w:type="dxa" w:w="3071"/>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0.12 [−0.15, 0.36]</w:t>
            </w:r>
          </w:p>
        </w:tc>
        <w:tc>
          <w:tcPr>
            <w:tcW w:type="dxa" w:w="3070"/>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−0.07 [−0.29, 0.13]</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2,000 bootstrap resamples (seed 20260402) for the four- and eight-item scales; 200 for the three-item scale, a secondary check. Total = association of strain in a model without interference; in these linear models it equals the sum of the direct and indirect associations. The decomposition partitions cross-sectional covariance and does not identify mediation (Sect. 4.5). Grade is not decomposed; the odds ratio for strain in a model without interference was 0.65 [0.41, 1.03].</w:t>
      </w:r>
    </w:p>
    <w:p>
      <w:pPr>
        <w:keepNext/>
        <w:spacing w:after="80" w:before="240" w:line="276"/>
        <w:jc w:val="left"/>
      </w:pPr>
      <w:r>
        <w:rPr>
          <w:b/>
          <w:bCs/>
          <w:sz w:val="22"/>
          <w:szCs w:val="22"/>
        </w:rPr>
        <w:t xml:space="preserve">Table S5e </w:t>
      </w:r>
      <w:r>
        <w:rPr>
          <w:sz w:val="22"/>
          <w:szCs w:val="22"/>
        </w:rPr>
        <w:t xml:space="preserve">Within-relationship associations re-estimated without items close in content to the outcome (</w:t>
      </w:r>
      <w:r>
        <w:rPr>
          <w:i/>
          <w:iCs/>
          <w:sz w:val="22"/>
          <w:szCs w:val="22"/>
        </w:rPr>
        <w:t xml:space="preserve">n</w:t>
      </w:r>
      <w:r>
        <w:rPr>
          <w:sz w:val="22"/>
          <w:szCs w:val="22"/>
        </w:rPr>
        <w:t xml:space="preserve"> = 128)</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0"/>
        <w:gridCol w:w="4126"/>
        <w:gridCol w:w="1800"/>
        <w:gridCol w:w="800"/>
      </w:tblGrid>
      <w:tr>
        <w:trPr>
          <w:cantSplit/>
          <w:tblHeader/>
        </w:trPr>
        <w:tc>
          <w:tcPr>
            <w:tcW w:type="dxa" w:w="2300"/>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b/>
                <w:bCs/>
                <w:sz w:val="17"/>
                <w:szCs w:val="17"/>
              </w:rPr>
              <w:t xml:space="preserve">Association</w:t>
            </w:r>
          </w:p>
        </w:tc>
        <w:tc>
          <w:tcPr>
            <w:tcW w:type="dxa" w:w="412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b/>
                <w:bCs/>
                <w:sz w:val="17"/>
                <w:szCs w:val="17"/>
              </w:rPr>
              <w:t xml:space="preserve">Items removed</w:t>
            </w:r>
          </w:p>
        </w:tc>
        <w:tc>
          <w:tcPr>
            <w:tcW w:type="dxa" w:w="1800"/>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b/>
                <w:bCs/>
                <w:sz w:val="17"/>
                <w:szCs w:val="17"/>
              </w:rPr>
              <w:t xml:space="preserve">β [95% CI]</w:t>
            </w:r>
          </w:p>
        </w:tc>
        <w:tc>
          <w:tcPr>
            <w:tcW w:type="dxa" w:w="800"/>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b/>
                <w:bCs/>
                <w:i/>
                <w:iCs/>
                <w:sz w:val="17"/>
                <w:szCs w:val="17"/>
              </w:rPr>
              <w:t xml:space="preserve">p</w:t>
            </w:r>
          </w:p>
        </w:tc>
      </w:tr>
      <w:tr>
        <w:trPr>
          <w:cantSplit/>
          <w:tblHeader w:val="off"/>
        </w:trPr>
        <w:tc>
          <w:tcPr>
            <w:tcW w:type="dxa" w:w="2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Quality → well-being</w:t>
            </w:r>
          </w:p>
        </w:tc>
        <w:tc>
          <w:tcPr>
            <w:tcW w:type="dxa" w:w="41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None (primary model)</w:t>
            </w:r>
          </w:p>
        </w:tc>
        <w:tc>
          <w:tcPr>
            <w:tcW w:type="dxa" w:w="1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0.29 [0.03, 0.54]</w:t>
            </w:r>
          </w:p>
        </w:tc>
        <w:tc>
          <w:tcPr>
            <w:tcW w:type="dxa" w:w="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.028</w:t>
            </w:r>
          </w:p>
        </w:tc>
      </w:tr>
      <w:tr>
        <w:trPr>
          <w:cantSplit/>
          <w:tblHeader w:val="off"/>
        </w:trPr>
        <w:tc>
          <w:tcPr>
            <w:tcW w:type="dxa" w:w="2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41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Quality without RQ1 (psychological stability) and RQ9 (self-confidence)</w:t>
            </w:r>
          </w:p>
        </w:tc>
        <w:tc>
          <w:tcPr>
            <w:tcW w:type="dxa" w:w="1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0.33 [0.10, 0.57]</w:t>
            </w:r>
          </w:p>
        </w:tc>
        <w:tc>
          <w:tcPr>
            <w:tcW w:type="dxa" w:w="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.006</w:t>
            </w:r>
          </w:p>
        </w:tc>
      </w:tr>
      <w:tr>
        <w:trPr>
          <w:cantSplit/>
          <w:tblHeader w:val="off"/>
        </w:trPr>
        <w:tc>
          <w:tcPr>
            <w:tcW w:type="dxa" w:w="2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41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Well-being without PQ2 (mood stability) and PQ8 (self-esteem)</w:t>
            </w:r>
          </w:p>
        </w:tc>
        <w:tc>
          <w:tcPr>
            <w:tcW w:type="dxa" w:w="1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0.28 [0.02, 0.53]</w:t>
            </w:r>
          </w:p>
        </w:tc>
        <w:tc>
          <w:tcPr>
            <w:tcW w:type="dxa" w:w="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.032</w:t>
            </w:r>
          </w:p>
        </w:tc>
      </w:tr>
      <w:tr>
        <w:trPr>
          <w:cantSplit/>
          <w:tblHeader w:val="off"/>
        </w:trPr>
        <w:tc>
          <w:tcPr>
            <w:tcW w:type="dxa" w:w="2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41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Both reductions, and strain without RQ5</w:t>
            </w:r>
          </w:p>
        </w:tc>
        <w:tc>
          <w:tcPr>
            <w:tcW w:type="dxa" w:w="1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0.34 [0.11, 0.58]</w:t>
            </w:r>
          </w:p>
        </w:tc>
        <w:tc>
          <w:tcPr>
            <w:tcW w:type="dxa" w:w="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.004</w:t>
            </w:r>
          </w:p>
        </w:tc>
      </w:tr>
      <w:tr>
        <w:trPr>
          <w:cantSplit/>
          <w:tblHeader w:val="off"/>
        </w:trPr>
        <w:tc>
          <w:tcPr>
            <w:tcW w:type="dxa" w:w="2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Strain → well-being</w:t>
            </w:r>
          </w:p>
        </w:tc>
        <w:tc>
          <w:tcPr>
            <w:tcW w:type="dxa" w:w="41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None (primary model)</w:t>
            </w:r>
          </w:p>
        </w:tc>
        <w:tc>
          <w:tcPr>
            <w:tcW w:type="dxa" w:w="1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−0.18 [−0.47, 0.12]</w:t>
            </w:r>
          </w:p>
        </w:tc>
        <w:tc>
          <w:tcPr>
            <w:tcW w:type="dxa" w:w="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.238</w:t>
            </w:r>
          </w:p>
        </w:tc>
      </w:tr>
      <w:tr>
        <w:trPr>
          <w:cantSplit/>
          <w:tblHeader w:val="off"/>
        </w:trPr>
        <w:tc>
          <w:tcPr>
            <w:tcW w:type="dxa" w:w="2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41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Strain without RQ5 (disagreements affecting mood)</w:t>
            </w:r>
          </w:p>
        </w:tc>
        <w:tc>
          <w:tcPr>
            <w:tcW w:type="dxa" w:w="1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−0.16 [−0.42, 0.09]</w:t>
            </w:r>
          </w:p>
        </w:tc>
        <w:tc>
          <w:tcPr>
            <w:tcW w:type="dxa" w:w="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.208</w:t>
            </w:r>
          </w:p>
        </w:tc>
      </w:tr>
      <w:tr>
        <w:trPr>
          <w:cantSplit/>
          <w:tblHeader w:val="off"/>
        </w:trPr>
        <w:tc>
          <w:tcPr>
            <w:tcW w:type="dxa" w:w="2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Strain × support → well-being</w:t>
            </w:r>
          </w:p>
        </w:tc>
        <w:tc>
          <w:tcPr>
            <w:tcW w:type="dxa" w:w="41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None (moderation model, Table S5f)</w:t>
            </w:r>
          </w:p>
        </w:tc>
        <w:tc>
          <w:tcPr>
            <w:tcW w:type="dxa" w:w="1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0.20 [0.05, 0.35]</w:t>
            </w:r>
          </w:p>
        </w:tc>
        <w:tc>
          <w:tcPr>
            <w:tcW w:type="dxa" w:w="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.010</w:t>
            </w:r>
          </w:p>
        </w:tc>
      </w:tr>
      <w:tr>
        <w:trPr>
          <w:cantSplit/>
          <w:tblHeader w:val="off"/>
        </w:trPr>
        <w:tc>
          <w:tcPr>
            <w:tcW w:type="dxa" w:w="2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41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Strain without RQ5</w:t>
            </w:r>
          </w:p>
        </w:tc>
        <w:tc>
          <w:tcPr>
            <w:tcW w:type="dxa" w:w="1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0.20 [0.04, 0.36]</w:t>
            </w:r>
          </w:p>
        </w:tc>
        <w:tc>
          <w:tcPr>
            <w:tcW w:type="dxa" w:w="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.013</w:t>
            </w:r>
          </w:p>
        </w:tc>
      </w:tr>
      <w:tr>
        <w:trPr>
          <w:cantSplit/>
          <w:tblHeader w:val="off"/>
        </w:trPr>
        <w:tc>
          <w:tcPr>
            <w:tcW w:type="dxa" w:w="2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Interference → motivation</w:t>
            </w:r>
          </w:p>
        </w:tc>
        <w:tc>
          <w:tcPr>
            <w:tcW w:type="dxa" w:w="41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None (primary model)</w:t>
            </w:r>
          </w:p>
        </w:tc>
        <w:tc>
          <w:tcPr>
            <w:tcW w:type="dxa" w:w="1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−0.34 [−0.60, −0.09]</w:t>
            </w:r>
          </w:p>
        </w:tc>
        <w:tc>
          <w:tcPr>
            <w:tcW w:type="dxa" w:w="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.009</w:t>
            </w:r>
          </w:p>
        </w:tc>
      </w:tr>
      <w:tr>
        <w:trPr>
          <w:cantSplit/>
          <w:tblHeader w:val="off"/>
        </w:trPr>
        <w:tc>
          <w:tcPr>
            <w:tcW w:type="dxa" w:w="2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41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Motivation without AM4 and AM12 (use of time)</w:t>
            </w:r>
          </w:p>
        </w:tc>
        <w:tc>
          <w:tcPr>
            <w:tcW w:type="dxa" w:w="1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−0.35 [−0.60, −0.10]</w:t>
            </w:r>
          </w:p>
        </w:tc>
        <w:tc>
          <w:tcPr>
            <w:tcW w:type="dxa" w:w="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.006</w:t>
            </w:r>
          </w:p>
        </w:tc>
      </w:tr>
      <w:tr>
        <w:trPr>
          <w:cantSplit/>
          <w:tblHeader w:val="off"/>
        </w:trPr>
        <w:tc>
          <w:tcPr>
            <w:tcW w:type="dxa" w:w="2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Quality → motivation</w:t>
            </w:r>
          </w:p>
        </w:tc>
        <w:tc>
          <w:tcPr>
            <w:tcW w:type="dxa" w:w="41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None (primary model)</w:t>
            </w:r>
          </w:p>
        </w:tc>
        <w:tc>
          <w:tcPr>
            <w:tcW w:type="dxa" w:w="1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0.30 [0.08, 0.52]</w:t>
            </w:r>
          </w:p>
        </w:tc>
        <w:tc>
          <w:tcPr>
            <w:tcW w:type="dxa" w:w="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.008</w:t>
            </w:r>
          </w:p>
        </w:tc>
      </w:tr>
      <w:tr>
        <w:trPr>
          <w:cantSplit/>
          <w:tblHeader w:val="off"/>
        </w:trPr>
        <w:tc>
          <w:tcPr>
            <w:tcW w:type="dxa" w:w="2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41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Quality without RQ2 and RQ7 (academic support)</w:t>
            </w:r>
          </w:p>
        </w:tc>
        <w:tc>
          <w:tcPr>
            <w:tcW w:type="dxa" w:w="1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0.29 [0.06, 0.51]</w:t>
            </w:r>
          </w:p>
        </w:tc>
        <w:tc>
          <w:tcPr>
            <w:tcW w:type="dxa" w:w="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.013</w:t>
            </w:r>
          </w:p>
        </w:tc>
      </w:tr>
      <w:tr>
        <w:trPr>
          <w:cantSplit/>
          <w:tblHeader w:val="off"/>
        </w:trPr>
        <w:tc>
          <w:tcPr>
            <w:tcW w:type="dxa" w:w="2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Quality → engagement</w:t>
            </w:r>
          </w:p>
        </w:tc>
        <w:tc>
          <w:tcPr>
            <w:tcW w:type="dxa" w:w="41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None (primary model)</w:t>
            </w:r>
          </w:p>
        </w:tc>
        <w:tc>
          <w:tcPr>
            <w:tcW w:type="dxa" w:w="1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0.29 [0.04, 0.54]</w:t>
            </w:r>
          </w:p>
        </w:tc>
        <w:tc>
          <w:tcPr>
            <w:tcW w:type="dxa" w:w="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.021</w:t>
            </w:r>
          </w:p>
        </w:tc>
      </w:tr>
      <w:tr>
        <w:trPr>
          <w:cantSplit/>
          <w:tblHeader w:val="off"/>
        </w:trPr>
        <w:tc>
          <w:tcPr>
            <w:tcW w:type="dxa" w:w="2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41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Quality without RQ2 and RQ7</w:t>
            </w:r>
          </w:p>
        </w:tc>
        <w:tc>
          <w:tcPr>
            <w:tcW w:type="dxa" w:w="1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0.28 [0.05, 0.52]</w:t>
            </w:r>
          </w:p>
        </w:tc>
        <w:tc>
          <w:tcPr>
            <w:tcW w:type="dxa" w:w="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.018</w:t>
            </w:r>
          </w:p>
        </w:tc>
      </w:tr>
      <w:tr>
        <w:trPr>
          <w:cantSplit/>
          <w:tblHeader w:val="off"/>
        </w:trPr>
        <w:tc>
          <w:tcPr>
            <w:tcW w:type="dxa" w:w="2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Interference → engagement</w:t>
            </w:r>
          </w:p>
        </w:tc>
        <w:tc>
          <w:tcPr>
            <w:tcW w:type="dxa" w:w="41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None (four-item interference scale, primary model)</w:t>
            </w:r>
          </w:p>
        </w:tc>
        <w:tc>
          <w:tcPr>
            <w:tcW w:type="dxa" w:w="1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−0.26 [−0.51, −0.02]</w:t>
            </w:r>
          </w:p>
        </w:tc>
        <w:tc>
          <w:tcPr>
            <w:tcW w:type="dxa" w:w="8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.037</w:t>
            </w:r>
          </w:p>
        </w:tc>
      </w:tr>
      <w:tr>
        <w:trPr>
          <w:cantSplit/>
          <w:tblHeader w:val="off"/>
        </w:trPr>
        <w:tc>
          <w:tcPr>
            <w:tcW w:type="dxa" w:w="2300"/>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p>
        </w:tc>
        <w:tc>
          <w:tcPr>
            <w:tcW w:type="dxa" w:w="412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Interference without TM10 (postponing commitments)</w:t>
            </w:r>
          </w:p>
        </w:tc>
        <w:tc>
          <w:tcPr>
            <w:tcW w:type="dxa" w:w="1800"/>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−0.28 [−0.54, −0.03]</w:t>
            </w:r>
          </w:p>
        </w:tc>
        <w:tc>
          <w:tcPr>
            <w:tcW w:type="dxa" w:w="800"/>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.028</w:t>
            </w:r>
          </w:p>
        </w:tc>
      </w:tr>
    </w:tbl>
    <w:p>
      <w:pPr>
        <w:spacing w:after="200" w:before="60" w:line="240"/>
        <w:jc w:val="left"/>
      </w:pPr>
      <w:r>
        <w:rPr>
          <w:i/>
          <w:iCs/>
          <w:sz w:val="17"/>
          <w:szCs w:val="17"/>
        </w:rPr>
        <w:t xml:space="preserve">Note.</w:t>
      </w:r>
      <w:r>
        <w:rPr>
          <w:sz w:val="17"/>
          <w:szCs w:val="17"/>
        </w:rPr>
        <w:t xml:space="preserve"> Ordinary least squares with HC3 standard errors; covariates, standardisation and the other predictors as in Table 5 of the article (moderation rows as in Table S5f). Reduced scales, with Cronbach’s α and the correlation with the full scale: quality without RQ1 and RQ9 (α = .84; .97), quality without RQ2 and RQ7 (α = .80; .98), strain without RQ5 (α = .68; .96), well-being without PQ2 and PQ8 (α = .83; .97) and motivation without AM4 and AM12 (α = .89; .99); item wording in Table S2. Computed with the addendum to the analysis code (Online Resource 3, version 2.1); the interference rows for engagement are from version 2.0.</w:t>
      </w:r>
    </w:p>
    <w:p>
      <w:pPr>
        <w:keepNext/>
        <w:spacing w:after="80" w:before="240" w:line="276"/>
        <w:jc w:val="left"/>
      </w:pPr>
      <w:r>
        <w:rPr>
          <w:b/>
          <w:bCs/>
          <w:sz w:val="22"/>
          <w:szCs w:val="22"/>
        </w:rPr>
        <w:t xml:space="preserve">Table S5f </w:t>
      </w:r>
      <w:r>
        <w:rPr>
          <w:sz w:val="22"/>
          <w:szCs w:val="22"/>
        </w:rPr>
        <w:t xml:space="preserve">Moderation by perceived social support and associations of family regulation among relationship-experienced students (</w:t>
      </w:r>
      <w:r>
        <w:rPr>
          <w:i/>
          <w:iCs/>
          <w:sz w:val="22"/>
          <w:szCs w:val="22"/>
        </w:rPr>
        <w:t xml:space="preserve">n</w:t>
      </w:r>
      <w:r>
        <w:rPr>
          <w:sz w:val="22"/>
          <w:szCs w:val="22"/>
        </w:rPr>
        <w:t xml:space="preserve"> = 128)</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888"/>
        <w:gridCol w:w="1534"/>
        <w:gridCol w:w="1534"/>
        <w:gridCol w:w="1534"/>
        <w:gridCol w:w="1536"/>
      </w:tblGrid>
      <w:tr>
        <w:trPr>
          <w:cantSplit/>
          <w:tblHeader/>
        </w:trPr>
        <w:tc>
          <w:tcPr>
            <w:tcW w:w="2888" w:type="dxa"/>
            <w:tcBorders>
              <w:top w:val="single" w:sz="6" w:space="0" w:color="000000"/>
              <w:left w:val="none" w:sz="0" w:space="0" w:color="FFFFFF"/>
              <w:bottom w:val="single" w:sz="6" w:space="0" w:color="000000"/>
              <w:right w:val="none" w:sz="0" w:space="0" w:color="FFFFFF"/>
            </w:tcBorders>
            <w:tcMar>
              <w:top w:w="30" w:type="dxa"/>
              <w:left w:w="70" w:type="dxa"/>
              <w:bottom w:w="30" w:type="dxa"/>
              <w:right w:w="70" w:type="dxa"/>
            </w:tcMar>
          </w:tcPr>
          <w:p>
            <w:pPr>
              <w:spacing w:before="20" w:after="20"/>
              <w:jc w:val="left"/>
            </w:pPr>
          </w:p>
        </w:tc>
        <w:tc>
          <w:tcPr>
            <w:tcW w:w="1534" w:type="dxa"/>
            <w:tcBorders>
              <w:top w:val="single" w:sz="6" w:space="0" w:color="000000"/>
              <w:left w:val="none" w:sz="0" w:space="0" w:color="FFFFFF"/>
              <w:bottom w:val="single" w:sz="6" w:space="0" w:color="000000"/>
              <w:right w:val="none" w:sz="0" w:space="0" w:color="FFFFFF"/>
            </w:tcBorders>
            <w:tcMar>
              <w:top w:w="30" w:type="dxa"/>
              <w:left w:w="70" w:type="dxa"/>
              <w:bottom w:w="30" w:type="dxa"/>
              <w:right w:w="70" w:type="dxa"/>
            </w:tcMar>
          </w:tcPr>
          <w:p>
            <w:pPr>
              <w:spacing w:before="20" w:after="20"/>
              <w:jc w:val="center"/>
            </w:pPr>
            <w:r>
              <w:rPr>
                <w:b/>
                <w:bCs/>
                <w:sz w:val="17"/>
                <w:szCs w:val="17"/>
              </w:rPr>
              <w:t>Psychological well-being, β [95% CI]</w:t>
            </w:r>
          </w:p>
        </w:tc>
        <w:tc>
          <w:tcPr>
            <w:tcW w:w="1534" w:type="dxa"/>
            <w:tcBorders>
              <w:top w:val="single" w:sz="6" w:space="0" w:color="000000"/>
              <w:left w:val="none" w:sz="0" w:space="0" w:color="FFFFFF"/>
              <w:bottom w:val="single" w:sz="6" w:space="0" w:color="000000"/>
              <w:right w:val="none" w:sz="0" w:space="0" w:color="FFFFFF"/>
            </w:tcBorders>
            <w:tcMar>
              <w:top w:w="30" w:type="dxa"/>
              <w:left w:w="70" w:type="dxa"/>
              <w:bottom w:w="30" w:type="dxa"/>
              <w:right w:w="70" w:type="dxa"/>
            </w:tcMar>
          </w:tcPr>
          <w:p>
            <w:pPr>
              <w:spacing w:before="20" w:after="20"/>
              <w:jc w:val="center"/>
            </w:pPr>
            <w:r>
              <w:rPr>
                <w:b/>
                <w:bCs/>
                <w:sz w:val="17"/>
                <w:szCs w:val="17"/>
              </w:rPr>
              <w:t>Interference, four items, β [95% CI]</w:t>
            </w:r>
          </w:p>
        </w:tc>
        <w:tc>
          <w:tcPr>
            <w:tcW w:w="1534" w:type="dxa"/>
            <w:tcBorders>
              <w:top w:val="single" w:sz="6" w:space="0" w:color="000000"/>
              <w:left w:val="none" w:sz="0" w:space="0" w:color="FFFFFF"/>
              <w:bottom w:val="single" w:sz="6" w:space="0" w:color="000000"/>
              <w:right w:val="none" w:sz="0" w:space="0" w:color="FFFFFF"/>
            </w:tcBorders>
            <w:tcMar>
              <w:top w:w="30" w:type="dxa"/>
              <w:left w:w="70" w:type="dxa"/>
              <w:bottom w:w="30" w:type="dxa"/>
              <w:right w:w="70" w:type="dxa"/>
            </w:tcMar>
          </w:tcPr>
          <w:p>
            <w:pPr>
              <w:spacing w:before="20" w:after="20"/>
              <w:jc w:val="center"/>
            </w:pPr>
            <w:r>
              <w:rPr>
                <w:b/>
                <w:bCs/>
                <w:sz w:val="17"/>
                <w:szCs w:val="17"/>
              </w:rPr>
              <w:t>Campus social integration, β [95% CI]</w:t>
            </w:r>
          </w:p>
        </w:tc>
        <w:tc>
          <w:tcPr>
            <w:tcW w:w="1536" w:type="dxa"/>
            <w:tcBorders>
              <w:top w:val="single" w:sz="6" w:space="0" w:color="000000"/>
              <w:left w:val="none" w:sz="0" w:space="0" w:color="FFFFFF"/>
              <w:bottom w:val="single" w:sz="6" w:space="0" w:color="000000"/>
              <w:right w:val="none" w:sz="0" w:space="0" w:color="FFFFFF"/>
            </w:tcBorders>
            <w:tcMar>
              <w:top w:w="30" w:type="dxa"/>
              <w:left w:w="70" w:type="dxa"/>
              <w:bottom w:w="30" w:type="dxa"/>
              <w:right w:w="70" w:type="dxa"/>
            </w:tcMar>
          </w:tcPr>
          <w:p>
            <w:pPr>
              <w:spacing w:before="20" w:after="20"/>
              <w:jc w:val="center"/>
            </w:pPr>
            <w:r>
              <w:rPr>
                <w:b/>
                <w:bCs/>
                <w:sz w:val="17"/>
                <w:szCs w:val="17"/>
              </w:rPr>
              <w:t>Relationship strain, β [95% CI]</w:t>
            </w:r>
          </w:p>
        </w:tc>
      </w:tr>
      <w:tr>
        <w:trPr>
          <w:cantSplit/>
        </w:trPr>
        <w:tc>
          <w:tcPr>
            <w:tcW w:w="9026" w:type="dxa"/>
            <w:gridSpan w:val="5"/>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left"/>
            </w:pPr>
            <w:r>
              <w:rPr>
                <w:i/>
                <w:iCs/>
                <w:sz w:val="17"/>
                <w:szCs w:val="17"/>
              </w:rPr>
              <w:t>Moderation by perceived social support</w:t>
            </w:r>
          </w:p>
        </w:tc>
      </w:tr>
      <w:tr>
        <w:trPr>
          <w:cantSplit/>
        </w:trPr>
        <w:tc>
          <w:tcPr>
            <w:tcW w:w="288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ind w:left="200"/>
              <w:jc w:val="left"/>
            </w:pPr>
            <w:r>
              <w:rPr>
                <w:sz w:val="17"/>
                <w:szCs w:val="17"/>
              </w:rPr>
              <w:t>Strain × support</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0.20</w:t>
            </w:r>
          </w:p>
          <w:p>
            <w:pPr>
              <w:spacing w:before="20" w:after="20"/>
              <w:jc w:val="center"/>
            </w:pPr>
            <w:r>
              <w:rPr>
                <w:sz w:val="17"/>
                <w:szCs w:val="17"/>
              </w:rPr>
              <w:t>[0.05, 0.35]</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0.18</w:t>
            </w:r>
          </w:p>
          <w:p>
            <w:pPr>
              <w:spacing w:before="20" w:after="20"/>
              <w:jc w:val="center"/>
            </w:pPr>
            <w:r>
              <w:rPr>
                <w:sz w:val="17"/>
                <w:szCs w:val="17"/>
              </w:rPr>
              <w:t>[0.08, 0.29]</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w:t>
            </w:r>
          </w:p>
        </w:tc>
        <w:tc>
          <w:tcPr>
            <w:tcW w:w="153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w:t>
            </w:r>
          </w:p>
        </w:tc>
      </w:tr>
      <w:tr>
        <w:trPr>
          <w:cantSplit/>
        </w:trPr>
        <w:tc>
          <w:tcPr>
            <w:tcW w:w="288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ind w:left="200"/>
              <w:jc w:val="left"/>
            </w:pPr>
            <w:r>
              <w:rPr>
                <w:sz w:val="17"/>
                <w:szCs w:val="17"/>
              </w:rPr>
              <w:t xml:space="preserve">Holm-adjusted </w:t>
            </w:r>
            <w:r>
              <w:rPr>
                <w:i/>
                <w:iCs/>
                <w:sz w:val="17"/>
                <w:szCs w:val="17"/>
              </w:rPr>
              <w:t>p</w:t>
            </w:r>
            <w:r>
              <w:rPr>
                <w:sz w:val="17"/>
                <w:szCs w:val="17"/>
              </w:rPr>
              <w:t xml:space="preserve"> (seven moderation tests)</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.059</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.006</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w:t>
            </w:r>
          </w:p>
        </w:tc>
        <w:tc>
          <w:tcPr>
            <w:tcW w:w="153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w:t>
            </w:r>
          </w:p>
        </w:tc>
      </w:tr>
      <w:tr>
        <w:trPr>
          <w:cantSplit/>
        </w:trPr>
        <w:tc>
          <w:tcPr>
            <w:tcW w:w="288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ind w:left="200"/>
              <w:jc w:val="left"/>
            </w:pPr>
            <w:r>
              <w:rPr>
                <w:sz w:val="17"/>
                <w:szCs w:val="17"/>
              </w:rPr>
              <w:lastRenderedPageBreak/>
              <w:t xml:space="preserve">Slope of strain at low support (−1 </w:t>
            </w:r>
            <w:r>
              <w:rPr>
                <w:i/>
                <w:iCs/>
                <w:sz w:val="17"/>
                <w:szCs w:val="17"/>
              </w:rPr>
              <w:t>SD</w:t>
            </w:r>
            <w:r>
              <w:rPr>
                <w:sz w:val="17"/>
                <w:szCs w:val="17"/>
              </w:rPr>
              <w:t>)</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−0.40</w:t>
            </w:r>
          </w:p>
          <w:p>
            <w:pPr>
              <w:spacing w:before="20" w:after="20"/>
              <w:jc w:val="center"/>
            </w:pPr>
            <w:r>
              <w:rPr>
                <w:sz w:val="17"/>
                <w:szCs w:val="17"/>
              </w:rPr>
              <w:t>[−0.72, −0.08]</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0.34</w:t>
            </w:r>
          </w:p>
          <w:p>
            <w:pPr>
              <w:spacing w:before="20" w:after="20"/>
              <w:jc w:val="center"/>
            </w:pPr>
            <w:r>
              <w:rPr>
                <w:sz w:val="17"/>
                <w:szCs w:val="17"/>
              </w:rPr>
              <w:t>[0.09, 0.58]</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w:t>
            </w:r>
          </w:p>
        </w:tc>
        <w:tc>
          <w:tcPr>
            <w:tcW w:w="153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w:t>
            </w:r>
          </w:p>
        </w:tc>
      </w:tr>
      <w:tr>
        <w:trPr>
          <w:cantSplit/>
        </w:trPr>
        <w:tc>
          <w:tcPr>
            <w:tcW w:w="288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ind w:left="200"/>
              <w:jc w:val="left"/>
            </w:pPr>
            <w:r>
              <w:rPr>
                <w:sz w:val="17"/>
                <w:szCs w:val="17"/>
              </w:rPr>
              <w:t>Slope of strain at mean support</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−0.20</w:t>
            </w:r>
          </w:p>
          <w:p>
            <w:pPr>
              <w:spacing w:before="20" w:after="20"/>
              <w:jc w:val="center"/>
            </w:pPr>
            <w:r>
              <w:rPr>
                <w:sz w:val="17"/>
                <w:szCs w:val="17"/>
              </w:rPr>
              <w:t>[−0.41, 0.01]</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0.52</w:t>
            </w:r>
          </w:p>
          <w:p>
            <w:pPr>
              <w:spacing w:before="20" w:after="20"/>
              <w:jc w:val="center"/>
            </w:pPr>
            <w:r>
              <w:rPr>
                <w:sz w:val="17"/>
                <w:szCs w:val="17"/>
              </w:rPr>
              <w:t>[0.34, 0.69]</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w:t>
            </w:r>
          </w:p>
        </w:tc>
        <w:tc>
          <w:tcPr>
            <w:tcW w:w="153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w:t>
            </w:r>
          </w:p>
        </w:tc>
      </w:tr>
      <w:tr>
        <w:trPr>
          <w:cantSplit/>
        </w:trPr>
        <w:tc>
          <w:tcPr>
            <w:tcW w:w="288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ind w:left="200"/>
              <w:jc w:val="left"/>
            </w:pPr>
            <w:r>
              <w:rPr>
                <w:sz w:val="17"/>
                <w:szCs w:val="17"/>
              </w:rPr>
              <w:t xml:space="preserve">Slope of strain at high support (+1 </w:t>
            </w:r>
            <w:r>
              <w:rPr>
                <w:i/>
                <w:iCs/>
                <w:sz w:val="17"/>
                <w:szCs w:val="17"/>
              </w:rPr>
              <w:t>SD</w:t>
            </w:r>
            <w:r>
              <w:rPr>
                <w:sz w:val="17"/>
                <w:szCs w:val="17"/>
              </w:rPr>
              <w:t>)</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−0.01</w:t>
            </w:r>
          </w:p>
          <w:p>
            <w:pPr>
              <w:spacing w:before="20" w:after="20"/>
              <w:jc w:val="center"/>
            </w:pPr>
            <w:r>
              <w:rPr>
                <w:sz w:val="17"/>
                <w:szCs w:val="17"/>
              </w:rPr>
              <w:t>[−0.18, 0.17]</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0.70</w:t>
            </w:r>
          </w:p>
          <w:p>
            <w:pPr>
              <w:spacing w:before="20" w:after="20"/>
              <w:jc w:val="center"/>
            </w:pPr>
            <w:r>
              <w:rPr>
                <w:sz w:val="17"/>
                <w:szCs w:val="17"/>
              </w:rPr>
              <w:t>[0.54, 0.86]</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w:t>
            </w:r>
          </w:p>
        </w:tc>
        <w:tc>
          <w:tcPr>
            <w:tcW w:w="153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w:t>
            </w:r>
          </w:p>
        </w:tc>
      </w:tr>
      <w:tr>
        <w:trPr>
          <w:cantSplit/>
        </w:trPr>
        <w:tc>
          <w:tcPr>
            <w:tcW w:w="9026" w:type="dxa"/>
            <w:gridSpan w:val="5"/>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left"/>
            </w:pPr>
            <w:r>
              <w:rPr>
                <w:i/>
                <w:iCs/>
                <w:sz w:val="17"/>
                <w:szCs w:val="17"/>
              </w:rPr>
              <w:t>Family regulation (exploratory)</w:t>
            </w:r>
          </w:p>
        </w:tc>
      </w:tr>
      <w:tr>
        <w:trPr>
          <w:cantSplit/>
        </w:trPr>
        <w:tc>
          <w:tcPr>
            <w:tcW w:w="288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ind w:left="200"/>
              <w:jc w:val="left"/>
            </w:pPr>
            <w:r>
              <w:rPr>
                <w:sz w:val="17"/>
                <w:szCs w:val="17"/>
              </w:rPr>
              <w:t>Family acceptance of the relationship</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0.26</w:t>
            </w:r>
          </w:p>
          <w:p>
            <w:pPr>
              <w:spacing w:before="20" w:after="20"/>
              <w:jc w:val="center"/>
            </w:pPr>
            <w:r>
              <w:rPr>
                <w:sz w:val="17"/>
                <w:szCs w:val="17"/>
              </w:rPr>
              <w:t>[0.07, 0.46]</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0.02</w:t>
            </w:r>
          </w:p>
          <w:p>
            <w:pPr>
              <w:spacing w:before="20" w:after="20"/>
              <w:jc w:val="center"/>
            </w:pPr>
            <w:r>
              <w:rPr>
                <w:sz w:val="17"/>
                <w:szCs w:val="17"/>
              </w:rPr>
              <w:t>[−0.17, 0.22]</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0.30</w:t>
            </w:r>
          </w:p>
          <w:p>
            <w:pPr>
              <w:spacing w:before="20" w:after="20"/>
              <w:jc w:val="center"/>
            </w:pPr>
            <w:r>
              <w:rPr>
                <w:sz w:val="17"/>
                <w:szCs w:val="17"/>
              </w:rPr>
              <w:t>[0.12, 0.48]</w:t>
            </w:r>
          </w:p>
        </w:tc>
        <w:tc>
          <w:tcPr>
            <w:tcW w:w="153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0.07</w:t>
            </w:r>
          </w:p>
          <w:p>
            <w:pPr>
              <w:spacing w:before="20" w:after="20"/>
              <w:jc w:val="center"/>
            </w:pPr>
            <w:r>
              <w:rPr>
                <w:sz w:val="17"/>
                <w:szCs w:val="17"/>
              </w:rPr>
              <w:t>[−0.13, 0.28]</w:t>
            </w:r>
          </w:p>
        </w:tc>
      </w:tr>
      <w:tr>
        <w:trPr>
          <w:cantSplit/>
        </w:trPr>
        <w:tc>
          <w:tcPr>
            <w:tcW w:w="288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ind w:left="200"/>
              <w:jc w:val="left"/>
            </w:pPr>
            <w:r>
              <w:rPr>
                <w:sz w:val="17"/>
                <w:szCs w:val="17"/>
              </w:rPr>
              <w:t xml:space="preserve">Difficulty </w:t>
            </w:r>
            <w:proofErr w:type="gramStart"/>
            <w:r>
              <w:rPr>
                <w:sz w:val="17"/>
                <w:szCs w:val="17"/>
              </w:rPr>
              <w:t>disclosing</w:t>
            </w:r>
            <w:proofErr w:type="gramEnd"/>
            <w:r>
              <w:rPr>
                <w:sz w:val="17"/>
                <w:szCs w:val="17"/>
              </w:rPr>
              <w:t xml:space="preserve"> to family</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−0.005</w:t>
            </w:r>
          </w:p>
          <w:p>
            <w:pPr>
              <w:spacing w:before="20" w:after="20"/>
              <w:jc w:val="center"/>
            </w:pPr>
            <w:r>
              <w:rPr>
                <w:sz w:val="17"/>
                <w:szCs w:val="17"/>
              </w:rPr>
              <w:t>[−0.16, 0.15]</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0.22</w:t>
            </w:r>
          </w:p>
          <w:p>
            <w:pPr>
              <w:spacing w:before="20" w:after="20"/>
              <w:jc w:val="center"/>
            </w:pPr>
            <w:r>
              <w:rPr>
                <w:sz w:val="17"/>
                <w:szCs w:val="17"/>
              </w:rPr>
              <w:t>[0.04, 0.40]</w:t>
            </w:r>
          </w:p>
        </w:tc>
        <w:tc>
          <w:tcPr>
            <w:tcW w:w="153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0.10</w:t>
            </w:r>
          </w:p>
          <w:p>
            <w:pPr>
              <w:spacing w:before="20" w:after="20"/>
              <w:jc w:val="center"/>
            </w:pPr>
            <w:r>
              <w:rPr>
                <w:sz w:val="17"/>
                <w:szCs w:val="17"/>
              </w:rPr>
              <w:t>[−0.07, 0.27]</w:t>
            </w:r>
          </w:p>
        </w:tc>
        <w:tc>
          <w:tcPr>
            <w:tcW w:w="153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pPr>
              <w:spacing w:before="20" w:after="20"/>
              <w:jc w:val="center"/>
            </w:pPr>
            <w:r>
              <w:rPr>
                <w:sz w:val="17"/>
                <w:szCs w:val="17"/>
              </w:rPr>
              <w:t>0.28</w:t>
            </w:r>
          </w:p>
          <w:p>
            <w:pPr>
              <w:spacing w:before="20" w:after="20"/>
              <w:jc w:val="center"/>
            </w:pPr>
            <w:r>
              <w:rPr>
                <w:sz w:val="17"/>
                <w:szCs w:val="17"/>
              </w:rPr>
              <w:t>[0.09, 0.46]</w:t>
            </w:r>
          </w:p>
        </w:tc>
      </w:tr>
      <w:tr>
        <w:trPr>
          <w:cantSplit/>
        </w:trPr>
        <w:tc>
          <w:tcPr>
            <w:tcW w:w="2888" w:type="dxa"/>
            <w:tcBorders>
              <w:top w:val="none" w:sz="0" w:space="0" w:color="FFFFFF"/>
              <w:left w:val="none" w:sz="0" w:space="0" w:color="FFFFFF"/>
              <w:bottom w:val="single" w:sz="6" w:space="0" w:color="000000"/>
              <w:right w:val="none" w:sz="0" w:space="0" w:color="FFFFFF"/>
            </w:tcBorders>
            <w:tcMar>
              <w:top w:w="30" w:type="dxa"/>
              <w:left w:w="70" w:type="dxa"/>
              <w:bottom w:w="30" w:type="dxa"/>
              <w:right w:w="70" w:type="dxa"/>
            </w:tcMar>
          </w:tcPr>
          <w:p>
            <w:pPr>
              <w:spacing w:before="20" w:after="20"/>
              <w:ind w:left="200"/>
              <w:jc w:val="left"/>
            </w:pPr>
            <w:r>
              <w:rPr>
                <w:sz w:val="17"/>
                <w:szCs w:val="17"/>
              </w:rPr>
              <w:t>Family acceptance, adjusted for support, quality and strain</w:t>
            </w:r>
          </w:p>
        </w:tc>
        <w:tc>
          <w:tcPr>
            <w:tcW w:w="1534" w:type="dxa"/>
            <w:tcBorders>
              <w:top w:val="none" w:sz="0" w:space="0" w:color="FFFFFF"/>
              <w:left w:val="none" w:sz="0" w:space="0" w:color="FFFFFF"/>
              <w:bottom w:val="single" w:sz="6" w:space="0" w:color="000000"/>
              <w:right w:val="none" w:sz="0" w:space="0" w:color="FFFFFF"/>
            </w:tcBorders>
            <w:tcMar>
              <w:top w:w="30" w:type="dxa"/>
              <w:left w:w="70" w:type="dxa"/>
              <w:bottom w:w="30" w:type="dxa"/>
              <w:right w:w="70" w:type="dxa"/>
            </w:tcMar>
          </w:tcPr>
          <w:p>
            <w:pPr>
              <w:spacing w:before="20" w:after="20"/>
              <w:jc w:val="center"/>
            </w:pPr>
            <w:r>
              <w:rPr>
                <w:sz w:val="17"/>
                <w:szCs w:val="17"/>
              </w:rPr>
              <w:t>0.09</w:t>
            </w:r>
          </w:p>
          <w:p>
            <w:pPr>
              <w:spacing w:before="20" w:after="20"/>
              <w:jc w:val="center"/>
            </w:pPr>
            <w:r>
              <w:rPr>
                <w:sz w:val="17"/>
                <w:szCs w:val="17"/>
              </w:rPr>
              <w:t>[−0.09, 0.28]</w:t>
            </w:r>
          </w:p>
        </w:tc>
        <w:tc>
          <w:tcPr>
            <w:tcW w:w="1534" w:type="dxa"/>
            <w:tcBorders>
              <w:top w:val="none" w:sz="0" w:space="0" w:color="FFFFFF"/>
              <w:left w:val="none" w:sz="0" w:space="0" w:color="FFFFFF"/>
              <w:bottom w:val="single" w:sz="6" w:space="0" w:color="000000"/>
              <w:right w:val="none" w:sz="0" w:space="0" w:color="FFFFFF"/>
            </w:tcBorders>
            <w:tcMar>
              <w:top w:w="30" w:type="dxa"/>
              <w:left w:w="70" w:type="dxa"/>
              <w:bottom w:w="30" w:type="dxa"/>
              <w:right w:w="70" w:type="dxa"/>
            </w:tcMar>
          </w:tcPr>
          <w:p>
            <w:pPr>
              <w:spacing w:before="20" w:after="20"/>
              <w:jc w:val="center"/>
            </w:pPr>
            <w:r>
              <w:rPr>
                <w:sz w:val="17"/>
                <w:szCs w:val="17"/>
              </w:rPr>
              <w:t>---</w:t>
            </w:r>
          </w:p>
        </w:tc>
        <w:tc>
          <w:tcPr>
            <w:tcW w:w="1534" w:type="dxa"/>
            <w:tcBorders>
              <w:top w:val="none" w:sz="0" w:space="0" w:color="FFFFFF"/>
              <w:left w:val="none" w:sz="0" w:space="0" w:color="FFFFFF"/>
              <w:bottom w:val="single" w:sz="6" w:space="0" w:color="000000"/>
              <w:right w:val="none" w:sz="0" w:space="0" w:color="FFFFFF"/>
            </w:tcBorders>
            <w:tcMar>
              <w:top w:w="30" w:type="dxa"/>
              <w:left w:w="70" w:type="dxa"/>
              <w:bottom w:w="30" w:type="dxa"/>
              <w:right w:w="70" w:type="dxa"/>
            </w:tcMar>
          </w:tcPr>
          <w:p>
            <w:pPr>
              <w:spacing w:before="20" w:after="20"/>
              <w:jc w:val="center"/>
            </w:pPr>
            <w:r>
              <w:rPr>
                <w:sz w:val="17"/>
                <w:szCs w:val="17"/>
              </w:rPr>
              <w:t>0.11</w:t>
            </w:r>
          </w:p>
          <w:p>
            <w:pPr>
              <w:spacing w:before="20" w:after="20"/>
              <w:jc w:val="center"/>
            </w:pPr>
            <w:r>
              <w:rPr>
                <w:sz w:val="17"/>
                <w:szCs w:val="17"/>
              </w:rPr>
              <w:t>[−0.07, 0.28]</w:t>
            </w:r>
          </w:p>
        </w:tc>
        <w:tc>
          <w:tcPr>
            <w:tcW w:w="1536" w:type="dxa"/>
            <w:tcBorders>
              <w:top w:val="none" w:sz="0" w:space="0" w:color="FFFFFF"/>
              <w:left w:val="none" w:sz="0" w:space="0" w:color="FFFFFF"/>
              <w:bottom w:val="single" w:sz="6" w:space="0" w:color="000000"/>
              <w:right w:val="none" w:sz="0" w:space="0" w:color="FFFFFF"/>
            </w:tcBorders>
            <w:tcMar>
              <w:top w:w="30" w:type="dxa"/>
              <w:left w:w="70" w:type="dxa"/>
              <w:bottom w:w="30" w:type="dxa"/>
              <w:right w:w="70" w:type="dxa"/>
            </w:tcMar>
          </w:tcPr>
          <w:p>
            <w:pPr>
              <w:spacing w:before="20" w:after="20"/>
              <w:jc w:val="center"/>
            </w:pPr>
            <w:r>
              <w:rPr>
                <w:sz w:val="17"/>
                <w:szCs w:val="17"/>
              </w:rPr>
              <w:t>---</w:t>
            </w:r>
          </w:p>
        </w:tc>
      </w:tr>
    </w:tbl>
    <w:p>
      <w:pPr>
        <w:spacing w:after="200" w:before="60" w:line="240"/>
        <w:jc w:val="left"/>
      </w:pPr>
      <w:r>
        <w:rPr>
          <w:i/>
          <w:iCs/>
          <w:sz w:val="17"/>
          <w:szCs w:val="17"/>
        </w:rPr>
        <w:t xml:space="preserve">Note.</w:t>
      </w:r>
      <w:r>
        <w:rPr>
          <w:sz w:val="17"/>
          <w:szCs w:val="17"/>
        </w:rPr>
        <w:t xml:space="preserve"> Ordinary least squares with HC3 standard errors. Moderation models include strain, support (standardised within the subsample), their product, relationship quality and the covariates listed in Table 5 of the article; simple slopes are evaluated at the subsample mean of support and 1 </w:t>
      </w:r>
      <w:r>
        <w:rPr>
          <w:i/>
          <w:iCs/>
          <w:sz w:val="17"/>
          <w:szCs w:val="17"/>
        </w:rPr>
        <w:t xml:space="preserve">SD</w:t>
      </w:r>
      <w:r>
        <w:rPr>
          <w:sz w:val="17"/>
          <w:szCs w:val="17"/>
        </w:rPr>
        <w:t xml:space="preserve"> below and above it. Family acceptance and disclosure difficulty are single items entered jointly with the covariates. The seven moderation tests comprise the two strain × support interactions and five gender interactions (Table S7).</w:t>
      </w:r>
    </w:p>
    <w:p>
      <w:pPr>
        <w:sectPr>
          <w:footerReference w:type="default" r:id="rId7"/>
          <w:pgSz w:w="16838" w:h="11906" w:orient="landscape"/>
          <w:pgMar w:top="1440" w:right="1440" w:bottom="1440" w:left="1440" w:header="708" w:footer="708" w:gutter="0"/>
          <w:pgNumType/>
          <w:docGrid w:linePitch="360"/>
        </w:sectPr>
      </w:pPr>
    </w:p>
    <w:p>
      <w:pPr>
        <w:pStyle w:val="Heading1"/>
        <w:keepNext/>
        <w:spacing w:after="0" w:before="0" w:line="276"/>
        <w:jc w:val="left"/>
      </w:pPr>
      <w:r>
        <w:rPr>
          <w:rFonts w:ascii="Times New Roman" w:cs="Times New Roman" w:eastAsia="Times New Roman" w:hAnsi="Times New Roman"/>
          <w:sz w:val="22"/>
          <w:szCs w:val="22"/>
        </w:rPr>
        <w:t xml:space="preserve">S6 Robustness and sensitivity analyses</w:t>
      </w:r>
    </w:p>
    <w:p>
      <w:pPr>
        <w:keepNext/>
        <w:spacing w:after="80" w:before="240" w:line="276"/>
        <w:jc w:val="left"/>
      </w:pPr>
      <w:r>
        <w:rPr>
          <w:rFonts w:ascii="Times New Roman" w:cs="Times New Roman" w:eastAsia="Times New Roman" w:hAnsi="Times New Roman"/>
          <w:b/>
          <w:bCs/>
          <w:sz w:val="22"/>
          <w:szCs w:val="22"/>
        </w:rPr>
        <w:t xml:space="preserve">Table S6a </w:t>
      </w:r>
      <w:r>
        <w:rPr>
          <w:rFonts w:ascii="Times New Roman" w:cs="Times New Roman" w:eastAsia="Times New Roman" w:hAnsi="Times New Roman"/>
          <w:sz w:val="22"/>
          <w:szCs w:val="22"/>
        </w:rPr>
        <w:t xml:space="preserve">Sensitivity of main estimates to data-cleaning decisions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40"/>
        <w:gridCol w:w="1895"/>
        <w:gridCol w:w="1895"/>
        <w:gridCol w:w="1896"/>
      </w:tblGrid>
      <w:tr>
        <w:trPr>
          <w:cantSplit/>
          <w:tblHeader/>
        </w:trPr>
        <w:tc>
          <w:tcPr>
            <w:tcW w:type="dxa" w:w="3340"/>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Sample</w:t>
            </w:r>
          </w:p>
        </w:tc>
        <w:tc>
          <w:tcPr>
            <w:tcW w:type="dxa" w:w="189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Grade: relationship experience, OR</w:t>
            </w:r>
          </w:p>
        </w:tc>
        <w:tc>
          <w:tcPr>
            <w:tcW w:type="dxa" w:w="189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Well-being: stable, β</w:t>
            </w:r>
          </w:p>
        </w:tc>
        <w:tc>
          <w:tcPr>
            <w:tcW w:type="dxa" w:w="189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Well-being: troubled, β</w:t>
            </w:r>
          </w:p>
        </w:tc>
      </w:tr>
      <w:tr>
        <w:trPr>
          <w:cantSplit/>
          <w:tblHeader w:val="off"/>
        </w:trPr>
        <w:tc>
          <w:tcPr>
            <w:tcW w:type="dxa" w:w="334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Primary analysis (</w:t>
            </w:r>
            <w:r>
              <w:rPr>
                <w:rFonts w:ascii="Times New Roman" w:cs="Times New Roman" w:eastAsia="Times New Roman" w:hAnsi="Times New Roman"/>
                <w:i/>
                <w:iCs/>
                <w:sz w:val="17"/>
                <w:szCs w:val="17"/>
              </w:rPr>
              <w:t xml:space="preserve">N</w:t>
            </w:r>
            <w:r>
              <w:rPr>
                <w:rFonts w:ascii="Times New Roman" w:cs="Times New Roman" w:eastAsia="Times New Roman" w:hAnsi="Times New Roman"/>
                <w:sz w:val="17"/>
                <w:szCs w:val="17"/>
              </w:rPr>
              <w:t xml:space="preserve"> = 260)</w:t>
            </w:r>
          </w:p>
        </w:tc>
        <w:tc>
          <w:tcPr>
            <w:tcW w:type="dxa" w:w="189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0.49 (</w:t>
            </w: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 .005)</w:t>
            </w:r>
          </w:p>
        </w:tc>
        <w:tc>
          <w:tcPr>
            <w:tcW w:type="dxa" w:w="189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0.43 (</w:t>
            </w: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 .002)</w:t>
            </w:r>
          </w:p>
        </w:tc>
        <w:tc>
          <w:tcPr>
            <w:tcW w:type="dxa" w:w="189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−0.56 (</w:t>
            </w: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 .040)</w:t>
            </w:r>
          </w:p>
        </w:tc>
      </w:tr>
      <w:tr>
        <w:trPr>
          <w:cantSplit/>
          <w:tblHeader w:val="off"/>
        </w:trPr>
        <w:tc>
          <w:tcPr>
            <w:tcW w:type="dxa" w:w="334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Invariant responders retained (</w:t>
            </w:r>
            <w:r>
              <w:rPr>
                <w:rFonts w:ascii="Times New Roman" w:cs="Times New Roman" w:eastAsia="Times New Roman" w:hAnsi="Times New Roman"/>
                <w:i/>
                <w:iCs/>
                <w:sz w:val="17"/>
                <w:szCs w:val="17"/>
              </w:rPr>
              <w:t xml:space="preserve">N</w:t>
            </w:r>
            <w:r>
              <w:rPr>
                <w:rFonts w:ascii="Times New Roman" w:cs="Times New Roman" w:eastAsia="Times New Roman" w:hAnsi="Times New Roman"/>
                <w:sz w:val="17"/>
                <w:szCs w:val="17"/>
              </w:rPr>
              <w:t xml:space="preserve"> = 268)</w:t>
            </w:r>
          </w:p>
        </w:tc>
        <w:tc>
          <w:tcPr>
            <w:tcW w:type="dxa" w:w="189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0.50 (</w:t>
            </w: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 .006)</w:t>
            </w:r>
          </w:p>
        </w:tc>
        <w:tc>
          <w:tcPr>
            <w:tcW w:type="dxa" w:w="189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0.48 (</w:t>
            </w: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&lt; .001)</w:t>
            </w:r>
          </w:p>
        </w:tc>
        <w:tc>
          <w:tcPr>
            <w:tcW w:type="dxa" w:w="189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−0.51 (</w:t>
            </w: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 .051)</w:t>
            </w:r>
          </w:p>
        </w:tc>
      </w:tr>
      <w:tr>
        <w:trPr>
          <w:cantSplit/>
          <w:tblHeader w:val="off"/>
        </w:trPr>
        <w:tc>
          <w:tcPr>
            <w:tcW w:type="dxa" w:w="334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Near-invariant responders also removed (</w:t>
            </w:r>
            <w:r>
              <w:rPr>
                <w:rFonts w:ascii="Times New Roman" w:cs="Times New Roman" w:eastAsia="Times New Roman" w:hAnsi="Times New Roman"/>
                <w:i/>
                <w:iCs/>
                <w:sz w:val="17"/>
                <w:szCs w:val="17"/>
              </w:rPr>
              <w:t xml:space="preserve">N</w:t>
            </w:r>
            <w:r>
              <w:rPr>
                <w:rFonts w:ascii="Times New Roman" w:cs="Times New Roman" w:eastAsia="Times New Roman" w:hAnsi="Times New Roman"/>
                <w:sz w:val="17"/>
                <w:szCs w:val="17"/>
              </w:rPr>
              <w:t xml:space="preserve"> = 252)</w:t>
            </w:r>
          </w:p>
        </w:tc>
        <w:tc>
          <w:tcPr>
            <w:tcW w:type="dxa" w:w="189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0.52 (</w:t>
            </w: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 .012)</w:t>
            </w:r>
          </w:p>
        </w:tc>
        <w:tc>
          <w:tcPr>
            <w:tcW w:type="dxa" w:w="189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0.37 (</w:t>
            </w: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 .009)</w:t>
            </w:r>
          </w:p>
        </w:tc>
        <w:tc>
          <w:tcPr>
            <w:tcW w:type="dxa" w:w="189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−0.56 (</w:t>
            </w: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 .035)</w:t>
            </w:r>
          </w:p>
        </w:tc>
      </w:tr>
      <w:tr>
        <w:trPr>
          <w:cantSplit/>
          <w:tblHeader w:val="off"/>
        </w:trPr>
        <w:tc>
          <w:tcPr>
            <w:tcW w:type="dxa" w:w="3340"/>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Duplicate records retained (</w:t>
            </w:r>
            <w:r>
              <w:rPr>
                <w:rFonts w:ascii="Times New Roman" w:cs="Times New Roman" w:eastAsia="Times New Roman" w:hAnsi="Times New Roman"/>
                <w:i/>
                <w:iCs/>
                <w:sz w:val="17"/>
                <w:szCs w:val="17"/>
              </w:rPr>
              <w:t xml:space="preserve">N</w:t>
            </w:r>
            <w:r>
              <w:rPr>
                <w:rFonts w:ascii="Times New Roman" w:cs="Times New Roman" w:eastAsia="Times New Roman" w:hAnsi="Times New Roman"/>
                <w:sz w:val="17"/>
                <w:szCs w:val="17"/>
              </w:rPr>
              <w:t xml:space="preserve"> = 339)</w:t>
            </w:r>
          </w:p>
        </w:tc>
        <w:tc>
          <w:tcPr>
            <w:tcW w:type="dxa" w:w="189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0.54 (</w:t>
            </w: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 .007)</w:t>
            </w:r>
          </w:p>
        </w:tc>
        <w:tc>
          <w:tcPr>
            <w:tcW w:type="dxa" w:w="189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0.34 (</w:t>
            </w: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 .004)</w:t>
            </w:r>
          </w:p>
        </w:tc>
        <w:tc>
          <w:tcPr>
            <w:tcW w:type="dxa" w:w="189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−0.56 (</w:t>
            </w: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 .008)</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Models and covariates as in Table 3 of the article. Retaining the duplicated records counts 71 records twice, which overstates precision.</w:t>
      </w:r>
    </w:p>
    <w:p>
      <w:pPr>
        <w:keepNext/>
        <w:spacing w:after="80" w:before="240" w:line="276"/>
        <w:jc w:val="left"/>
      </w:pPr>
      <w:r>
        <w:rPr>
          <w:rFonts w:ascii="Times New Roman" w:cs="Times New Roman" w:eastAsia="Times New Roman" w:hAnsi="Times New Roman"/>
          <w:b/>
          <w:bCs/>
          <w:sz w:val="22"/>
          <w:szCs w:val="22"/>
        </w:rPr>
        <w:t xml:space="preserve">Table S6b </w:t>
      </w:r>
      <w:r>
        <w:rPr>
          <w:rFonts w:ascii="Times New Roman" w:cs="Times New Roman" w:eastAsia="Times New Roman" w:hAnsi="Times New Roman"/>
          <w:sz w:val="22"/>
          <w:szCs w:val="22"/>
        </w:rPr>
        <w:t xml:space="preserve">Sensitivity of the grade association (relationship experience vs never-partnered) to model specification</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4"/>
        <w:gridCol w:w="1986"/>
        <w:gridCol w:w="1083"/>
        <w:gridCol w:w="1263"/>
      </w:tblGrid>
      <w:tr>
        <w:trPr>
          <w:cantSplit/>
          <w:tblHeader/>
        </w:trPr>
        <w:tc>
          <w:tcPr>
            <w:tcW w:type="dxa" w:w="469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Specification</w:t>
            </w:r>
          </w:p>
        </w:tc>
        <w:tc>
          <w:tcPr>
            <w:tcW w:type="dxa" w:w="198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OR [95% CI]</w:t>
            </w:r>
          </w:p>
        </w:tc>
        <w:tc>
          <w:tcPr>
            <w:tcW w:type="dxa" w:w="108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i/>
                <w:iCs/>
                <w:sz w:val="17"/>
                <w:szCs w:val="17"/>
              </w:rPr>
              <w:t xml:space="preserve">p</w:t>
            </w:r>
          </w:p>
        </w:tc>
        <w:tc>
          <w:tcPr>
            <w:tcW w:type="dxa" w:w="126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i/>
                <w:iCs/>
                <w:sz w:val="17"/>
                <w:szCs w:val="17"/>
              </w:rPr>
              <w:t xml:space="preserve">n</w:t>
            </w:r>
          </w:p>
        </w:tc>
      </w:tr>
      <w:tr>
        <w:trPr>
          <w:cantSplit/>
          <w:tblHeader w:val="off"/>
        </w:trPr>
        <w:tc>
          <w:tcPr>
            <w:tcW w:type="dxa" w:w="46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Primary specification</w:t>
            </w:r>
          </w:p>
        </w:tc>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0.49 [0.29, 0.81]</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.005</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246</w:t>
            </w:r>
          </w:p>
        </w:tc>
      </w:tr>
      <w:tr>
        <w:trPr>
          <w:cantSplit/>
          <w:tblHeader w:val="off"/>
        </w:trPr>
        <w:tc>
          <w:tcPr>
            <w:tcW w:type="dxa" w:w="46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 covariates</w:t>
            </w:r>
          </w:p>
        </w:tc>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0.35</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&lt; .001</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246</w:t>
            </w:r>
          </w:p>
        </w:tc>
      </w:tr>
      <w:tr>
        <w:trPr>
          <w:cantSplit/>
          <w:tblHeader w:val="off"/>
        </w:trPr>
        <w:tc>
          <w:tcPr>
            <w:tcW w:type="dxa" w:w="46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Covariates without faculty group</w:t>
            </w:r>
          </w:p>
        </w:tc>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0.43</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&lt; .001</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246</w:t>
            </w:r>
          </w:p>
        </w:tc>
      </w:tr>
      <w:tr>
        <w:trPr>
          <w:cantSplit/>
          <w:tblHeader w:val="off"/>
        </w:trPr>
        <w:tc>
          <w:tcPr>
            <w:tcW w:type="dxa" w:w="46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Primary covariates plus part of the export</w:t>
            </w:r>
          </w:p>
        </w:tc>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0.47 [0.29, 0.79]</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.004</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246</w:t>
            </w:r>
          </w:p>
        </w:tc>
      </w:tr>
      <w:tr>
        <w:trPr>
          <w:cantSplit/>
          <w:tblHeader w:val="off"/>
        </w:trPr>
        <w:tc>
          <w:tcPr>
            <w:tcW w:type="dxa" w:w="46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Weak and pass categories combined (four categories)</w:t>
            </w:r>
          </w:p>
        </w:tc>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0.48 [0.29, 0.80]</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.004</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246</w:t>
            </w:r>
          </w:p>
        </w:tc>
      </w:tr>
      <w:tr>
        <w:trPr>
          <w:cantSplit/>
          <w:tblHeader w:val="off"/>
        </w:trPr>
        <w:tc>
          <w:tcPr>
            <w:tcW w:type="dxa" w:w="46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Binary logit: good or better</w:t>
            </w:r>
          </w:p>
        </w:tc>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0.51 [0.21, 1.25]</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.142</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246</w:t>
            </w:r>
          </w:p>
        </w:tc>
      </w:tr>
      <w:tr>
        <w:trPr>
          <w:cantSplit/>
          <w:tblHeader w:val="off"/>
        </w:trPr>
        <w:tc>
          <w:tcPr>
            <w:tcW w:type="dxa" w:w="46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Binary logit: very good or better</w:t>
            </w:r>
          </w:p>
        </w:tc>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0.48 [0.26, 0.88]</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.017</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246</w:t>
            </w:r>
          </w:p>
        </w:tc>
      </w:tr>
      <w:tr>
        <w:trPr>
          <w:cantSplit/>
          <w:tblHeader w:val="off"/>
        </w:trPr>
        <w:tc>
          <w:tcPr>
            <w:tcW w:type="dxa" w:w="46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Binary logit: excellent</w:t>
            </w:r>
          </w:p>
        </w:tc>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0.55 [0.24, 1.26]</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.158</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246</w:t>
            </w:r>
          </w:p>
        </w:tc>
      </w:tr>
      <w:tr>
        <w:trPr>
          <w:cantSplit/>
          <w:tblHeader w:val="off"/>
        </w:trPr>
        <w:tc>
          <w:tcPr>
            <w:tcW w:type="dxa" w:w="46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First-year students only</w:t>
            </w:r>
          </w:p>
        </w:tc>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0.86</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.691</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123</w:t>
            </w:r>
          </w:p>
        </w:tc>
      </w:tr>
      <w:tr>
        <w:trPr>
          <w:cantSplit/>
          <w:tblHeader w:val="off"/>
        </w:trPr>
        <w:tc>
          <w:tcPr>
            <w:tcW w:type="dxa" w:w="46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Second- to fourth-year students only</w:t>
            </w:r>
          </w:p>
        </w:tc>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0.19</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&lt; .001</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123</w:t>
            </w:r>
          </w:p>
        </w:tc>
      </w:tr>
      <w:tr>
        <w:trPr>
          <w:cantSplit/>
          <w:tblHeader w:val="off"/>
        </w:trPr>
        <w:tc>
          <w:tcPr>
            <w:tcW w:type="dxa" w:w="46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Interaction model: experience in years 2–4</w:t>
            </w:r>
          </w:p>
        </w:tc>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0.37 [0.19, 0.73]</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.004</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246</w:t>
            </w:r>
          </w:p>
        </w:tc>
      </w:tr>
      <w:tr>
        <w:trPr>
          <w:cantSplit/>
          <w:tblHeader w:val="off"/>
        </w:trPr>
        <w:tc>
          <w:tcPr>
            <w:tcW w:type="dxa" w:w="46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Interaction model: experience × first year</w:t>
            </w:r>
          </w:p>
        </w:tc>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1.76 [0.67, 4.66]</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.255</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246</w:t>
            </w:r>
          </w:p>
        </w:tc>
      </w:tr>
      <w:tr>
        <w:trPr>
          <w:cantSplit/>
          <w:tblHeader w:val="off"/>
        </w:trPr>
        <w:tc>
          <w:tcPr>
            <w:tcW w:type="dxa" w:w="46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Interaction model: experience in the first year (implied OR)</w:t>
            </w:r>
          </w:p>
        </w:tc>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0.65 [0.32, 1.35]</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.248</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246</w:t>
            </w:r>
          </w:p>
        </w:tc>
      </w:tr>
      <w:tr>
        <w:trPr>
          <w:cantSplit/>
          <w:tblHeader w:val="off"/>
        </w:trPr>
        <w:tc>
          <w:tcPr>
            <w:tcW w:type="dxa" w:w="46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Interaction model without discordant students: experience in years 2–4</w:t>
            </w:r>
          </w:p>
        </w:tc>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0.43 [0.21, 0.87]</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.020</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209</w:t>
            </w:r>
          </w:p>
        </w:tc>
      </w:tr>
      <w:tr>
        <w:trPr>
          <w:cantSplit/>
          <w:tblHeader w:val="off"/>
        </w:trPr>
        <w:tc>
          <w:tcPr>
            <w:tcW w:type="dxa" w:w="46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Interaction model without discordant students: experience × first year</w:t>
            </w:r>
          </w:p>
        </w:tc>
        <w:tc>
          <w:tcPr>
            <w:tcW w:type="dxa" w:w="198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1.83 [0.63, 5.27]</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.264</w:t>
            </w:r>
          </w:p>
        </w:tc>
        <w:tc>
          <w:tcPr>
            <w:tcW w:type="dxa" w:w="126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209</w:t>
            </w:r>
          </w:p>
        </w:tc>
      </w:tr>
      <w:tr>
        <w:trPr>
          <w:cantSplit/>
          <w:tblHeader w:val="off"/>
        </w:trPr>
        <w:tc>
          <w:tcPr>
            <w:tcW w:type="dxa" w:w="469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Interaction model without discordant students: experience in the first year (implied OR)</w:t>
            </w:r>
          </w:p>
        </w:tc>
        <w:tc>
          <w:tcPr>
            <w:tcW w:type="dxa" w:w="198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0.78 [0.35, 1.76]</w:t>
            </w:r>
          </w:p>
        </w:tc>
        <w:tc>
          <w:tcPr>
            <w:tcW w:type="dxa" w:w="108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.554</w:t>
            </w:r>
          </w:p>
        </w:tc>
        <w:tc>
          <w:tcPr>
            <w:tcW w:type="dxa" w:w="126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209</w:t>
            </w:r>
          </w:p>
        </w:tc>
      </w:tr>
    </w:tbl>
    <w:p>
      <w:pPr>
        <w:spacing w:after="200" w:before="60" w:line="240"/>
        <w:jc w:val="left"/>
      </w:pPr>
      <w:r>
        <w:rPr>
          <w:i/>
          <w:iCs/>
          <w:sz w:val="17"/>
          <w:szCs w:val="17"/>
        </w:rPr>
        <w:t xml:space="preserve">Note.</w:t>
      </w:r>
      <w:r>
        <w:rPr>
          <w:sz w:val="17"/>
          <w:szCs w:val="17"/>
        </w:rPr>
        <w:t xml:space="preserve"> Proportional-odds models unless stated otherwise; binary logits do not impose proportional odds. Year-stratified models used the covariates available within each stratum (first year: gender, faculty group, allowance and employment; years 2–4: also year of study) and estimate stratum-specific associations; they do not test whether the associations differ. The interaction model uses one covariate set (gender, faculty group, allowance, employment, housing and rural origin) and tests the difference formally; its implied odds ratio for first-year students is exp(b</w:t>
      </w:r>
      <w:r>
        <w:rPr>
          <w:sz w:val="17"/>
          <w:szCs w:val="17"/>
          <w:vertAlign w:val="subscript"/>
        </w:rPr>
        <w:t xml:space="preserve">experience</w:t>
      </w:r>
      <w:r>
        <w:rPr>
          <w:sz w:val="17"/>
          <w:szCs w:val="17"/>
        </w:rPr>
        <w:t xml:space="preserve"> + b</w:t>
      </w:r>
      <w:r>
        <w:rPr>
          <w:sz w:val="17"/>
          <w:szCs w:val="17"/>
          <w:vertAlign w:val="subscript"/>
        </w:rPr>
        <w:t xml:space="preserve">experience × first year</w:t>
      </w:r>
      <w:r>
        <w:rPr>
          <w:sz w:val="17"/>
          <w:szCs w:val="17"/>
        </w:rPr>
        <w:t xml:space="preserve">), with the confidence interval from the model covariance matrix (addendum, version 2.1).</w:t>
      </w:r>
    </w:p>
    <w:p>
      <w:pPr>
        <w:keepNext/>
        <w:spacing w:after="80" w:before="240" w:line="276"/>
        <w:jc w:val="left"/>
      </w:pPr>
      <w:r>
        <w:rPr>
          <w:rFonts w:ascii="Times New Roman" w:cs="Times New Roman" w:eastAsia="Times New Roman" w:hAnsi="Times New Roman"/>
          <w:b/>
          <w:bCs/>
          <w:sz w:val="22"/>
          <w:szCs w:val="22"/>
        </w:rPr>
        <w:t xml:space="preserve">Table S6c </w:t>
      </w:r>
      <w:r>
        <w:rPr>
          <w:rFonts w:ascii="Times New Roman" w:cs="Times New Roman" w:eastAsia="Times New Roman" w:hAnsi="Times New Roman"/>
          <w:sz w:val="22"/>
          <w:szCs w:val="22"/>
        </w:rPr>
        <w:t xml:space="preserve">Brant tests of the proportional-odds assumption (grade with weak and pass combined)</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152"/>
        <w:gridCol w:w="1625"/>
        <w:gridCol w:w="1625"/>
        <w:gridCol w:w="1624"/>
      </w:tblGrid>
      <w:tr>
        <w:trPr>
          <w:cantSplit/>
          <w:tblHeader/>
        </w:trPr>
        <w:tc>
          <w:tcPr>
            <w:tcW w:type="dxa" w:w="415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Term</w:t>
            </w:r>
          </w:p>
        </w:tc>
        <w:tc>
          <w:tcPr>
            <w:tcW w:type="dxa" w:w="162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χ²</w:t>
            </w:r>
          </w:p>
        </w:tc>
        <w:tc>
          <w:tcPr>
            <w:tcW w:type="dxa" w:w="162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i/>
                <w:iCs/>
                <w:sz w:val="17"/>
                <w:szCs w:val="17"/>
              </w:rPr>
              <w:t xml:space="preserve">df</w:t>
            </w:r>
          </w:p>
        </w:tc>
        <w:tc>
          <w:tcPr>
            <w:tcW w:type="dxa" w:w="162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i/>
                <w:iCs/>
                <w:sz w:val="17"/>
                <w:szCs w:val="17"/>
              </w:rPr>
              <w:t xml:space="preserve">p</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Year of study</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8.46</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.206</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Faculty group</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19.22</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.014</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Housing</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5.31</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.257</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Relationship experience</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0.13</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.936</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Woman</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0.03</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.984</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Daily allowance</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6.60</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.037</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Employed alongside study</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0.37</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.830</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Rural origin</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1.11</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.575</w:t>
            </w:r>
          </w:p>
        </w:tc>
      </w:tr>
      <w:tr>
        <w:trPr>
          <w:cantSplit/>
          <w:tblHeader w:val="off"/>
        </w:trPr>
        <w:tc>
          <w:tcPr>
            <w:tcW w:type="dxa" w:w="415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All terms (omnibus)</w:t>
            </w:r>
          </w:p>
        </w:tc>
        <w:tc>
          <w:tcPr>
            <w:tcW w:type="dxa" w:w="162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49.47</w:t>
            </w:r>
          </w:p>
        </w:tc>
        <w:tc>
          <w:tcPr>
            <w:tcW w:type="dxa" w:w="162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28</w:t>
            </w:r>
          </w:p>
        </w:tc>
        <w:tc>
          <w:tcPr>
            <w:tcW w:type="dxa" w:w="162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.007</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Wald tests of equal coefficients across the binary logits at the three cut-points (good or better, very good or better, excellent); multi-category terms are tested jointly. Odds ratios for relationship experience at the three cut-points: 0.51, 0.48, 0.55.</w:t>
      </w:r>
    </w:p>
    <w:p>
      <w:pPr>
        <w:keepNext/>
        <w:spacing w:after="80" w:before="240" w:line="276"/>
        <w:jc w:val="left"/>
      </w:pPr>
      <w:r>
        <w:rPr>
          <w:rFonts w:ascii="Times New Roman" w:cs="Times New Roman" w:eastAsia="Times New Roman" w:hAnsi="Times New Roman"/>
          <w:b/>
          <w:bCs/>
          <w:sz w:val="22"/>
          <w:szCs w:val="22"/>
        </w:rPr>
        <w:t xml:space="preserve">Table S6d </w:t>
      </w:r>
      <w:r>
        <w:rPr>
          <w:rFonts w:ascii="Times New Roman" w:cs="Times New Roman" w:eastAsia="Times New Roman" w:hAnsi="Times New Roman"/>
          <w:sz w:val="22"/>
          <w:szCs w:val="22"/>
        </w:rPr>
        <w:t xml:space="preserve">Variance inflation factors, within-relationship models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13"/>
        <w:gridCol w:w="2257"/>
        <w:gridCol w:w="2256"/>
      </w:tblGrid>
      <w:tr>
        <w:trPr>
          <w:cantSplit/>
          <w:tblHeader/>
        </w:trPr>
        <w:tc>
          <w:tcPr>
            <w:tcW w:type="dxa" w:w="451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Predictor</w:t>
            </w:r>
          </w:p>
        </w:tc>
        <w:tc>
          <w:tcPr>
            <w:tcW w:type="dxa" w:w="2257"/>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Four-item scale</w:t>
            </w:r>
          </w:p>
        </w:tc>
        <w:tc>
          <w:tcPr>
            <w:tcW w:type="dxa" w:w="225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Eight-item scale</w:t>
            </w:r>
          </w:p>
        </w:tc>
      </w:tr>
      <w:tr>
        <w:trPr>
          <w:cantSplit/>
          <w:tblHeader w:val="off"/>
        </w:trPr>
        <w:tc>
          <w:tcPr>
            <w:tcW w:type="dxa" w:w="45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Relationship quality</w:t>
            </w:r>
          </w:p>
        </w:tc>
        <w:tc>
          <w:tcPr>
            <w:tcW w:type="dxa" w:w="225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1.59</w:t>
            </w:r>
          </w:p>
        </w:tc>
        <w:tc>
          <w:tcPr>
            <w:tcW w:type="dxa" w:w="2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1.59</w:t>
            </w:r>
          </w:p>
        </w:tc>
      </w:tr>
      <w:tr>
        <w:trPr>
          <w:cantSplit/>
          <w:tblHeader w:val="off"/>
        </w:trPr>
        <w:tc>
          <w:tcPr>
            <w:tcW w:type="dxa" w:w="45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Relationship strain</w:t>
            </w:r>
          </w:p>
        </w:tc>
        <w:tc>
          <w:tcPr>
            <w:tcW w:type="dxa" w:w="225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2.37</w:t>
            </w:r>
          </w:p>
        </w:tc>
        <w:tc>
          <w:tcPr>
            <w:tcW w:type="dxa" w:w="2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2.31</w:t>
            </w:r>
          </w:p>
        </w:tc>
      </w:tr>
      <w:tr>
        <w:trPr>
          <w:cantSplit/>
          <w:tblHeader w:val="off"/>
        </w:trPr>
        <w:tc>
          <w:tcPr>
            <w:tcW w:type="dxa" w:w="45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Interference</w:t>
            </w:r>
          </w:p>
        </w:tc>
        <w:tc>
          <w:tcPr>
            <w:tcW w:type="dxa" w:w="225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1.97</w:t>
            </w:r>
          </w:p>
        </w:tc>
        <w:tc>
          <w:tcPr>
            <w:tcW w:type="dxa" w:w="2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1.92</w:t>
            </w:r>
          </w:p>
        </w:tc>
      </w:tr>
      <w:tr>
        <w:trPr>
          <w:cantSplit/>
          <w:tblHeader w:val="off"/>
        </w:trPr>
        <w:tc>
          <w:tcPr>
            <w:tcW w:type="dxa" w:w="45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Woman</w:t>
            </w:r>
          </w:p>
        </w:tc>
        <w:tc>
          <w:tcPr>
            <w:tcW w:type="dxa" w:w="225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1.26</w:t>
            </w:r>
          </w:p>
        </w:tc>
        <w:tc>
          <w:tcPr>
            <w:tcW w:type="dxa" w:w="2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1.25</w:t>
            </w:r>
          </w:p>
        </w:tc>
      </w:tr>
      <w:tr>
        <w:trPr>
          <w:cantSplit/>
          <w:tblHeader w:val="off"/>
        </w:trPr>
        <w:tc>
          <w:tcPr>
            <w:tcW w:type="dxa" w:w="45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First year</w:t>
            </w:r>
          </w:p>
        </w:tc>
        <w:tc>
          <w:tcPr>
            <w:tcW w:type="dxa" w:w="225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1.24</w:t>
            </w:r>
          </w:p>
        </w:tc>
        <w:tc>
          <w:tcPr>
            <w:tcW w:type="dxa" w:w="2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1.24</w:t>
            </w:r>
          </w:p>
        </w:tc>
      </w:tr>
      <w:tr>
        <w:trPr>
          <w:cantSplit/>
          <w:tblHeader w:val="off"/>
        </w:trPr>
        <w:tc>
          <w:tcPr>
            <w:tcW w:type="dxa" w:w="45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Daily allowance (1–4)</w:t>
            </w:r>
          </w:p>
        </w:tc>
        <w:tc>
          <w:tcPr>
            <w:tcW w:type="dxa" w:w="225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1.14</w:t>
            </w:r>
          </w:p>
        </w:tc>
        <w:tc>
          <w:tcPr>
            <w:tcW w:type="dxa" w:w="2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1.14</w:t>
            </w:r>
          </w:p>
        </w:tc>
      </w:tr>
      <w:tr>
        <w:trPr>
          <w:cantSplit/>
          <w:tblHeader w:val="off"/>
        </w:trPr>
        <w:tc>
          <w:tcPr>
            <w:tcW w:type="dxa" w:w="45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Employed alongside study</w:t>
            </w:r>
          </w:p>
        </w:tc>
        <w:tc>
          <w:tcPr>
            <w:tcW w:type="dxa" w:w="225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1.23</w:t>
            </w:r>
          </w:p>
        </w:tc>
        <w:tc>
          <w:tcPr>
            <w:tcW w:type="dxa" w:w="2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1.24</w:t>
            </w:r>
          </w:p>
        </w:tc>
      </w:tr>
      <w:tr>
        <w:trPr>
          <w:cantSplit/>
          <w:tblHeader w:val="off"/>
        </w:trPr>
        <w:tc>
          <w:tcPr>
            <w:tcW w:type="dxa" w:w="451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Relationship ended</w:t>
            </w:r>
          </w:p>
        </w:tc>
        <w:tc>
          <w:tcPr>
            <w:tcW w:type="dxa" w:w="2257"/>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1.28</w:t>
            </w:r>
          </w:p>
        </w:tc>
        <w:tc>
          <w:tcPr>
            <w:tcW w:type="dxa" w:w="225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1.28</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Computed from the predictors of the outcome models without the faculty dummies.</w:t>
      </w:r>
    </w:p>
    <w:p>
      <w:pPr>
        <w:keepNext/>
        <w:spacing w:after="80" w:before="240" w:line="276"/>
        <w:jc w:val="left"/>
      </w:pPr>
      <w:r>
        <w:rPr>
          <w:rFonts w:ascii="Times New Roman" w:cs="Times New Roman" w:eastAsia="Times New Roman" w:hAnsi="Times New Roman"/>
          <w:b/>
          <w:bCs/>
          <w:sz w:val="22"/>
          <w:szCs w:val="22"/>
        </w:rPr>
        <w:t xml:space="preserve">Table S6e </w:t>
      </w:r>
      <w:r>
        <w:rPr>
          <w:rFonts w:ascii="Times New Roman" w:cs="Times New Roman" w:eastAsia="Times New Roman" w:hAnsi="Times New Roman"/>
          <w:sz w:val="22"/>
          <w:szCs w:val="22"/>
        </w:rPr>
        <w:t xml:space="preserve">Sensitivity power analysis: smallest effects detectable with power .80 (two-sided α = .05)</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13"/>
        <w:gridCol w:w="1625"/>
        <w:gridCol w:w="2888"/>
      </w:tblGrid>
      <w:tr>
        <w:trPr>
          <w:cantSplit/>
          <w:tblHeader/>
        </w:trPr>
        <w:tc>
          <w:tcPr>
            <w:tcW w:type="dxa" w:w="451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Test</w:t>
            </w:r>
          </w:p>
        </w:tc>
        <w:tc>
          <w:tcPr>
            <w:tcW w:type="dxa" w:w="162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i/>
                <w:iCs/>
                <w:sz w:val="17"/>
                <w:szCs w:val="17"/>
              </w:rPr>
              <w:t xml:space="preserve">n</w:t>
            </w:r>
          </w:p>
        </w:tc>
        <w:tc>
          <w:tcPr>
            <w:tcW w:type="dxa" w:w="2888"/>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Smallest detectable effect</w:t>
            </w:r>
          </w:p>
        </w:tc>
      </w:tr>
      <w:tr>
        <w:trPr>
          <w:cantSplit/>
          <w:tblHeader w:val="off"/>
        </w:trPr>
        <w:tc>
          <w:tcPr>
            <w:tcW w:type="dxa" w:w="45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Single coefficient, analytic sample (16 predictors)</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260</w:t>
            </w: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i/>
                <w:iCs/>
                <w:sz w:val="17"/>
                <w:szCs w:val="17"/>
              </w:rPr>
              <w:t xml:space="preserve">f</w:t>
            </w:r>
            <w:r>
              <w:rPr>
                <w:rFonts w:ascii="Times New Roman" w:cs="Times New Roman" w:eastAsia="Times New Roman" w:hAnsi="Times New Roman"/>
                <w:sz w:val="17"/>
                <w:szCs w:val="17"/>
              </w:rPr>
              <w:t xml:space="preserve">² = .032 (≈ 3% of variance)</w:t>
            </w:r>
          </w:p>
        </w:tc>
      </w:tr>
      <w:tr>
        <w:trPr>
          <w:cantSplit/>
          <w:tblHeader w:val="off"/>
        </w:trPr>
        <w:tc>
          <w:tcPr>
            <w:tcW w:type="dxa" w:w="45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Single coefficient, relationship-experienced students (13 predictors)</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128</w:t>
            </w: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i/>
                <w:iCs/>
                <w:sz w:val="17"/>
                <w:szCs w:val="17"/>
              </w:rPr>
              <w:t xml:space="preserve">f</w:t>
            </w:r>
            <w:r>
              <w:rPr>
                <w:rFonts w:ascii="Times New Roman" w:cs="Times New Roman" w:eastAsia="Times New Roman" w:hAnsi="Times New Roman"/>
                <w:sz w:val="17"/>
                <w:szCs w:val="17"/>
              </w:rPr>
              <w:t xml:space="preserve">² = .069 (≈ 6% of variance)</w:t>
            </w:r>
          </w:p>
        </w:tc>
      </w:tr>
      <w:tr>
        <w:trPr>
          <w:cantSplit/>
          <w:tblHeader w:val="off"/>
        </w:trPr>
        <w:tc>
          <w:tcPr>
            <w:tcW w:type="dxa" w:w="45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Stable vs never-partnered</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74 / 132</w:t>
            </w: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i/>
                <w:iCs/>
                <w:sz w:val="17"/>
                <w:szCs w:val="17"/>
              </w:rPr>
              <w:t xml:space="preserve">d</w:t>
            </w:r>
            <w:r>
              <w:rPr>
                <w:rFonts w:ascii="Times New Roman" w:cs="Times New Roman" w:eastAsia="Times New Roman" w:hAnsi="Times New Roman"/>
                <w:sz w:val="17"/>
                <w:szCs w:val="17"/>
              </w:rPr>
              <w:t xml:space="preserve"> = 0.41</w:t>
            </w:r>
          </w:p>
        </w:tc>
      </w:tr>
      <w:tr>
        <w:trPr>
          <w:cantSplit/>
          <w:tblHeader w:val="off"/>
        </w:trPr>
        <w:tc>
          <w:tcPr>
            <w:tcW w:type="dxa" w:w="451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Troubled vs never-partnered</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18 / 132</w:t>
            </w: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i/>
                <w:iCs/>
                <w:sz w:val="17"/>
                <w:szCs w:val="17"/>
              </w:rPr>
              <w:t xml:space="preserve">d</w:t>
            </w:r>
            <w:r>
              <w:rPr>
                <w:rFonts w:ascii="Times New Roman" w:cs="Times New Roman" w:eastAsia="Times New Roman" w:hAnsi="Times New Roman"/>
                <w:sz w:val="17"/>
                <w:szCs w:val="17"/>
              </w:rPr>
              <w:t xml:space="preserve"> = 0.71</w:t>
            </w:r>
          </w:p>
        </w:tc>
      </w:tr>
      <w:tr>
        <w:trPr>
          <w:cantSplit/>
          <w:tblHeader w:val="off"/>
        </w:trPr>
        <w:tc>
          <w:tcPr>
            <w:tcW w:type="dxa" w:w="451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Ended vs never-partnered</w:t>
            </w:r>
          </w:p>
        </w:tc>
        <w:tc>
          <w:tcPr>
            <w:tcW w:type="dxa" w:w="162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36 / 132</w:t>
            </w:r>
          </w:p>
        </w:tc>
        <w:tc>
          <w:tcPr>
            <w:tcW w:type="dxa" w:w="2888"/>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i/>
                <w:iCs/>
                <w:sz w:val="17"/>
                <w:szCs w:val="17"/>
              </w:rPr>
              <w:t xml:space="preserve">d</w:t>
            </w:r>
            <w:r>
              <w:rPr>
                <w:rFonts w:ascii="Times New Roman" w:cs="Times New Roman" w:eastAsia="Times New Roman" w:hAnsi="Times New Roman"/>
                <w:sz w:val="17"/>
                <w:szCs w:val="17"/>
              </w:rPr>
              <w:t xml:space="preserve"> = 0.53</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Computed after data collection as a sensitivity analysis (Lakens, 2022), not as an a priori sample-size calculation, which was not made. Regression: noncentral </w:t>
      </w:r>
      <w:r>
        <w:rPr>
          <w:rFonts w:ascii="Times New Roman" w:cs="Times New Roman" w:eastAsia="Times New Roman" w:hAnsi="Times New Roman"/>
          <w:i/>
          <w:iCs/>
          <w:sz w:val="17"/>
          <w:szCs w:val="17"/>
        </w:rPr>
        <w:t xml:space="preserve">F</w:t>
      </w:r>
      <w:r>
        <w:rPr>
          <w:rFonts w:ascii="Times New Roman" w:cs="Times New Roman" w:eastAsia="Times New Roman" w:hAnsi="Times New Roman"/>
          <w:sz w:val="17"/>
          <w:szCs w:val="17"/>
        </w:rPr>
        <w:t xml:space="preserve"> test of one coefficient; group contrasts: two-sample </w:t>
      </w:r>
      <w:r>
        <w:rPr>
          <w:rFonts w:ascii="Times New Roman" w:cs="Times New Roman" w:eastAsia="Times New Roman" w:hAnsi="Times New Roman"/>
          <w:i/>
          <w:iCs/>
          <w:sz w:val="17"/>
          <w:szCs w:val="17"/>
        </w:rPr>
        <w:t xml:space="preserve">t</w:t>
      </w:r>
      <w:r>
        <w:rPr>
          <w:rFonts w:ascii="Times New Roman" w:cs="Times New Roman" w:eastAsia="Times New Roman" w:hAnsi="Times New Roman"/>
          <w:sz w:val="17"/>
          <w:szCs w:val="17"/>
        </w:rPr>
        <w:t xml:space="preserve"> test without covariates. Interaction tests involving small cells (e.g. 18 students in troubled relationships, six of them men) have lower sensitivity still.</w:t>
      </w:r>
    </w:p>
    <w:p>
      <w:pPr>
        <w:keepNext/>
        <w:spacing w:after="80" w:before="240" w:line="276"/>
        <w:jc w:val="left"/>
      </w:pPr>
      <w:r>
        <w:rPr>
          <w:rFonts w:ascii="Times New Roman" w:cs="Times New Roman" w:eastAsia="Times New Roman" w:hAnsi="Times New Roman"/>
          <w:b/>
          <w:bCs/>
          <w:sz w:val="22"/>
          <w:szCs w:val="22"/>
        </w:rPr>
        <w:t xml:space="preserve">Table S6f </w:t>
      </w:r>
      <w:r>
        <w:rPr>
          <w:rFonts w:ascii="Times New Roman" w:cs="Times New Roman" w:eastAsia="Times New Roman" w:hAnsi="Times New Roman"/>
          <w:sz w:val="22"/>
          <w:szCs w:val="22"/>
        </w:rPr>
        <w:t xml:space="preserve">Profile of never-partnered students by consistency of the duration item, compared with relationship-experienced students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152"/>
        <w:gridCol w:w="1625"/>
        <w:gridCol w:w="1625"/>
        <w:gridCol w:w="1624"/>
      </w:tblGrid>
      <w:tr>
        <w:trPr>
          <w:cantSplit/>
          <w:tblHeader/>
        </w:trPr>
        <w:tc>
          <w:tcPr>
            <w:tcW w:type="dxa" w:w="415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p>
        </w:tc>
        <w:tc>
          <w:tcPr>
            <w:tcW w:type="dxa" w:w="162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Concordant never-partnered</w:t>
            </w:r>
          </w:p>
        </w:tc>
        <w:tc>
          <w:tcPr>
            <w:tcW w:type="dxa" w:w="162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Discordant never-partnered</w:t>
            </w:r>
          </w:p>
        </w:tc>
        <w:tc>
          <w:tcPr>
            <w:tcW w:type="dxa" w:w="162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Relationship-experienced</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i/>
                <w:iCs/>
                <w:sz w:val="17"/>
                <w:szCs w:val="17"/>
              </w:rPr>
              <w:t xml:space="preserve">n</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93</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39</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128</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Women, %</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75</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82</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66</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First-year students, %</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55</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79</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43</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Mass Communication, %</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21.5</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43.6</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12.5</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Without a grade category, </w:t>
            </w:r>
            <w:r>
              <w:rPr>
                <w:i/>
                <w:iCs/>
                <w:sz w:val="17"/>
                <w:szCs w:val="17"/>
              </w:rPr>
              <w:t xml:space="preserve">n</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5</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2</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7</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Mean grade category (1–5)</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3.81</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4.22</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3.36</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Neutral responses to relationship-nature statements, %</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42.2</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31.3</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22.0</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Mean of relationship-quality statements (1–5)</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3.06</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2.95</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3.94</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Mean of relationship-strain statements (1–5)</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2.73</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2.47</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3.03</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Part 1 / part 2 of the export, </w:t>
            </w:r>
            <w:r>
              <w:rPr>
                <w:i/>
                <w:iCs/>
                <w:sz w:val="17"/>
                <w:szCs w:val="17"/>
              </w:rPr>
              <w:t xml:space="preserve">n</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73 / 20</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27 / 12</w:t>
            </w:r>
          </w:p>
        </w:tc>
        <w:tc>
          <w:tcPr>
            <w:tcW w:type="dxa" w:w="162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sz w:val="17"/>
                <w:szCs w:val="17"/>
              </w:rPr>
              <w:t xml:space="preserve">108 / 20</w:t>
            </w:r>
          </w:p>
        </w:tc>
      </w:tr>
      <w:tr>
        <w:trPr>
          <w:cantSplit/>
          <w:tblHeader w:val="off"/>
        </w:trPr>
        <w:tc>
          <w:tcPr>
            <w:tcW w:type="dxa" w:w="415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Reported duration: &lt; 6 months / 6–12 months / 1–2 years / &gt; 2 years</w:t>
            </w:r>
          </w:p>
        </w:tc>
        <w:tc>
          <w:tcPr>
            <w:tcW w:type="dxa" w:w="162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93 / 0 / 0 / 0</w:t>
            </w:r>
          </w:p>
        </w:tc>
        <w:tc>
          <w:tcPr>
            <w:tcW w:type="dxa" w:w="162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 / 7 / 6 / 26</w:t>
            </w:r>
          </w:p>
        </w:tc>
        <w:tc>
          <w:tcPr>
            <w:tcW w:type="dxa" w:w="162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26 / 34 / 24 / 44</w:t>
            </w:r>
          </w:p>
        </w:tc>
      </w:tr>
    </w:tbl>
    <w:p>
      <w:pPr>
        <w:spacing w:after="200" w:before="60" w:line="240"/>
        <w:jc w:val="left"/>
      </w:pPr>
      <w:r>
        <w:rPr>
          <w:i/>
          <w:iCs/>
          <w:sz w:val="17"/>
          <w:szCs w:val="17"/>
        </w:rPr>
        <w:t xml:space="preserve">Note.</w:t>
      </w:r>
      <w:r>
        <w:rPr>
          <w:sz w:val="17"/>
          <w:szCs w:val="17"/>
        </w:rPr>
        <w:t xml:space="preserve"> Discordant = reported never having been in a relationship and a relationship duration of six months or more. The quality and strain statements were answered by everyone because the form had no skip logic. Rows on women, first-year students, faculty, missing grades, parts of the export and grade for relationship-experienced students are computed directly from Online Resource 2.</w:t>
      </w:r>
    </w:p>
    <w:p>
      <w:pPr>
        <w:keepNext/>
        <w:spacing w:after="80" w:before="240" w:line="276"/>
        <w:jc w:val="left"/>
      </w:pPr>
      <w:r>
        <w:rPr>
          <w:rFonts w:ascii="Times New Roman" w:cs="Times New Roman" w:eastAsia="Times New Roman" w:hAnsi="Times New Roman"/>
          <w:b/>
          <w:bCs/>
          <w:sz w:val="22"/>
          <w:szCs w:val="22"/>
        </w:rPr>
        <w:t xml:space="preserve">Table S6g </w:t>
      </w:r>
      <w:r>
        <w:rPr>
          <w:rFonts w:ascii="Times New Roman" w:cs="Times New Roman" w:eastAsia="Times New Roman" w:hAnsi="Times New Roman"/>
          <w:sz w:val="22"/>
          <w:szCs w:val="22"/>
        </w:rPr>
        <w:t xml:space="preserve">Grade association by year of study under three classifications of discordant students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166"/>
        <w:gridCol w:w="1805"/>
        <w:gridCol w:w="1805"/>
        <w:gridCol w:w="1805"/>
        <w:gridCol w:w="1445"/>
      </w:tblGrid>
      <w:tr>
        <w:trPr>
          <w:cantSplit/>
          <w:tblHeader/>
        </w:trPr>
        <w:tc>
          <w:tcPr>
            <w:tcW w:type="dxa" w:w="216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Stratum</w:t>
            </w:r>
          </w:p>
        </w:tc>
        <w:tc>
          <w:tcPr>
            <w:tcW w:type="dxa" w:w="180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Primary classification</w:t>
            </w:r>
          </w:p>
        </w:tc>
        <w:tc>
          <w:tcPr>
            <w:tcW w:type="dxa" w:w="180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Discordant students excluded</w:t>
            </w:r>
          </w:p>
        </w:tc>
        <w:tc>
          <w:tcPr>
            <w:tcW w:type="dxa" w:w="180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Discordant students classified as experienced</w:t>
            </w:r>
          </w:p>
        </w:tc>
        <w:tc>
          <w:tcPr>
            <w:tcW w:type="dxa" w:w="144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i/>
                <w:iCs/>
                <w:sz w:val="17"/>
                <w:szCs w:val="17"/>
              </w:rPr>
              <w:t xml:space="preserve">n</w:t>
            </w:r>
            <w:r>
              <w:rPr>
                <w:rFonts w:ascii="Times New Roman" w:cs="Times New Roman" w:eastAsia="Times New Roman" w:hAnsi="Times New Roman"/>
                <w:b/>
                <w:bCs/>
                <w:sz w:val="17"/>
                <w:szCs w:val="17"/>
              </w:rPr>
              <w:t xml:space="preserve"> / discordant students</w:t>
            </w:r>
          </w:p>
        </w:tc>
      </w:tr>
      <w:tr>
        <w:trPr>
          <w:cantSplit/>
          <w:tblHeader w:val="off"/>
        </w:trPr>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First-year students</w:t>
            </w:r>
          </w:p>
        </w:tc>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0.86 [0.42, 1.78]</w:t>
            </w:r>
          </w:p>
          <w:p>
            <w:pPr>
              <w:spacing w:after="20" w:before="20" w:line="240"/>
              <w:jc w:val="center"/>
            </w:pP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 .691</w:t>
            </w:r>
          </w:p>
        </w:tc>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1.01 [0.45, 2.24]</w:t>
            </w:r>
          </w:p>
          <w:p>
            <w:pPr>
              <w:spacing w:after="20" w:before="20" w:line="240"/>
              <w:jc w:val="center"/>
            </w:pP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 .984</w:t>
            </w:r>
          </w:p>
        </w:tc>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1.21 [0.59, 2.50]</w:t>
            </w:r>
          </w:p>
          <w:p>
            <w:pPr>
              <w:spacing w:after="20" w:before="20" w:line="240"/>
              <w:jc w:val="center"/>
            </w:pP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 .603</w:t>
            </w:r>
          </w:p>
        </w:tc>
        <w:tc>
          <w:tcPr>
            <w:tcW w:type="dxa" w:w="144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123 / 29</w:t>
            </w:r>
          </w:p>
        </w:tc>
      </w:tr>
      <w:tr>
        <w:trPr>
          <w:cantSplit/>
          <w:tblHeader w:val="off"/>
        </w:trPr>
        <w:tc>
          <w:tcPr>
            <w:tcW w:type="dxa" w:w="216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Second- to fourth-year students</w:t>
            </w:r>
          </w:p>
        </w:tc>
        <w:tc>
          <w:tcPr>
            <w:tcW w:type="dxa" w:w="180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0.19 [0.08, 0.42]</w:t>
            </w:r>
          </w:p>
          <w:p>
            <w:pPr>
              <w:spacing w:after="20" w:before="20" w:line="240"/>
              <w:jc w:val="center"/>
            </w:pP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&lt; .001</w:t>
            </w:r>
          </w:p>
        </w:tc>
        <w:tc>
          <w:tcPr>
            <w:tcW w:type="dxa" w:w="180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0.22 [0.10, 0.51]</w:t>
            </w:r>
          </w:p>
          <w:p>
            <w:pPr>
              <w:spacing w:after="20" w:before="20" w:line="240"/>
              <w:jc w:val="center"/>
            </w:pP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&lt; .001</w:t>
            </w:r>
          </w:p>
        </w:tc>
        <w:tc>
          <w:tcPr>
            <w:tcW w:type="dxa" w:w="180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0.28 [0.13, 0.63]</w:t>
            </w:r>
          </w:p>
          <w:p>
            <w:pPr>
              <w:spacing w:after="20" w:before="20" w:line="240"/>
              <w:jc w:val="center"/>
            </w:pP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 .002</w:t>
            </w:r>
          </w:p>
        </w:tc>
        <w:tc>
          <w:tcPr>
            <w:tcW w:type="dxa" w:w="144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123 / 8</w:t>
            </w:r>
          </w:p>
        </w:tc>
      </w:tr>
    </w:tbl>
    <w:p>
      <w:pPr>
        <w:spacing w:after="200" w:before="60" w:line="240"/>
        <w:jc w:val="left"/>
      </w:pPr>
      <w:r>
        <w:rPr>
          <w:i/>
          <w:iCs/>
          <w:sz w:val="17"/>
          <w:szCs w:val="17"/>
        </w:rPr>
        <w:t xml:space="preserve">Note.</w:t>
      </w:r>
      <w:r>
        <w:rPr>
          <w:sz w:val="17"/>
          <w:szCs w:val="17"/>
        </w:rPr>
        <w:t xml:space="preserve"> Odds ratios for relationship experience vs never-partnered from proportional-odds models with the covariates available within each stratum. Exploratory. The strata were analysed with separate models and different covariate sets, so the difference between the stratum-specific estimates is not itself a test; in the interaction model (Table S6b) it was not statistically significant (</w:t>
      </w:r>
      <w:r>
        <w:rPr>
          <w:i/>
          <w:iCs/>
          <w:sz w:val="17"/>
          <w:szCs w:val="17"/>
        </w:rPr>
        <w:t xml:space="preserve">p</w:t>
      </w:r>
      <w:r>
        <w:rPr>
          <w:sz w:val="17"/>
          <w:szCs w:val="17"/>
        </w:rPr>
        <w:t xml:space="preserve"> = .255).</w:t>
      </w:r>
    </w:p>
    <w:p>
      <w:pPr>
        <w:keepNext/>
        <w:spacing w:after="80" w:before="240" w:line="276"/>
        <w:jc w:val="left"/>
      </w:pPr>
      <w:r>
        <w:rPr>
          <w:rFonts w:ascii="Times New Roman" w:cs="Times New Roman" w:eastAsia="Times New Roman" w:hAnsi="Times New Roman"/>
          <w:b/>
          <w:bCs/>
          <w:sz w:val="22"/>
          <w:szCs w:val="22"/>
        </w:rPr>
        <w:t xml:space="preserve">Table S6h </w:t>
      </w:r>
      <w:r>
        <w:rPr>
          <w:rFonts w:ascii="Times New Roman" w:cs="Times New Roman" w:eastAsia="Times New Roman" w:hAnsi="Times New Roman"/>
          <w:sz w:val="22"/>
          <w:szCs w:val="22"/>
        </w:rPr>
        <w:t xml:space="preserve">Self-reported grade category by faculty group and share of never-partnered students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27"/>
        <w:gridCol w:w="812"/>
        <w:gridCol w:w="812"/>
        <w:gridCol w:w="812"/>
        <w:gridCol w:w="812"/>
        <w:gridCol w:w="812"/>
        <w:gridCol w:w="1083"/>
        <w:gridCol w:w="1356"/>
      </w:tblGrid>
      <w:tr>
        <w:trPr>
          <w:cantSplit/>
          <w:tblHeader/>
        </w:trPr>
        <w:tc>
          <w:tcPr>
            <w:tcW w:type="dxa" w:w="2527"/>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Faculty group</w:t>
            </w:r>
          </w:p>
        </w:tc>
        <w:tc>
          <w:tcPr>
            <w:tcW w:type="dxa" w:w="81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Excellent</w:t>
            </w:r>
          </w:p>
        </w:tc>
        <w:tc>
          <w:tcPr>
            <w:tcW w:type="dxa" w:w="81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Very good</w:t>
            </w:r>
          </w:p>
        </w:tc>
        <w:tc>
          <w:tcPr>
            <w:tcW w:type="dxa" w:w="81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Good</w:t>
            </w:r>
          </w:p>
        </w:tc>
        <w:tc>
          <w:tcPr>
            <w:tcW w:type="dxa" w:w="81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Pass</w:t>
            </w:r>
          </w:p>
        </w:tc>
        <w:tc>
          <w:tcPr>
            <w:tcW w:type="dxa" w:w="81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Weak</w:t>
            </w:r>
          </w:p>
        </w:tc>
        <w:tc>
          <w:tcPr>
            <w:tcW w:type="dxa" w:w="108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Excellent, %</w:t>
            </w:r>
          </w:p>
        </w:tc>
        <w:tc>
          <w:tcPr>
            <w:tcW w:type="dxa" w:w="135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Never-partnered / all</w:t>
            </w:r>
          </w:p>
        </w:tc>
      </w:tr>
      <w:tr>
        <w:trPr>
          <w:cantSplit/>
          <w:tblHeader w:val="off"/>
        </w:trPr>
        <w:tc>
          <w:tcPr>
            <w:tcW w:type="dxa" w:w="252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Arts</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36</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40</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20</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w:t>
            </w:r>
          </w:p>
        </w:tc>
        <w:tc>
          <w:tcPr>
            <w:tcW w:type="dxa" w:w="13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45 / 100</w:t>
            </w:r>
          </w:p>
        </w:tc>
      </w:tr>
      <w:tr>
        <w:trPr>
          <w:cantSplit/>
          <w:tblHeader w:val="off"/>
        </w:trPr>
        <w:tc>
          <w:tcPr>
            <w:tcW w:type="dxa" w:w="252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Mass communication</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30</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5</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65</w:t>
            </w:r>
          </w:p>
        </w:tc>
        <w:tc>
          <w:tcPr>
            <w:tcW w:type="dxa" w:w="13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37 / 53</w:t>
            </w:r>
          </w:p>
        </w:tc>
      </w:tr>
      <w:tr>
        <w:trPr>
          <w:cantSplit/>
          <w:tblHeader w:val="off"/>
        </w:trPr>
        <w:tc>
          <w:tcPr>
            <w:tcW w:type="dxa" w:w="252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Economics and political science</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9</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41</w:t>
            </w:r>
          </w:p>
        </w:tc>
        <w:tc>
          <w:tcPr>
            <w:tcW w:type="dxa" w:w="13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16 / 29</w:t>
            </w:r>
          </w:p>
        </w:tc>
      </w:tr>
      <w:tr>
        <w:trPr>
          <w:cantSplit/>
          <w:tblHeader w:val="off"/>
        </w:trPr>
        <w:tc>
          <w:tcPr>
            <w:tcW w:type="dxa" w:w="252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Science, engineering and health</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14</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28</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9</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w:t>
            </w:r>
          </w:p>
        </w:tc>
        <w:tc>
          <w:tcPr>
            <w:tcW w:type="dxa" w:w="81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25</w:t>
            </w:r>
          </w:p>
        </w:tc>
        <w:tc>
          <w:tcPr>
            <w:tcW w:type="dxa" w:w="13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29 / 55</w:t>
            </w:r>
          </w:p>
        </w:tc>
      </w:tr>
      <w:tr>
        <w:trPr>
          <w:cantSplit/>
          <w:tblHeader w:val="off"/>
        </w:trPr>
        <w:tc>
          <w:tcPr>
            <w:tcW w:type="dxa" w:w="2527"/>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Education and other</w:t>
            </w:r>
          </w:p>
        </w:tc>
        <w:tc>
          <w:tcPr>
            <w:tcW w:type="dxa" w:w="81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w:t>
            </w:r>
          </w:p>
        </w:tc>
        <w:tc>
          <w:tcPr>
            <w:tcW w:type="dxa" w:w="81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11</w:t>
            </w:r>
          </w:p>
        </w:tc>
        <w:tc>
          <w:tcPr>
            <w:tcW w:type="dxa" w:w="81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w:t>
            </w:r>
          </w:p>
        </w:tc>
        <w:tc>
          <w:tcPr>
            <w:tcW w:type="dxa" w:w="81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w:t>
            </w:r>
          </w:p>
        </w:tc>
        <w:tc>
          <w:tcPr>
            <w:tcW w:type="dxa" w:w="81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w:t>
            </w:r>
          </w:p>
        </w:tc>
        <w:tc>
          <w:tcPr>
            <w:tcW w:type="dxa" w:w="108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w:t>
            </w:r>
          </w:p>
        </w:tc>
        <w:tc>
          <w:tcPr>
            <w:tcW w:type="dxa" w:w="135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5 / 23</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Analytic sample; grade columns count students with a reported grade category.</w:t>
      </w:r>
    </w:p>
    <w:p>
      <w:pPr>
        <w:keepNext/>
        <w:spacing w:after="80" w:before="240" w:line="276"/>
        <w:jc w:val="left"/>
      </w:pPr>
      <w:r>
        <w:rPr>
          <w:rFonts w:ascii="Times New Roman" w:cs="Times New Roman" w:eastAsia="Times New Roman" w:hAnsi="Times New Roman"/>
          <w:b/>
          <w:bCs/>
          <w:sz w:val="22"/>
          <w:szCs w:val="22"/>
        </w:rPr>
        <w:t xml:space="preserve">Table S6i </w:t>
      </w:r>
      <w:r>
        <w:rPr>
          <w:rFonts w:ascii="Times New Roman" w:cs="Times New Roman" w:eastAsia="Times New Roman" w:hAnsi="Times New Roman"/>
          <w:sz w:val="22"/>
          <w:szCs w:val="22"/>
        </w:rPr>
        <w:t xml:space="preserve">Moderation by perceived social support under two standardisations of support</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05"/>
        <w:gridCol w:w="2888"/>
        <w:gridCol w:w="1625"/>
        <w:gridCol w:w="903"/>
        <w:gridCol w:w="903"/>
        <w:gridCol w:w="902"/>
      </w:tblGrid>
      <w:tr>
        <w:trPr>
          <w:cantSplit/>
          <w:tblHeader/>
        </w:trPr>
        <w:tc>
          <w:tcPr>
            <w:tcW w:type="dxa" w:w="180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Outcome</w:t>
            </w:r>
          </w:p>
        </w:tc>
        <w:tc>
          <w:tcPr>
            <w:tcW w:type="dxa" w:w="2888"/>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Specification</w:t>
            </w:r>
          </w:p>
        </w:tc>
        <w:tc>
          <w:tcPr>
            <w:tcW w:type="dxa" w:w="162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Strain × support, β [95% CI]</w:t>
            </w:r>
          </w:p>
        </w:tc>
        <w:tc>
          <w:tcPr>
            <w:tcW w:type="dxa" w:w="90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Slope at −1 </w:t>
            </w:r>
            <w:r>
              <w:rPr>
                <w:rFonts w:ascii="Times New Roman" w:cs="Times New Roman" w:eastAsia="Times New Roman" w:hAnsi="Times New Roman"/>
                <w:b/>
                <w:bCs/>
                <w:i/>
                <w:iCs/>
                <w:sz w:val="17"/>
                <w:szCs w:val="17"/>
              </w:rPr>
              <w:t xml:space="preserve">SD</w:t>
            </w:r>
          </w:p>
        </w:tc>
        <w:tc>
          <w:tcPr>
            <w:tcW w:type="dxa" w:w="90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Slope at mean</w:t>
            </w:r>
          </w:p>
        </w:tc>
        <w:tc>
          <w:tcPr>
            <w:tcW w:type="dxa" w:w="90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Slope at +1 </w:t>
            </w:r>
            <w:r>
              <w:rPr>
                <w:rFonts w:ascii="Times New Roman" w:cs="Times New Roman" w:eastAsia="Times New Roman" w:hAnsi="Times New Roman"/>
                <w:b/>
                <w:bCs/>
                <w:i/>
                <w:iCs/>
                <w:sz w:val="17"/>
                <w:szCs w:val="17"/>
              </w:rPr>
              <w:t xml:space="preserve">SD</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Psychological well-being</w:t>
            </w: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Support standardised within the subsample (revised)</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0.20 [0.05, 0.35]</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−0.40</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−0.20</w:t>
            </w:r>
          </w:p>
        </w:tc>
        <w:tc>
          <w:tcPr>
            <w:tcW w:type="dxa" w:w="9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−0.01</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Support standardised in the full sample (version 1.0)</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0.22 [0.05, 0.38]</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−0.43</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−0.21</w:t>
            </w:r>
          </w:p>
        </w:tc>
        <w:tc>
          <w:tcPr>
            <w:tcW w:type="dxa" w:w="9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0.01</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Interference, four items</w:t>
            </w: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Support standardised within the subsample (revised)</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0.18 [0.08, 0.29]</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0.34</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0.52</w:t>
            </w:r>
          </w:p>
        </w:tc>
        <w:tc>
          <w:tcPr>
            <w:tcW w:type="dxa" w:w="9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0.70</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Support standardised in the full sample (version 1.0)</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0.20 [0.08, 0.32]</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0.31</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0.51</w:t>
            </w:r>
          </w:p>
        </w:tc>
        <w:tc>
          <w:tcPr>
            <w:tcW w:type="dxa" w:w="9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0.71</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Interference, eight items</w:t>
            </w: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Support standardised within the subsample (revised)</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0.15 [0.05, 0.26]</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0.40</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0.56</w:t>
            </w:r>
          </w:p>
        </w:tc>
        <w:tc>
          <w:tcPr>
            <w:tcW w:type="dxa" w:w="90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0.71</w:t>
            </w:r>
          </w:p>
        </w:tc>
      </w:tr>
      <w:tr>
        <w:trPr>
          <w:cantSplit/>
          <w:tblHeader w:val="off"/>
        </w:trPr>
        <w:tc>
          <w:tcPr>
            <w:tcW w:type="dxa" w:w="180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p>
        </w:tc>
        <w:tc>
          <w:tcPr>
            <w:tcW w:type="dxa" w:w="2888"/>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Support standardised in the full sample (version 1.0)</w:t>
            </w:r>
          </w:p>
        </w:tc>
        <w:tc>
          <w:tcPr>
            <w:tcW w:type="dxa" w:w="162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0.17 [0.05, 0.28]</w:t>
            </w:r>
          </w:p>
        </w:tc>
        <w:tc>
          <w:tcPr>
            <w:tcW w:type="dxa" w:w="90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0.39</w:t>
            </w:r>
          </w:p>
        </w:tc>
        <w:tc>
          <w:tcPr>
            <w:tcW w:type="dxa" w:w="90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0.55</w:t>
            </w:r>
          </w:p>
        </w:tc>
        <w:tc>
          <w:tcPr>
            <w:tcW w:type="dxa" w:w="90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0.72</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The two specifications differ only in the reference distribution for “low”, “mean” and “high” support; the interaction tests are equivalent (identical </w:t>
      </w:r>
      <w:r>
        <w:rPr>
          <w:rFonts w:ascii="Times New Roman" w:cs="Times New Roman" w:eastAsia="Times New Roman" w:hAnsi="Times New Roman"/>
          <w:i/>
          <w:iCs/>
          <w:sz w:val="17"/>
          <w:szCs w:val="17"/>
        </w:rPr>
        <w:t xml:space="preserve">p</w:t>
      </w:r>
      <w:r>
        <w:rPr>
          <w:rFonts w:ascii="Times New Roman" w:cs="Times New Roman" w:eastAsia="Times New Roman" w:hAnsi="Times New Roman"/>
          <w:sz w:val="17"/>
          <w:szCs w:val="17"/>
        </w:rPr>
        <w:t xml:space="preserve"> values). Version 1.0 of the analysis code, used for an earlier draft of the article, standardised support in the full sample (eight-item interference: interaction 0.17; slopes 0.39 and 0.72).</w:t>
      </w:r>
    </w:p>
    <w:p>
      <w:pPr>
        <w:pStyle w:val="Heading1"/>
        <w:keepNext/>
        <w:spacing w:after="0" w:before="0" w:line="276"/>
        <w:jc w:val="left"/>
      </w:pPr>
      <w:r>
        <w:rPr>
          <w:rFonts w:ascii="Times New Roman" w:cs="Times New Roman" w:eastAsia="Times New Roman" w:hAnsi="Times New Roman"/>
          <w:sz w:val="22"/>
          <w:szCs w:val="22"/>
        </w:rPr>
        <w:t xml:space="preserve">S7 Gender moderation</w:t>
      </w:r>
    </w:p>
    <w:p>
      <w:pPr>
        <w:keepNext/>
        <w:spacing w:after="80" w:before="240" w:line="276"/>
        <w:jc w:val="left"/>
      </w:pPr>
      <w:r>
        <w:rPr>
          <w:rFonts w:ascii="Times New Roman" w:cs="Times New Roman" w:eastAsia="Times New Roman" w:hAnsi="Times New Roman"/>
          <w:b/>
          <w:bCs/>
          <w:sz w:val="22"/>
          <w:szCs w:val="22"/>
        </w:rPr>
        <w:t xml:space="preserve">Table S7 </w:t>
      </w:r>
      <w:r>
        <w:rPr>
          <w:rFonts w:ascii="Times New Roman" w:cs="Times New Roman" w:eastAsia="Times New Roman" w:hAnsi="Times New Roman"/>
          <w:sz w:val="22"/>
          <w:szCs w:val="22"/>
        </w:rPr>
        <w:t xml:space="preserve">Tests of moderation by gender and by perceived social support</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10"/>
        <w:gridCol w:w="2347"/>
        <w:gridCol w:w="903"/>
        <w:gridCol w:w="1083"/>
        <w:gridCol w:w="1083"/>
      </w:tblGrid>
      <w:tr>
        <w:trPr>
          <w:cantSplit/>
          <w:tblHeader/>
        </w:trPr>
        <w:tc>
          <w:tcPr>
            <w:tcW w:type="dxa" w:w="3610"/>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Test</w:t>
            </w:r>
          </w:p>
        </w:tc>
        <w:tc>
          <w:tcPr>
            <w:tcW w:type="dxa" w:w="2347"/>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Estimate</w:t>
            </w:r>
          </w:p>
        </w:tc>
        <w:tc>
          <w:tcPr>
            <w:tcW w:type="dxa" w:w="90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i/>
                <w:iCs/>
                <w:sz w:val="17"/>
                <w:szCs w:val="17"/>
              </w:rPr>
              <w:t xml:space="preserve">p</w:t>
            </w:r>
          </w:p>
        </w:tc>
        <w:tc>
          <w:tcPr>
            <w:tcW w:type="dxa" w:w="108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Holm </w:t>
            </w:r>
            <w:r>
              <w:rPr>
                <w:rFonts w:ascii="Times New Roman" w:cs="Times New Roman" w:eastAsia="Times New Roman" w:hAnsi="Times New Roman"/>
                <w:b/>
                <w:bCs/>
                <w:i/>
                <w:iCs/>
                <w:sz w:val="17"/>
                <w:szCs w:val="17"/>
              </w:rPr>
              <w:t xml:space="preserve">p</w:t>
            </w:r>
            <w:r>
              <w:rPr>
                <w:rFonts w:ascii="Times New Roman" w:cs="Times New Roman" w:eastAsia="Times New Roman" w:hAnsi="Times New Roman"/>
                <w:b/>
                <w:bCs/>
                <w:sz w:val="17"/>
                <w:szCs w:val="17"/>
              </w:rPr>
              <w:t xml:space="preserve">, primary family</w:t>
            </w:r>
          </w:p>
        </w:tc>
        <w:tc>
          <w:tcPr>
            <w:tcW w:type="dxa" w:w="108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Holm </w:t>
            </w:r>
            <w:r>
              <w:rPr>
                <w:rFonts w:ascii="Times New Roman" w:cs="Times New Roman" w:eastAsia="Times New Roman" w:hAnsi="Times New Roman"/>
                <w:b/>
                <w:bCs/>
                <w:i/>
                <w:iCs/>
                <w:sz w:val="17"/>
                <w:szCs w:val="17"/>
              </w:rPr>
              <w:t xml:space="preserve">p</w:t>
            </w:r>
            <w:r>
              <w:rPr>
                <w:rFonts w:ascii="Times New Roman" w:cs="Times New Roman" w:eastAsia="Times New Roman" w:hAnsi="Times New Roman"/>
                <w:b/>
                <w:bCs/>
                <w:sz w:val="17"/>
                <w:szCs w:val="17"/>
              </w:rPr>
              <w:t xml:space="preserve">, eight-item family</w:t>
            </w:r>
          </w:p>
        </w:tc>
      </w:tr>
      <w:tr>
        <w:trPr>
          <w:cantSplit/>
          <w:tblHeader w:val="off"/>
        </w:trPr>
        <w:tc>
          <w:tcPr>
            <w:tcW w:type="dxa" w:w="361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Status × gender: psychological well-being</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χ²(3) = 4.17</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.243</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.730</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.730</w:t>
            </w:r>
          </w:p>
        </w:tc>
      </w:tr>
      <w:tr>
        <w:trPr>
          <w:cantSplit/>
          <w:tblHeader w:val="off"/>
        </w:trPr>
        <w:tc>
          <w:tcPr>
            <w:tcW w:type="dxa" w:w="361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Status × gender: campus social integration</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χ²(3) = 9.52</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.023</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.116</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.116</w:t>
            </w:r>
          </w:p>
        </w:tc>
      </w:tr>
      <w:tr>
        <w:trPr>
          <w:cantSplit/>
          <w:tblHeader w:val="off"/>
        </w:trPr>
        <w:tc>
          <w:tcPr>
            <w:tcW w:type="dxa" w:w="361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Status × gender: achievement motivation</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χ²(3) = 2.57</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.463</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.927</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.927</w:t>
            </w:r>
          </w:p>
        </w:tc>
      </w:tr>
      <w:tr>
        <w:trPr>
          <w:cantSplit/>
          <w:tblHeader w:val="off"/>
        </w:trPr>
        <w:tc>
          <w:tcPr>
            <w:tcW w:type="dxa" w:w="361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Status × gender: academic engagement</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χ²(3) = 1.73</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.630</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.927</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.927</w:t>
            </w:r>
          </w:p>
        </w:tc>
      </w:tr>
      <w:tr>
        <w:trPr>
          <w:cantSplit/>
          <w:tblHeader w:val="off"/>
        </w:trPr>
        <w:tc>
          <w:tcPr>
            <w:tcW w:type="dxa" w:w="361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Relationship experience × gender: grade</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OR = 2.50 [0.81, 7.74]</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.111</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.445</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.445</w:t>
            </w:r>
          </w:p>
        </w:tc>
      </w:tr>
      <w:tr>
        <w:trPr>
          <w:cantSplit/>
          <w:tblHeader w:val="off"/>
        </w:trPr>
        <w:tc>
          <w:tcPr>
            <w:tcW w:type="dxa" w:w="361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Strain × support: well-being</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0.20 [0.05, 0.35]</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.010</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.059</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.059</w:t>
            </w:r>
          </w:p>
        </w:tc>
      </w:tr>
      <w:tr>
        <w:trPr>
          <w:cantSplit/>
          <w:tblHeader w:val="off"/>
        </w:trPr>
        <w:tc>
          <w:tcPr>
            <w:tcW w:type="dxa" w:w="361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Strain × support: interference (four items | eight items)</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0.18 [0.08, 0.29] | 0.15 [0.05, 0.26]</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&lt; .001 | .005</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.006</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.035</w:t>
            </w:r>
          </w:p>
        </w:tc>
      </w:tr>
      <w:tr>
        <w:trPr>
          <w:cantSplit/>
          <w:tblHeader w:val="off"/>
        </w:trPr>
        <w:tc>
          <w:tcPr>
            <w:tcW w:type="dxa" w:w="361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Within relationships, well-being: strain × woman</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−0.28 [−0.72, 0.17]</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.229</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r>
      <w:tr>
        <w:trPr>
          <w:cantSplit/>
          <w:tblHeader w:val="off"/>
        </w:trPr>
        <w:tc>
          <w:tcPr>
            <w:tcW w:type="dxa" w:w="361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Within relationships, well-being: quality × woman</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−0.44 [−0.87, −0.02]</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.041</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r>
      <w:tr>
        <w:trPr>
          <w:cantSplit/>
          <w:tblHeader w:val="off"/>
        </w:trPr>
        <w:tc>
          <w:tcPr>
            <w:tcW w:type="dxa" w:w="361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Within relationships, interference, four items: strain × woman</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−0.11 [−0.44, 0.21]</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.495</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r>
      <w:tr>
        <w:trPr>
          <w:cantSplit/>
          <w:tblHeader w:val="off"/>
        </w:trPr>
        <w:tc>
          <w:tcPr>
            <w:tcW w:type="dxa" w:w="361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Within relationships, interference, four items: quality × woman</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−0.11 [−0.49, 0.27]</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.567</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r>
      <w:tr>
        <w:trPr>
          <w:cantSplit/>
          <w:tblHeader w:val="off"/>
        </w:trPr>
        <w:tc>
          <w:tcPr>
            <w:tcW w:type="dxa" w:w="361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Within relationships, interference, eight items: strain × woman</w:t>
            </w:r>
          </w:p>
        </w:tc>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−0.10 [−0.44, 0.25]</w:t>
            </w:r>
          </w:p>
        </w:tc>
        <w:tc>
          <w:tcPr>
            <w:tcW w:type="dxa" w:w="90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.583</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r>
      <w:tr>
        <w:trPr>
          <w:cantSplit/>
          <w:tblHeader w:val="off"/>
        </w:trPr>
        <w:tc>
          <w:tcPr>
            <w:tcW w:type="dxa" w:w="3610"/>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Within relationships, interference, eight items: quality × woman</w:t>
            </w:r>
          </w:p>
        </w:tc>
        <w:tc>
          <w:tcPr>
            <w:tcW w:type="dxa" w:w="2347"/>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−0.05 [−0.43, 0.32]</w:t>
            </w:r>
          </w:p>
        </w:tc>
        <w:tc>
          <w:tcPr>
            <w:tcW w:type="dxa" w:w="90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.781</w:t>
            </w:r>
          </w:p>
        </w:tc>
        <w:tc>
          <w:tcPr>
            <w:tcW w:type="dxa" w:w="108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c>
          <w:tcPr>
            <w:tcW w:type="dxa" w:w="108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The seven moderation tests specified for adjustment are the two strain × support interactions and five gender interactions (four status × gender tests and experience × gender for grade). Primary family: interference measured with the four-item scale; eight-item family: with the eight-item scale. Within-relationship gender interactions were exploratory and are not adjusted.</w:t>
      </w:r>
    </w:p>
    <w:p>
      <w:pPr>
        <w:keepNext/>
        <w:spacing w:after="80" w:before="240" w:line="276"/>
        <w:jc w:val="left"/>
      </w:pPr>
      <w:r>
        <w:rPr>
          <w:rFonts w:ascii="Times New Roman" w:cs="Times New Roman" w:eastAsia="Times New Roman" w:hAnsi="Times New Roman"/>
          <w:b/>
          <w:bCs/>
          <w:sz w:val="22"/>
          <w:szCs w:val="22"/>
        </w:rPr>
        <w:t xml:space="preserve">Table S7b </w:t>
      </w:r>
      <w:r>
        <w:rPr>
          <w:rFonts w:ascii="Times New Roman" w:cs="Times New Roman" w:eastAsia="Times New Roman" w:hAnsi="Times New Roman"/>
          <w:sz w:val="22"/>
          <w:szCs w:val="22"/>
        </w:rPr>
        <w:t xml:space="preserve">Students by gender and relationship status (analytic sample)</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166"/>
        <w:gridCol w:w="1354"/>
        <w:gridCol w:w="1354"/>
        <w:gridCol w:w="1354"/>
        <w:gridCol w:w="1354"/>
        <w:gridCol w:w="1444"/>
      </w:tblGrid>
      <w:tr>
        <w:trPr>
          <w:cantSplit/>
          <w:tblHeader/>
        </w:trPr>
        <w:tc>
          <w:tcPr>
            <w:tcW w:type="dxa" w:w="216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p>
        </w:tc>
        <w:tc>
          <w:tcPr>
            <w:tcW w:type="dxa" w:w="135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Never</w:t>
            </w:r>
          </w:p>
        </w:tc>
        <w:tc>
          <w:tcPr>
            <w:tcW w:type="dxa" w:w="135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Stable</w:t>
            </w:r>
          </w:p>
        </w:tc>
        <w:tc>
          <w:tcPr>
            <w:tcW w:type="dxa" w:w="135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Troubled</w:t>
            </w:r>
          </w:p>
        </w:tc>
        <w:tc>
          <w:tcPr>
            <w:tcW w:type="dxa" w:w="135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Ended</w:t>
            </w:r>
          </w:p>
        </w:tc>
        <w:tc>
          <w:tcPr>
            <w:tcW w:type="dxa" w:w="144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Relationship-experienced</w:t>
            </w:r>
          </w:p>
        </w:tc>
      </w:tr>
      <w:tr>
        <w:trPr>
          <w:cantSplit/>
          <w:tblHeader w:val="off"/>
        </w:trPr>
        <w:tc>
          <w:tcPr>
            <w:tcW w:type="dxa" w:w="216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Women</w:t>
            </w:r>
          </w:p>
        </w:tc>
        <w:tc>
          <w:tcPr>
            <w:tcW w:type="dxa" w:w="135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102</w:t>
            </w:r>
          </w:p>
        </w:tc>
        <w:tc>
          <w:tcPr>
            <w:tcW w:type="dxa" w:w="135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49</w:t>
            </w:r>
          </w:p>
        </w:tc>
        <w:tc>
          <w:tcPr>
            <w:tcW w:type="dxa" w:w="135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12</w:t>
            </w:r>
          </w:p>
        </w:tc>
        <w:tc>
          <w:tcPr>
            <w:tcW w:type="dxa" w:w="135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23</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84</w:t>
            </w:r>
          </w:p>
        </w:tc>
      </w:tr>
      <w:tr>
        <w:trPr>
          <w:cantSplit/>
          <w:tblHeader w:val="off"/>
        </w:trPr>
        <w:tc>
          <w:tcPr>
            <w:tcW w:type="dxa" w:w="216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Men</w:t>
            </w:r>
          </w:p>
        </w:tc>
        <w:tc>
          <w:tcPr>
            <w:tcW w:type="dxa" w:w="135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30</w:t>
            </w:r>
          </w:p>
        </w:tc>
        <w:tc>
          <w:tcPr>
            <w:tcW w:type="dxa" w:w="135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25</w:t>
            </w:r>
          </w:p>
        </w:tc>
        <w:tc>
          <w:tcPr>
            <w:tcW w:type="dxa" w:w="135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6</w:t>
            </w:r>
          </w:p>
        </w:tc>
        <w:tc>
          <w:tcPr>
            <w:tcW w:type="dxa" w:w="135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13</w:t>
            </w:r>
          </w:p>
        </w:tc>
        <w:tc>
          <w:tcPr>
            <w:tcW w:type="dxa" w:w="144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44</w:t>
            </w:r>
          </w:p>
        </w:tc>
      </w:tr>
    </w:tbl>
    <w:p>
      <w:pPr>
        <w:pStyle w:val="Heading1"/>
        <w:keepNext/>
        <w:spacing w:after="0" w:before="0" w:line="276"/>
        <w:jc w:val="left"/>
      </w:pPr>
      <w:r>
        <w:rPr>
          <w:rFonts w:ascii="Times New Roman" w:cs="Times New Roman" w:eastAsia="Times New Roman" w:hAnsi="Times New Roman"/>
          <w:sz w:val="22"/>
          <w:szCs w:val="22"/>
        </w:rPr>
        <w:t xml:space="preserve">S8 Qualitative strand: participants and audit trail</w:t>
      </w:r>
    </w:p>
    <w:p>
      <w:pPr>
        <w:keepNext/>
        <w:spacing w:after="80" w:before="240" w:line="276"/>
        <w:jc w:val="left"/>
      </w:pPr>
      <w:r>
        <w:rPr>
          <w:rFonts w:ascii="Times New Roman" w:cs="Times New Roman" w:eastAsia="Times New Roman" w:hAnsi="Times New Roman"/>
          <w:b/>
          <w:bCs/>
          <w:sz w:val="22"/>
          <w:szCs w:val="22"/>
        </w:rPr>
        <w:t xml:space="preserve">Table S8a </w:t>
      </w:r>
      <w:r>
        <w:rPr>
          <w:rFonts w:ascii="Times New Roman" w:cs="Times New Roman" w:eastAsia="Times New Roman" w:hAnsi="Times New Roman"/>
          <w:sz w:val="22"/>
          <w:szCs w:val="22"/>
        </w:rPr>
        <w:t xml:space="preserve">Interview participants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22"/>
        <w:gridCol w:w="1083"/>
        <w:gridCol w:w="1444"/>
        <w:gridCol w:w="2888"/>
        <w:gridCol w:w="2889"/>
      </w:tblGrid>
      <w:tr>
        <w:trPr>
          <w:cantSplit/>
          <w:tblHeader/>
        </w:trPr>
        <w:tc>
          <w:tcPr>
            <w:tcW w:type="dxa" w:w="72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ID</w:t>
            </w:r>
          </w:p>
        </w:tc>
        <w:tc>
          <w:tcPr>
            <w:tcW w:type="dxa" w:w="1083"/>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Gender</w:t>
            </w:r>
          </w:p>
        </w:tc>
        <w:tc>
          <w:tcPr>
            <w:tcW w:type="dxa" w:w="144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Faculty</w:t>
            </w:r>
          </w:p>
        </w:tc>
        <w:tc>
          <w:tcPr>
            <w:tcW w:type="dxa" w:w="2888"/>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Relationship experience</w:t>
            </w:r>
          </w:p>
        </w:tc>
        <w:tc>
          <w:tcPr>
            <w:tcW w:type="dxa" w:w="2889"/>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Family knowledge</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P1</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Man</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Commerce</w:t>
            </w: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 relationship experience (by choice)</w:t>
            </w:r>
          </w:p>
        </w:tc>
        <w:tc>
          <w:tcPr>
            <w:tcW w:type="dxa" w:w="288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Not applicable</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P2</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Woman</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Education</w:t>
            </w: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Ended relationship</w:t>
            </w:r>
          </w:p>
        </w:tc>
        <w:tc>
          <w:tcPr>
            <w:tcW w:type="dxa" w:w="288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Not described</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P3</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Woman</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Arts</w:t>
            </w: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Ended relationship</w:t>
            </w:r>
          </w:p>
        </w:tc>
        <w:tc>
          <w:tcPr>
            <w:tcW w:type="dxa" w:w="288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Concealed</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P4</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Woman</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Education</w:t>
            </w: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Ongoing stable relationship</w:t>
            </w:r>
          </w:p>
        </w:tc>
        <w:tc>
          <w:tcPr>
            <w:tcW w:type="dxa" w:w="288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Known and accepted, with conditions</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P5</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Woman</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Arts</w:t>
            </w: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Ended relationship</w:t>
            </w:r>
          </w:p>
        </w:tc>
        <w:tc>
          <w:tcPr>
            <w:tcW w:type="dxa" w:w="288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Concealed</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P6</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Woman</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Science</w:t>
            </w: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Supportive relationship</w:t>
            </w:r>
          </w:p>
        </w:tc>
        <w:tc>
          <w:tcPr>
            <w:tcW w:type="dxa" w:w="288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Partly concealed (not all details shared)</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P7</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Woman</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Arts</w:t>
            </w: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Ended formal engagement</w:t>
            </w:r>
          </w:p>
        </w:tc>
        <w:tc>
          <w:tcPr>
            <w:tcW w:type="dxa" w:w="288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Engagement began through the family</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P8</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Man</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Science</w:t>
            </w: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Several past relationships</w:t>
            </w:r>
          </w:p>
        </w:tc>
        <w:tc>
          <w:tcPr>
            <w:tcW w:type="dxa" w:w="288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Not described</w:t>
            </w:r>
          </w:p>
        </w:tc>
      </w:tr>
      <w:tr>
        <w:trPr>
          <w:cantSplit/>
          <w:tblHeader w:val="off"/>
        </w:trPr>
        <w:tc>
          <w:tcPr>
            <w:tcW w:type="dxa" w:w="72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P9</w:t>
            </w:r>
          </w:p>
        </w:tc>
        <w:tc>
          <w:tcPr>
            <w:tcW w:type="dxa" w:w="1083"/>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Woman</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Arts</w:t>
            </w:r>
          </w:p>
        </w:tc>
        <w:tc>
          <w:tcPr>
            <w:tcW w:type="dxa" w:w="288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Troubled relationship, later distanced</w:t>
            </w:r>
          </w:p>
        </w:tc>
        <w:tc>
          <w:tcPr>
            <w:tcW w:type="dxa" w:w="288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Mother aware; urged formalisation</w:t>
            </w:r>
          </w:p>
        </w:tc>
      </w:tr>
      <w:tr>
        <w:trPr>
          <w:cantSplit/>
          <w:tblHeader w:val="off"/>
        </w:trPr>
        <w:tc>
          <w:tcPr>
            <w:tcW w:type="dxa" w:w="72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P10</w:t>
            </w:r>
          </w:p>
        </w:tc>
        <w:tc>
          <w:tcPr>
            <w:tcW w:type="dxa" w:w="1083"/>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Woman</w:t>
            </w:r>
          </w:p>
        </w:tc>
        <w:tc>
          <w:tcPr>
            <w:tcW w:type="dxa" w:w="144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Arts</w:t>
            </w:r>
          </w:p>
        </w:tc>
        <w:tc>
          <w:tcPr>
            <w:tcW w:type="dxa" w:w="2888"/>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Ended formal engagement</w:t>
            </w:r>
          </w:p>
        </w:tc>
        <w:tc>
          <w:tcPr>
            <w:tcW w:type="dxa" w:w="2889"/>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Engagement began through the family</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Characteristics as described in the interview accounts. To reduce the risk of identification, year of study is reported only in aggregate: third year (</w:t>
      </w:r>
      <w:r>
        <w:rPr>
          <w:rFonts w:ascii="Times New Roman" w:cs="Times New Roman" w:eastAsia="Times New Roman" w:hAnsi="Times New Roman"/>
          <w:i/>
          <w:iCs/>
          <w:sz w:val="17"/>
          <w:szCs w:val="17"/>
        </w:rPr>
        <w:t xml:space="preserve">n</w:t>
      </w:r>
      <w:r>
        <w:rPr>
          <w:rFonts w:ascii="Times New Roman" w:cs="Times New Roman" w:eastAsia="Times New Roman" w:hAnsi="Times New Roman"/>
          <w:sz w:val="17"/>
          <w:szCs w:val="17"/>
        </w:rPr>
        <w:t xml:space="preserve"> = 5), fourth or final year (</w:t>
      </w:r>
      <w:r>
        <w:rPr>
          <w:rFonts w:ascii="Times New Roman" w:cs="Times New Roman" w:eastAsia="Times New Roman" w:hAnsi="Times New Roman"/>
          <w:i/>
          <w:iCs/>
          <w:sz w:val="17"/>
          <w:szCs w:val="17"/>
        </w:rPr>
        <w:t xml:space="preserve">n</w:t>
      </w:r>
      <w:r>
        <w:rPr>
          <w:rFonts w:ascii="Times New Roman" w:cs="Times New Roman" w:eastAsia="Times New Roman" w:hAnsi="Times New Roman"/>
          <w:sz w:val="17"/>
          <w:szCs w:val="17"/>
        </w:rPr>
        <w:t xml:space="preserve"> = 2), not stated (</w:t>
      </w:r>
      <w:r>
        <w:rPr>
          <w:rFonts w:ascii="Times New Roman" w:cs="Times New Roman" w:eastAsia="Times New Roman" w:hAnsi="Times New Roman"/>
          <w:i/>
          <w:iCs/>
          <w:sz w:val="17"/>
          <w:szCs w:val="17"/>
        </w:rPr>
        <w:t xml:space="preserve">n</w:t>
      </w:r>
      <w:r>
        <w:rPr>
          <w:rFonts w:ascii="Times New Roman" w:cs="Times New Roman" w:eastAsia="Times New Roman" w:hAnsi="Times New Roman"/>
          <w:sz w:val="17"/>
          <w:szCs w:val="17"/>
        </w:rPr>
        <w:t xml:space="preserve"> = 3); the final year of P2 is mentioned in Sect. 6.2 because her account turns on it. Departments mentioned in some accounts are not reported. Two relationships were formal engagements that began through the families (P7, P10).</w:t>
      </w:r>
    </w:p>
    <w:p>
      <w:pPr>
        <w:spacing w:after="120" w:before="0" w:line="276"/>
        <w:jc w:val="left"/>
      </w:pPr>
      <w:r>
        <w:rPr>
          <w:rFonts w:ascii="Times New Roman" w:cs="Times New Roman" w:eastAsia="Times New Roman" w:hAnsi="Times New Roman"/>
          <w:i/>
          <w:iCs/>
          <w:sz w:val="22"/>
          <w:szCs w:val="22"/>
        </w:rPr>
        <w:t xml:space="preserve">Audit of the interview accounts.</w:t>
      </w:r>
      <w:r>
        <w:rPr>
          <w:rFonts w:ascii="Times New Roman" w:cs="Times New Roman" w:eastAsia="Times New Roman" w:hAnsi="Times New Roman"/>
          <w:sz w:val="22"/>
          <w:szCs w:val="22"/>
        </w:rPr>
        <w:t xml:space="preserve"> The ten accounts are written question-and-answer documents prepared by the interviewers; no recordings were available. To detect repeated wording, the answer text of each account was normalised (diacritics, letter variants and punctuation removed) and every pair of accounts was compared by the Jaccard similarity of their sets of four-word sequences. Accounts P3 and P5 had a similarity of .068, compared with at most .008 for any other pair (median across the 45 pairs: .000), and shared 23 six-word sequences, including near-identical answers about families not knowing about the relationship, about families wanting the student to finish her studies and become settled, about the different judgement of women and men and about not trusting quickly. Three six-word sequences were shared by P2 and P4 (a formulaic sentence on breaking a task into steps when stressed) and three by P4 and P7 (a stock phrase about doing what is required). The final answer of P8 ends mid-word, and its continuation appears as the last line of the P9 account.</w:t>
      </w:r>
    </w:p>
    <w:p>
      <w:pPr>
        <w:spacing w:after="120" w:before="0" w:line="276"/>
        <w:jc w:val="left"/>
      </w:pPr>
      <w:r>
        <w:rPr>
          <w:rFonts w:ascii="Times New Roman" w:cs="Times New Roman" w:eastAsia="Times New Roman" w:hAnsi="Times New Roman"/>
          <w:i/>
          <w:iCs/>
          <w:sz w:val="22"/>
          <w:szCs w:val="22"/>
        </w:rPr>
        <w:t xml:space="preserve">Consequences for the analysis.</w:t>
      </w:r>
      <w:r>
        <w:rPr>
          <w:rFonts w:ascii="Times New Roman" w:cs="Times New Roman" w:eastAsia="Times New Roman" w:hAnsi="Times New Roman"/>
          <w:sz w:val="22"/>
          <w:szCs w:val="22"/>
        </w:rPr>
        <w:t xml:space="preserve"> These patterns indicate that at least some passages were written up from notes or memory, or edited across accounts, rather than recorded verbatim, although they do not by themselves show that content was invented. The material was therefore treated as interviewer-prepared accounts: interpretations rest on case-specific passages; near-identical passages in P3 and P5 were counted once (Table S9 shows both); formulaic sentences were not counted as independent evidence; the fragment appended to P9 was attributed to P8; and the material is reported in paraphrase rather than as verbatim quotations. In an earlier draft, 20 passages had been presented as verbatim quotations; 16 matched the accounts exactly and 4 had been truncated or altered.</w:t>
      </w:r>
    </w:p>
    <w:p>
      <w:pPr>
        <w:keepNext/>
        <w:spacing w:after="80" w:before="240" w:line="276"/>
        <w:jc w:val="left"/>
      </w:pPr>
      <w:r>
        <w:rPr>
          <w:rFonts w:ascii="Times New Roman" w:cs="Times New Roman" w:eastAsia="Times New Roman" w:hAnsi="Times New Roman"/>
          <w:b/>
          <w:bCs/>
          <w:sz w:val="22"/>
          <w:szCs w:val="22"/>
        </w:rPr>
        <w:t xml:space="preserve">Table S8b </w:t>
      </w:r>
      <w:r>
        <w:rPr>
          <w:rFonts w:ascii="Times New Roman" w:cs="Times New Roman" w:eastAsia="Times New Roman" w:hAnsi="Times New Roman"/>
          <w:sz w:val="22"/>
          <w:szCs w:val="22"/>
        </w:rPr>
        <w:t xml:space="preserve">Thematic framework</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47"/>
        <w:gridCol w:w="3069"/>
        <w:gridCol w:w="1625"/>
        <w:gridCol w:w="1985"/>
      </w:tblGrid>
      <w:tr>
        <w:trPr>
          <w:cantSplit/>
          <w:tblHeader/>
        </w:trPr>
        <w:tc>
          <w:tcPr>
            <w:tcW w:type="dxa" w:w="2347"/>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Theme</w:t>
            </w:r>
          </w:p>
        </w:tc>
        <w:tc>
          <w:tcPr>
            <w:tcW w:type="dxa" w:w="3069"/>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Codes</w:t>
            </w:r>
          </w:p>
        </w:tc>
        <w:tc>
          <w:tcPr>
            <w:tcW w:type="dxa" w:w="162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Participants contributing</w:t>
            </w:r>
          </w:p>
        </w:tc>
        <w:tc>
          <w:tcPr>
            <w:tcW w:type="dxa" w:w="198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Negative or deviant cases</w:t>
            </w:r>
          </w:p>
        </w:tc>
      </w:tr>
      <w:tr>
        <w:trPr>
          <w:cantSplit/>
          <w:tblHeader w:val="off"/>
        </w:trPr>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Boundary work and the partner as academic ally (Sect. 6.1)</w:t>
            </w:r>
          </w:p>
        </w:tc>
        <w:tc>
          <w:tcPr>
            <w:tcW w:type="dxa" w:w="306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Temporal boundaries around examinations; partner reducing contact before examinations; partner encouragement; keeping study and relationship time apart</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P2, P4, P6, P7, P8, P10</w:t>
            </w:r>
          </w:p>
        </w:tc>
        <w:tc>
          <w:tcPr>
            <w:tcW w:type="dxa" w:w="198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P9 (a partner who absorbed attention)</w:t>
            </w:r>
          </w:p>
        </w:tc>
      </w:tr>
      <w:tr>
        <w:trPr>
          <w:cantSplit/>
          <w:tblHeader w:val="off"/>
        </w:trPr>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Conflict, dissolution and attentional spillover (Sect. 6.2)</w:t>
            </w:r>
          </w:p>
        </w:tc>
        <w:tc>
          <w:tcPr>
            <w:tcW w:type="dxa" w:w="306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Distraction in lectures; inability to study when upset; lower grades after conflict or break-up; protecting examinations; recovery as catching up</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P3, P5</w:t>
            </w:r>
            <w:r>
              <w:rPr>
                <w:rFonts w:ascii="Times New Roman" w:cs="Times New Roman" w:eastAsia="Times New Roman" w:hAnsi="Times New Roman"/>
                <w:sz w:val="17"/>
                <w:szCs w:val="17"/>
                <w:vertAlign w:val="superscript"/>
              </w:rPr>
              <w:t xml:space="preserve">a</w:t>
            </w:r>
            <w:r>
              <w:rPr>
                <w:rFonts w:ascii="Times New Roman" w:cs="Times New Roman" w:eastAsia="Times New Roman" w:hAnsi="Times New Roman"/>
                <w:sz w:val="17"/>
                <w:szCs w:val="17"/>
              </w:rPr>
              <w:t xml:space="preserve">, P7, P9, P10</w:t>
            </w:r>
          </w:p>
        </w:tc>
        <w:tc>
          <w:tcPr>
            <w:tcW w:type="dxa" w:w="198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P2 (no academic effect in the final year); P8 (keeping busy)</w:t>
            </w:r>
          </w:p>
        </w:tc>
      </w:tr>
      <w:tr>
        <w:trPr>
          <w:cantSplit/>
          <w:tblHeader w:val="off"/>
        </w:trPr>
        <w:tc>
          <w:tcPr>
            <w:tcW w:type="dxa" w:w="234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Regulated intimacy: concealment, conditional acceptance and formalisation (Sect. 6.3)</w:t>
            </w:r>
          </w:p>
        </w:tc>
        <w:tc>
          <w:tcPr>
            <w:tcW w:type="dxa" w:w="306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Concealment from family; conditional acceptance; formalisation through engagement; conflict between families; abstention as a priority on success; gendered judgement</w:t>
            </w:r>
          </w:p>
        </w:tc>
        <w:tc>
          <w:tcPr>
            <w:tcW w:type="dxa" w:w="162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P1, P3, P4, P5</w:t>
            </w:r>
            <w:r>
              <w:rPr>
                <w:rFonts w:ascii="Times New Roman" w:cs="Times New Roman" w:eastAsia="Times New Roman" w:hAnsi="Times New Roman"/>
                <w:sz w:val="17"/>
                <w:szCs w:val="17"/>
                <w:vertAlign w:val="superscript"/>
              </w:rPr>
              <w:t xml:space="preserve">a</w:t>
            </w:r>
            <w:r>
              <w:rPr>
                <w:rFonts w:ascii="Times New Roman" w:cs="Times New Roman" w:eastAsia="Times New Roman" w:hAnsi="Times New Roman"/>
                <w:sz w:val="17"/>
                <w:szCs w:val="17"/>
              </w:rPr>
              <w:t xml:space="preserve">, P6, P7, P9, P10</w:t>
            </w:r>
          </w:p>
        </w:tc>
        <w:tc>
          <w:tcPr>
            <w:tcW w:type="dxa" w:w="198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P6 (concealed but supportive relationship); P7 (formal engagement ended by conflict)</w:t>
            </w:r>
          </w:p>
        </w:tc>
      </w:tr>
      <w:tr>
        <w:trPr>
          <w:cantSplit/>
          <w:tblHeader w:val="off"/>
        </w:trPr>
        <w:tc>
          <w:tcPr>
            <w:tcW w:type="dxa" w:w="2347"/>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Relationships entered in search of recognition (Sect. 6.4)</w:t>
            </w:r>
          </w:p>
        </w:tc>
        <w:tc>
          <w:tcPr>
            <w:tcW w:type="dxa" w:w="3069"/>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Loneliness; problems at home; emotional deprivation; compensatory support; intermittent attention and control</w:t>
            </w:r>
          </w:p>
        </w:tc>
        <w:tc>
          <w:tcPr>
            <w:tcW w:type="dxa" w:w="162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P6, P9, P10</w:t>
            </w:r>
          </w:p>
        </w:tc>
        <w:tc>
          <w:tcPr>
            <w:tcW w:type="dxa" w:w="198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Divergent outcomes: improved motivation (P6) vs distress (P9)</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w:t>
      </w:r>
      <w:r>
        <w:rPr>
          <w:rFonts w:ascii="Times New Roman" w:cs="Times New Roman" w:eastAsia="Times New Roman" w:hAnsi="Times New Roman"/>
          <w:sz w:val="17"/>
          <w:szCs w:val="17"/>
          <w:vertAlign w:val="superscript"/>
        </w:rPr>
        <w:t xml:space="preserve">a</w:t>
      </w:r>
      <w:r>
        <w:rPr>
          <w:rFonts w:ascii="Times New Roman" w:cs="Times New Roman" w:eastAsia="Times New Roman" w:hAnsi="Times New Roman"/>
          <w:sz w:val="17"/>
          <w:szCs w:val="17"/>
        </w:rPr>
        <w:t xml:space="preserve"> Where the P5 account coincides with P3, the two are treated as one source.</w:t>
      </w:r>
    </w:p>
    <w:p>
      <w:pPr>
        <w:sectPr>
          <w:footerReference w:type="default" r:id="rId8"/>
          <w:pgSz w:w="11906" w:h="16838" w:orient="portrait"/>
          <w:pgMar w:top="1440" w:right="1440" w:bottom="1440" w:left="1440" w:header="708" w:footer="708" w:gutter="0"/>
          <w:pgNumType/>
          <w:docGrid w:linePitch="360"/>
        </w:sectPr>
      </w:pPr>
    </w:p>
    <w:p>
      <w:pPr>
        <w:pStyle w:val="Heading1"/>
        <w:keepNext/>
        <w:spacing w:after="0" w:before="0" w:line="276"/>
        <w:jc w:val="left"/>
      </w:pPr>
      <w:r>
        <w:rPr>
          <w:rFonts w:ascii="Times New Roman" w:cs="Times New Roman" w:eastAsia="Times New Roman" w:hAnsi="Times New Roman"/>
          <w:sz w:val="22"/>
          <w:szCs w:val="22"/>
        </w:rPr>
        <w:t xml:space="preserve">S9 Arabic passages underlying the paraphrased interview material</w:t>
      </w:r>
    </w:p>
    <w:p>
      <w:pPr>
        <w:spacing w:after="120" w:before="0" w:line="276"/>
        <w:jc w:val="left"/>
      </w:pPr>
      <w:r>
        <w:rPr>
          <w:sz w:val="22"/>
          <w:szCs w:val="22"/>
        </w:rPr>
        <w:t xml:space="preserve">Table S9 gives, for each paraphrase in Sect. 6 and Table 6 of the article, the passage of the interviewer-prepared account on which it rests, with an English rendering. The passages are excerpts of written accounts, not verbatim records of what participants said (Section S8), and are therefore not presented as quotations in the article. Each passage was checked by string matching (after normalisation) against the account of the participant to whom it is attributed. English renderings prioritise meaning over literal wording (Squires, 2009); square brackets mark words added for clarity, and an ellipsis marks an omission between non-adjacent sentences of the same account.</w:t>
      </w:r>
    </w:p>
    <w:p>
      <w:pPr>
        <w:keepNext/>
        <w:spacing w:after="80" w:before="240" w:line="276"/>
        <w:jc w:val="left"/>
      </w:pPr>
      <w:r>
        <w:rPr>
          <w:rFonts w:ascii="Times New Roman" w:cs="Times New Roman" w:eastAsia="Times New Roman" w:hAnsi="Times New Roman"/>
          <w:b/>
          <w:bCs/>
          <w:sz w:val="22"/>
          <w:szCs w:val="22"/>
        </w:rPr>
        <w:t xml:space="preserve">Table S9 </w:t>
      </w:r>
      <w:r>
        <w:rPr>
          <w:rFonts w:ascii="Times New Roman" w:cs="Times New Roman" w:eastAsia="Times New Roman" w:hAnsi="Times New Roman"/>
          <w:sz w:val="22"/>
          <w:szCs w:val="22"/>
        </w:rPr>
        <w:t xml:space="preserve">Arabic passages from the interview accounts and English renderings</w:t>
      </w:r>
    </w:p>
    <w:tbl>
      <w:tblPr>
        <w:tblW w:type="dxa" w:w="1395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8"/>
        <w:gridCol w:w="1256"/>
        <w:gridCol w:w="1675"/>
        <w:gridCol w:w="5164"/>
        <w:gridCol w:w="5165"/>
      </w:tblGrid>
      <w:tr>
        <w:trPr>
          <w:cantSplit/>
          <w:tblHeader/>
        </w:trPr>
        <w:tc>
          <w:tcPr>
            <w:tcW w:type="dxa" w:w="698"/>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No.</w:t>
            </w:r>
          </w:p>
        </w:tc>
        <w:tc>
          <w:tcPr>
            <w:tcW w:type="dxa" w:w="125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Participant</w:t>
            </w:r>
          </w:p>
        </w:tc>
        <w:tc>
          <w:tcPr>
            <w:tcW w:type="dxa" w:w="167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Used in</w:t>
            </w:r>
          </w:p>
        </w:tc>
        <w:tc>
          <w:tcPr>
            <w:tcW w:type="dxa" w:w="516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b/>
                <w:bCs/>
                <w:sz w:val="17"/>
                <w:szCs w:val="17"/>
              </w:rPr>
              <w:t xml:space="preserve">Arabic passage (as written in the account)</w:t>
            </w:r>
          </w:p>
        </w:tc>
        <w:tc>
          <w:tcPr>
            <w:tcW w:type="dxa" w:w="516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English rendering</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A1</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P4</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6.1;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بيتفهم جدًا طبيعة الدراسة، وبيشجعني أركز، ولو داخلين على امتحانات بيحاول يخفف الكلام والخروج علشان أذاكر</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He really understands what studying involves and encourages me to focus; when exams are coming, he cuts down on talking and going out so that I can study.</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A2</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P7</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6.1;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وقت الدراسة ببقى للدراسة، ووقت الكلام أو المقابلات بعد ما أخلص</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Study time is for studying; talking or meeting comes after I finish.</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A3</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P6</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6.1;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كان دايمًا يقولي انتي شاطرة وماتضيعيش نفسك، والكلام ده كان بيفرق معايا جدًا</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He always told me, “You’re clever, don’t waste yourself,” and those words made a real difference to me.</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A4</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P8</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6.1</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وقت الامتحانات مفيش هزار، ولو في حد في حياتي بيبقى عارف إن دي فترة تركيز</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At exam time there is no messing around; if there is someone in my life, she knows this is a period for concentration.</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A5</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P4</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العلاقة الناجحة مش بتعطل الإنسان، بالعكس ممكن تكون سبب كبير في راحته ونجاحه وتقدمه</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 successful relationship doesn’t hold a person back; on the contrary, it can be a big reason for their peace of mind, success and progress.</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A6</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P7</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6.2;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كنت بسرح في المحاضرات وأفضل أفكر. ممكن أبقى قاعدة والدكتور بيشرح وأنا مش معاه خالص</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 would drift off in lectures and keep thinking. I could be sitting there while the lecturer explains and not be with him at all.</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A7</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P7</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6.2</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مرة كان في زعل بينا قبل يوم جامعة، دخلت المحاضرة وسرحانة طول الوقت</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Once we had fallen out before a university day; I went into the lecture and was distracted the whole time.</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A8</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P9</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6.2</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بقى يختفي كتير، يوم يكلمني ويومين لأ، ويظهر فجأة ويختفي فجأة</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He started disappearing a lot: one day he would call and the next two days not, appearing suddenly and vanishing suddenly.</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A9</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P9</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6.2</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في الأول أنا أهملت دراستي بسبب العلاقة، كنت مركزة معاه أكتر من أي حاجة. ولو زعلانة منه مكنتش بعرف أذاكر خالص</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At first I neglected my studies because of the relationship; I was focused on him more than on anything else. And if I was upset with him, I could not study at all.</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A10</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P9</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مستوايا نزل شوية، لأني كنت مشتتة ومش مركزة</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My level dropped a little, because I was distracted and not concentrating.</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A11</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P3</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6.2;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كنت متوترة ومش قادرة أركز، وده خلّى درجاتي تنزل في كذا مادة</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 was tense and couldn’t concentrate, and that made my grades drop in several subjects.</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A12</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P10</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6.2;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لما كان يحصل أي مشكلة كنت بتوتر وممكن أكون مش مركزة في المحاضرات، لكن وقت الجد والامتحانات كنت بحاول أسيب أي حاجة على جنب</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Whenever a problem came up I would get tense and might not concentrate in lectures, but when it really counted, at exam time, I tried to put everything aside.</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A13</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P2</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6.2 (negative case)</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لا الحمد لله، ما أثرتش على دراستي. لأنّي كنت في آخر سنة في الكلية، وكنت مركزة في الامتحانات والتخرج</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 thank God, it didn’t affect my studies, because I was in my final year and focused on the exams and graduating.</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A14</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P8</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6.2 (negative case)</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بشغل نفسي، أتمرن، أركز في هدفي، أخرج، وأفصل. مبحبش أقعد أعيش في الحزن</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 keep myself busy: I train, focus on my goal, go out and switch off. I don’t like to sit and live in sadness.</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A15</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P3</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6.2;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دلوقتي بحاول أتعافى وأركز في دراستي، وبحاول أصلح اللي اتأثر من درجاتي</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Now I am trying to recover and focus on my studies, and to repair the damage to my grades.</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A16</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P7</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6.2;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في فترة الزعل آه، لكن بعد كده رجعت أركز في نفسي وفي دراستي</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During the period when we had fallen out, yes, but afterwards I went back to focusing on myself and my studies.</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A17</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P9</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6.2;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بدأت أبعد واحدة واحدة، وركزت في دراستي، ورجعت أهتم بنفسي وبصحتي النفسية … بقيت عايزة أنجح وأبقى أحسن من زمان، وأعوض الوقت اللي ضاع مني</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 started to distance myself little by little, concentrated on my studies and went back to looking after myself and my mental health. … Now I want to succeed and be better than before, and make up for the time I lost.</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A18</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P3</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6.3;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لا، مكنوش عارفين التفاصيل، وأنا مكنتش حابة أتكلم فيها كتير، كنت بحب أتعامل مع الموضوع لوحدي</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 they didn’t know the details. I didn’t want to talk about it much; I preferred to deal with it on my own.</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A19</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P5</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6.3 (parallel to the preceding passage; counted once)</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لا، مكنتش بحب أتكلم في الموضوع ده معاهم، كنت بحاول أعديه لوحدي</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 I didn’t like to talk about it with them; I tried to get through it on my own.</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A20</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P6</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6.3;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لا، مش كل التفاصيل، لأن البيت أصلًا فيه مشاكل ومكنتش عايزة أزود كلام</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 not all the details, because the house already has its problems and I didn’t want to add to the talk.</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A21</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P4</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6.3;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آه، وعندهم تقبل طالما في احترام وحدود واضحة، وطالما ده مش مأثر على دراستي</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Yes, and they accept it as long as there is respect and clear limits, and as long as it is not affecting my studies.</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A22</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P9</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6.3;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أمي كانت شايفة إني متوترة ومتغيرة، وقالتلي مينفعش الوضع ده، ولو هو جاد يدخل رسمي</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My mother could see that I was tense and had changed, and she told me this situation could not go on, and that if he was serious he should come forward formally.</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A23</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P7</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6.1; 6.3</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اتعرفت على شخص بشكل محترم، وجاء عن طريق أهلي. يعني الموضوع من البداية كان رسمي</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 got to know someone in a respectable way; he came through my family, so the matter was formal from the start.</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A24</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P7</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6.3</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رغم إنه كان شخص كويس، لكن كثرة الخلافات وعدم التفاهم خلت الاستمرار صعب</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Although he was a good person, the many disagreements and the lack of understanding made it hard to continue.</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A25</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P10</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6.3</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هو جه عن طريق أهلي، يعني الموضوع كان رسمي من البداية، واتقدملي وخطبني</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He came through my family; it was formal from the beginning, and he proposed and we became engaged.</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A26</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P10</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6.3;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انتهت بسبب مشاكل وضغوطات أسرية وخلافات ما بين العيلتين</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It ended because of family problems and pressures and disagreements between the two families.</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A27</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P1</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6.3;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الحب لو جه في وقته الصح أهلاً وسهلاً، لكن دلوقتي الأولوية للنجاح</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If love comes at the right time, it is welcome, but right now the priority is success.</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A28</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P1</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6.3</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الطالب أصلًا عنده ضغط مذاكرة ومستقبل ومصاريف وأهل، هيشيل كمان ضغط علاقة ليه؟</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 student already carries the pressure of studying, the future, expenses and family; why take on the pressure of a relationship as well?</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A29</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P3</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6.3;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في فرق كبير في الحكم والنظرة، وده حاجة موجودة في المجتمع بشكل واضح</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There is a big difference in how [women and men] are judged and seen, and that is clearly there in society.</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A30</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P5</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6.3 (parallel to the preceding passage; counted once)</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في فرق في النظرة والحكم، وده حاجة واضحة جدًا في المجتمع</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There is a difference in how [women and men] are seen and judged, and that is very clear in society.</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A31</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P6</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6.4;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كان بيلاحظ لو أنا مضايقة ويسألني مالي، وكان بيتكلم بهدوء ويحسسني إن في حد مهتم بيا … في وقت كنت محتاجة ده جدًا بسبب مشاكل البيت</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He would notice if I was upset and ask what was wrong; he spoke calmly and made me feel that someone cared about me … at a time when I badly needed that because of the problems at home.</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A32</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P6</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6.4</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آه جدًا، للأفضل. بقيت أحب أذاكر وأجيب درجات كويسة … قبلها كنت بذاكر من غير نفس، ومفيش طاقة. بعدها بقيت عندي رغبة أنجح وأبقى أحسن، لأن نفسيتي اتحسنت</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Yes, very much, for the better. I came to love studying and getting good grades. … Before it I studied half-heartedly, with no energy. Afterwards I wanted to succeed and be better, because I felt better in myself.</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A33</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P9</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6.4;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كنت محتاجة حد يسمعني ويحبني ويحسسني إني مهمة. أنا وقتها كنت حاسة إني لوحدي، ومفيش حد حاسس بيا</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 needed someone to listen to me, love me and make me feel that I mattered. At that time I felt alone, as if no one noticed me.</w:t>
            </w:r>
          </w:p>
        </w:tc>
      </w:tr>
      <w:tr>
        <w:trPr>
          <w:cantSplit/>
          <w:tblHeader w:val="off"/>
        </w:trPr>
        <w:tc>
          <w:tcPr>
            <w:tcW w:type="dxa" w:w="69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A34</w:t>
            </w:r>
          </w:p>
        </w:tc>
        <w:tc>
          <w:tcPr>
            <w:tcW w:type="dxa" w:w="125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P9</w:t>
            </w:r>
          </w:p>
        </w:tc>
        <w:tc>
          <w:tcPr>
            <w:tcW w:type="dxa" w:w="167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6.4; Table 6</w:t>
            </w:r>
          </w:p>
        </w:tc>
        <w:tc>
          <w:tcPr>
            <w:tcW w:type="dxa" w:w="516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أثر عليا جامد. نفسيتي تعبت جدًا، وكنت بعيط كتير</w:t>
            </w:r>
          </w:p>
        </w:tc>
        <w:tc>
          <w:tcPr>
            <w:tcW w:type="dxa" w:w="516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It affected me badly. I was in a very bad way and cried a lot.</w:t>
            </w:r>
          </w:p>
        </w:tc>
      </w:tr>
      <w:tr>
        <w:trPr>
          <w:cantSplit/>
          <w:tblHeader w:val="off"/>
        </w:trPr>
        <w:tc>
          <w:tcPr>
            <w:tcW w:type="dxa" w:w="698"/>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A35</w:t>
            </w:r>
          </w:p>
        </w:tc>
        <w:tc>
          <w:tcPr>
            <w:tcW w:type="dxa" w:w="125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center"/>
            </w:pPr>
            <w:r>
              <w:rPr>
                <w:rFonts w:ascii="Times New Roman" w:cs="Times New Roman" w:eastAsia="Times New Roman" w:hAnsi="Times New Roman"/>
                <w:sz w:val="17"/>
                <w:szCs w:val="17"/>
              </w:rPr>
              <w:t xml:space="preserve">P10</w:t>
            </w:r>
          </w:p>
        </w:tc>
        <w:tc>
          <w:tcPr>
            <w:tcW w:type="dxa" w:w="167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6.4; Table 6</w:t>
            </w:r>
          </w:p>
        </w:tc>
        <w:tc>
          <w:tcPr>
            <w:tcW w:type="dxa" w:w="516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bidi/>
              <w:spacing w:after="20" w:before="20" w:line="240"/>
              <w:jc w:val="left"/>
            </w:pPr>
            <w:r>
              <w:rPr>
                <w:rFonts w:ascii="Times New Roman" w:cs="Times New Roman" w:eastAsia="Times New Roman" w:hAnsi="Times New Roman"/>
                <w:sz w:val="17"/>
                <w:szCs w:val="17"/>
                <w:rtl/>
              </w:rPr>
              <w:t xml:space="preserve">كنت قبلها حاسة بجفاف عاطفي، يعني مفيش اهتمام أو احتواء كفاية في حياتي، فكنت محتاجة الإحساس ده</w:t>
            </w:r>
          </w:p>
        </w:tc>
        <w:tc>
          <w:tcPr>
            <w:tcW w:type="dxa" w:w="516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Before that I felt emotionally dry; there wasn’t enough attention or care in my life, so I needed that feeling.</w:t>
            </w:r>
          </w:p>
        </w:tc>
      </w:tr>
    </w:tbl>
    <w:p>
      <w:pPr>
        <w:sectPr>
          <w:footerReference w:type="default" r:id="rId9"/>
          <w:pgSz w:w="16838" w:h="11906" w:orient="landscape"/>
          <w:pgMar w:top="1440" w:right="1440" w:bottom="1440" w:left="1440" w:header="708" w:footer="708" w:gutter="0"/>
          <w:pgNumType/>
          <w:docGrid w:linePitch="360"/>
        </w:sectPr>
      </w:pPr>
    </w:p>
    <w:p>
      <w:pPr>
        <w:pStyle w:val="Heading1"/>
        <w:keepNext/>
        <w:spacing w:after="0" w:before="0" w:line="276"/>
        <w:jc w:val="left"/>
      </w:pPr>
      <w:r>
        <w:rPr>
          <w:rFonts w:ascii="Times New Roman" w:cs="Times New Roman" w:eastAsia="Times New Roman" w:hAnsi="Times New Roman"/>
          <w:sz w:val="22"/>
          <w:szCs w:val="22"/>
        </w:rPr>
        <w:t xml:space="preserve">S10 Reporting checklists</w:t>
      </w:r>
    </w:p>
    <w:p>
      <w:pPr>
        <w:keepNext/>
        <w:spacing w:after="80" w:before="240" w:line="276"/>
        <w:jc w:val="left"/>
      </w:pPr>
      <w:r>
        <w:rPr>
          <w:rFonts w:ascii="Times New Roman" w:cs="Times New Roman" w:eastAsia="Times New Roman" w:hAnsi="Times New Roman"/>
          <w:b/>
          <w:bCs/>
          <w:sz w:val="22"/>
          <w:szCs w:val="22"/>
        </w:rPr>
        <w:t xml:space="preserve">Table S10a </w:t>
      </w:r>
      <w:r>
        <w:rPr>
          <w:rFonts w:ascii="Times New Roman" w:cs="Times New Roman" w:eastAsia="Times New Roman" w:hAnsi="Times New Roman"/>
          <w:sz w:val="22"/>
          <w:szCs w:val="22"/>
        </w:rPr>
        <w:t xml:space="preserve">Good Reporting of A Mixed Methods Study (GRAMMS; O’Cathain et al., 2008)</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1"/>
        <w:gridCol w:w="5235"/>
      </w:tblGrid>
      <w:tr>
        <w:trPr>
          <w:cantSplit/>
          <w:tblHeader/>
        </w:trPr>
        <w:tc>
          <w:tcPr>
            <w:tcW w:type="dxa" w:w="3791"/>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Item</w:t>
            </w:r>
          </w:p>
        </w:tc>
        <w:tc>
          <w:tcPr>
            <w:tcW w:type="dxa" w:w="523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Where reported</w:t>
            </w:r>
          </w:p>
        </w:tc>
      </w:tr>
      <w:tr>
        <w:trPr>
          <w:cantSplit/>
          <w:tblHeader w:val="off"/>
        </w:trPr>
        <w:tc>
          <w:tcPr>
            <w:tcW w:type="dxa" w:w="379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Justification for using a mixed-methods approach</w:t>
            </w:r>
          </w:p>
        </w:tc>
        <w:tc>
          <w:tcPr>
            <w:tcW w:type="dxa" w:w="523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Sects. 1 and 4.1</w:t>
            </w:r>
          </w:p>
        </w:tc>
      </w:tr>
      <w:tr>
        <w:trPr>
          <w:cantSplit/>
          <w:tblHeader w:val="off"/>
        </w:trPr>
        <w:tc>
          <w:tcPr>
            <w:tcW w:type="dxa" w:w="379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Design in terms of purpose, priority and sequence of methods</w:t>
            </w:r>
          </w:p>
        </w:tc>
        <w:tc>
          <w:tcPr>
            <w:tcW w:type="dxa" w:w="523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Sect. 4.1: strands designed independently, quantitative priority, integration at interpretation (closest to a convergent design); the protocol’s explanatory sequential label is not supported by the documentation</w:t>
            </w:r>
          </w:p>
        </w:tc>
      </w:tr>
      <w:tr>
        <w:trPr>
          <w:cantSplit/>
          <w:tblHeader w:val="off"/>
        </w:trPr>
        <w:tc>
          <w:tcPr>
            <w:tcW w:type="dxa" w:w="379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Sampling, data collection and analysis for each method</w:t>
            </w:r>
          </w:p>
        </w:tc>
        <w:tc>
          <w:tcPr>
            <w:tcW w:type="dxa" w:w="523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Sects. 4.2–4.6; Sections S1–S8 of this resource</w:t>
            </w:r>
          </w:p>
        </w:tc>
      </w:tr>
      <w:tr>
        <w:trPr>
          <w:cantSplit/>
          <w:tblHeader w:val="off"/>
        </w:trPr>
        <w:tc>
          <w:tcPr>
            <w:tcW w:type="dxa" w:w="379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Where integration occurred, how it was done and who participated</w:t>
            </w:r>
          </w:p>
        </w:tc>
        <w:tc>
          <w:tcPr>
            <w:tcW w:type="dxa" w:w="523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Sect. 7 and Table 6: narrative comparison and joint display prepared by the authors at the interpretation stage</w:t>
            </w:r>
          </w:p>
        </w:tc>
      </w:tr>
      <w:tr>
        <w:trPr>
          <w:cantSplit/>
          <w:tblHeader w:val="off"/>
        </w:trPr>
        <w:tc>
          <w:tcPr>
            <w:tcW w:type="dxa" w:w="379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Limitation of one method associated with the presence of the other</w:t>
            </w:r>
          </w:p>
        </w:tc>
        <w:tc>
          <w:tcPr>
            <w:tcW w:type="dxa" w:w="523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Sect. 8.3: the interview guide and sampling were not built on the survey results, so the accounts contextualise rather than test the survey associations</w:t>
            </w:r>
          </w:p>
        </w:tc>
      </w:tr>
      <w:tr>
        <w:trPr>
          <w:cantSplit/>
          <w:tblHeader w:val="off"/>
        </w:trPr>
        <w:tc>
          <w:tcPr>
            <w:tcW w:type="dxa" w:w="3791"/>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Insights gained from mixing or integrating methods</w:t>
            </w:r>
          </w:p>
        </w:tc>
        <w:tc>
          <w:tcPr>
            <w:tcW w:type="dxa" w:w="523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Sects. 7 and 8: expansion (family regulation; emotional deprivation as a possible route into relationships) and discordance (grades; gender)</w:t>
            </w:r>
          </w:p>
        </w:tc>
      </w:tr>
    </w:tbl>
    <w:p>
      <w:pPr>
        <w:keepNext/>
        <w:spacing w:after="80" w:before="240" w:line="276"/>
        <w:jc w:val="left"/>
      </w:pPr>
      <w:r>
        <w:rPr>
          <w:rFonts w:ascii="Times New Roman" w:cs="Times New Roman" w:eastAsia="Times New Roman" w:hAnsi="Times New Roman"/>
          <w:b/>
          <w:bCs/>
          <w:sz w:val="22"/>
          <w:szCs w:val="22"/>
        </w:rPr>
        <w:t xml:space="preserve">Table S10b </w:t>
      </w:r>
      <w:r>
        <w:rPr>
          <w:rFonts w:ascii="Times New Roman" w:cs="Times New Roman" w:eastAsia="Times New Roman" w:hAnsi="Times New Roman"/>
          <w:sz w:val="22"/>
          <w:szCs w:val="22"/>
        </w:rPr>
        <w:t xml:space="preserve">Consolidated Criteria for Reporting Qualitative Research (COREQ; Tong et al., 2007), condensed</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49"/>
        <w:gridCol w:w="5777"/>
      </w:tblGrid>
      <w:tr>
        <w:trPr>
          <w:cantSplit/>
          <w:tblHeader/>
        </w:trPr>
        <w:tc>
          <w:tcPr>
            <w:tcW w:type="dxa" w:w="3249"/>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Item</w:t>
            </w:r>
          </w:p>
        </w:tc>
        <w:tc>
          <w:tcPr>
            <w:tcW w:type="dxa" w:w="5777"/>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Response</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Interviewers</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Undergraduate members of the research team under faculty supervision (Sect. 4.6)</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Interviewer gender, credentials, experience and training</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Not documented</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Relationship with participants</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Fellow students at the same university; whether interviewers knew participants beforehand was not documented</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Methodological orientation</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Thematic analysis combining inductive and theory-derived codes (Braun &amp; Clarke, 2006); the protocol’s interpretative phenomenological analysis was not used because verbatim material was unavailable (Sect. 4.6)</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Sampling and sample size</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Purposive, for variation in relationship experience; 10 of about 20 planned interviews documented</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Method of approach, non-participation and setting</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Not documented</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Presence of non-participants</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Not documented</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Interview guide</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Semi-structured guide prepared at the design stage, covering relationship experiences, academic consequences, well-being, family and social context and balancing strategies; not pilot-tested according to the available documentation</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Repeat interviews</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None</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Audio or visual recording</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Audio recording was planned in the guide; no recordings were available for analysis</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Field notes</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Each interview is documented as a written question-and-answer account prepared by the interviewers (Section S8)</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Duration</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Planned 45–60 minutes; actual durations not documented</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Data saturation</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Not used as a stopping rule; sample adequacy judged by information power (Braun &amp; Clarke, 2021; Malterud et al., 2016)</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Transcripts returned to participants</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Number of data coders</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Initial coding of the Arabic accounts assisted by Claude (Anthropic); codes and themes reviewed by the authors; no independent second coding documented (Sect. 4.8)</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Description of the coding tree and derivation of themes</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Table S8b; themes derived inductively and from the theoretical framework</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Software</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 qualitative data-analysis software documented</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Participant checking</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Not conducted</w:t>
            </w:r>
          </w:p>
        </w:tc>
      </w:tr>
      <w:tr>
        <w:trPr>
          <w:cantSplit/>
          <w:tblHeader w:val="off"/>
        </w:trPr>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Quotations presented</w:t>
            </w:r>
          </w:p>
        </w:tc>
        <w:tc>
          <w:tcPr>
            <w:tcW w:type="dxa" w:w="5777"/>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Accounts paraphrased and attributed by participant number, gender and faculty; underlying Arabic passages in Table S9</w:t>
            </w:r>
          </w:p>
        </w:tc>
      </w:tr>
      <w:tr>
        <w:trPr>
          <w:cantSplit/>
          <w:tblHeader w:val="off"/>
        </w:trPr>
        <w:tc>
          <w:tcPr>
            <w:tcW w:type="dxa" w:w="3249"/>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Data and findings consistent; clarity of major and minor themes</w:t>
            </w:r>
          </w:p>
        </w:tc>
        <w:tc>
          <w:tcPr>
            <w:tcW w:type="dxa" w:w="5777"/>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Sect. 6, Tables 6 and S8b; negative and deviant cases reported</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Items not listed (e.g. reflexivity of the research team) were not documented in the study materials.</w:t>
      </w:r>
    </w:p>
    <w:p>
      <w:pPr>
        <w:pStyle w:val="Heading1"/>
        <w:keepNext/>
        <w:spacing w:after="0" w:before="0" w:line="276"/>
        <w:jc w:val="left"/>
      </w:pPr>
      <w:r>
        <w:rPr>
          <w:rFonts w:ascii="Times New Roman" w:cs="Times New Roman" w:eastAsia="Times New Roman" w:hAnsi="Times New Roman"/>
          <w:sz w:val="22"/>
          <w:szCs w:val="22"/>
        </w:rPr>
        <w:t xml:space="preserve">S11 Reference integrity</w:t>
      </w:r>
    </w:p>
    <w:p>
      <w:pPr>
        <w:spacing w:after="120" w:before="0" w:line="276"/>
        <w:jc w:val="left"/>
      </w:pPr>
      <w:r>
        <w:rPr>
          <w:sz w:val="22"/>
          <w:szCs w:val="22"/>
        </w:rPr>
        <w:t xml:space="preserve">Every reference was checked against an authoritative record: the Crossref record of its DOI and the DOI’s resolution at doi.org, the publisher’s or issuing organisation’s page or document, or, where neither was available, a library record. The check was completed on 26 October 2026, during preparation for first submission. For each reference we checked that it exists, that authors, year, title, source, volume, issue, pages and DOI or URL match the record, and that the source supports the claim for which it is cited, using the full text where accessible and otherwise the abstract or the publisher’s description (Table S11a states which for the substantive claims). Of the 50 references in the article, 38 were verified against Crossref without change, 2 against the publisher’s or issuing body’s document, 4 were corrected and 6 were verified with a limitation (five whose Crossref records give only the first page, and one without a DOI whose JSTOR page could not be accessed); none remained unresolved. The 9 references cited only in this resource were verified in the same way. Table S11b lists items removed, replaced or not used.</w:t>
      </w:r>
    </w:p>
    <w:p>
      <w:pPr>
        <w:keepNext/>
        <w:spacing w:after="80" w:before="240" w:line="276"/>
        <w:jc w:val="left"/>
      </w:pPr>
      <w:r>
        <w:rPr>
          <w:rFonts w:ascii="Times New Roman" w:cs="Times New Roman" w:eastAsia="Times New Roman" w:hAnsi="Times New Roman"/>
          <w:b/>
          <w:bCs/>
          <w:sz w:val="22"/>
          <w:szCs w:val="22"/>
        </w:rPr>
        <w:t xml:space="preserve">Table S11a </w:t>
      </w:r>
      <w:r>
        <w:rPr>
          <w:rFonts w:ascii="Times New Roman" w:cs="Times New Roman" w:eastAsia="Times New Roman" w:hAnsi="Times New Roman"/>
          <w:sz w:val="22"/>
          <w:szCs w:val="22"/>
        </w:rPr>
        <w:t xml:space="preserve">Verification status of the references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
        <w:gridCol w:w="3500"/>
        <w:gridCol w:w="1900"/>
        <w:gridCol w:w="2994"/>
      </w:tblGrid>
      <w:tr>
        <w:trPr>
          <w:cantSplit/>
          <w:tblHeader/>
        </w:trPr>
        <w:tc>
          <w:tcPr>
            <w:tcW w:type="dxa" w:w="63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b/>
                <w:bCs/>
                <w:sz w:val="16"/>
                <w:szCs w:val="16"/>
              </w:rPr>
              <w:t xml:space="preserve">ID</w:t>
            </w:r>
          </w:p>
        </w:tc>
        <w:tc>
          <w:tcPr>
            <w:tcW w:type="dxa" w:w="3500"/>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b/>
                <w:bCs/>
                <w:sz w:val="16"/>
                <w:szCs w:val="16"/>
              </w:rPr>
              <w:t xml:space="preserve">Reference</w:t>
            </w:r>
          </w:p>
        </w:tc>
        <w:tc>
          <w:tcPr>
            <w:tcW w:type="dxa" w:w="1900"/>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b/>
                <w:bCs/>
                <w:sz w:val="16"/>
                <w:szCs w:val="16"/>
              </w:rPr>
              <w:t xml:space="preserve">Metadata status</w:t>
            </w:r>
          </w:p>
        </w:tc>
        <w:tc>
          <w:tcPr>
            <w:tcW w:type="dxa" w:w="299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b/>
                <w:bCs/>
                <w:sz w:val="16"/>
                <w:szCs w:val="16"/>
              </w:rPr>
              <w:t xml:space="preserve">Action and claim check</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R01</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Arnett (2000), American Psychologist 55(5), 469–480</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R02</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Batool, Ahsan &amp; Sohail (2024), Journal of Professional &amp; Applied Psychology 5(2), 304–314</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Added; claim checked against the abstract</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R03</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Beckmeyer &amp; Cromwell (2019), Emerging Adulthood 7(4), 304–308</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abstract</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R04</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Braithwaite, Delevi &amp; Fincham (2010), Personal Relationships 17(1), 1–12</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abstract</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R05</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Brant (1990), Biometrics 46(4), 1171–1178</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 with limitation: Crossref gives the first page only</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R06</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Braun &amp; Clarke (2006), Qualitative Research in Psychology 3(2), 77–101</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R07</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Braun &amp; Clarke (2021), Qualitative Research in Sport, Exercise and Health 13(2), 201–216</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R08</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Cohen &amp; Wills (1985), Psychological Bulletin 98(2), 310–357</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R09</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Curran (2016), Journal of Experimental Social Psychology 66, 4–19</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R10</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DeLuca Bishop, Baker &amp; van Dulmen (2023), Emerging Adulthood 11(1), 221–233</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abstract</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R11</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Fetters, Curry &amp; Creswell (2013), Health Services Research 48(6 Pt 2), 2134–2156</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full text (integration through joint displays); the joint display is described as adapted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R12</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Flake, Pek &amp; Hehman (2017), Social Psychological and Personality Science 8(4), 370–378</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R13</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Foster &amp; Campbell (2005), Personal Relationships 12(1), 125–143</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abstract</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R14</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Gelman &amp; Stern (2006), The American Statistician 60(4), 328–331</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abstract; also cited for the year-of-study analysis</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R15</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Gómez-López, Viejo &amp; Ortega-Ruiz (2019), International Journal of Environmental Research and Public Health 16(13), Article 2415</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abstract</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R16</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Goode (1960), American Sociological Review 25(4), 483–496</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 with limitation: Crossref gives the first page only</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R17</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Greenhaus &amp; Beutell (1985), Academy of Management Review 10(1), 76–88</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Corrected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DOI changed from 10.5465/amr.1985.4277352, an alias that doi.org redirects, to the primary DOI 10.2307/258214</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R18</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Greenhaus &amp; Powell (2006), Academy of Management Review 31(1), 72–92</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R19</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Hasso (2011), Consuming desires. Stanford University Press</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 against the open-access edition</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the DOI identifies the open-access digital edition of the 2011 book (copyright page © 2011; the Crossref date of 2020 is the open-access release); claim checked against the full text (Introduction, pp. 1–2)</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R20</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Henseler, Ringle &amp; Sarstedt (2015), Journal of the Academy of Marketing Science 43(1), 115–135</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R21</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Holm (1979), Scandinavian Journal of Statistics 6(2), 65–70</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 with limitation: no DOI exists (10.2307/4615733 does not resolve) and the JSTOR page could not be accessed, so volume and pages rest on secondary records</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with the JSTOR stable URL</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R22</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Khalajabadi Farahani &amp; Cleland (2015), Culture, Health &amp; Sexuality 17(6), 700–717</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Added; abstract</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R23</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Kuperberg &amp; Padgett (2016), Journal of Social and Personal Relationships 33(8), 1070–1096</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abstract</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R24</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Lehmiller (2009), Personality and Social Psychology Bulletin 35(11), 1452–1466</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abstract</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R25</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Liu, Morrison &amp; Zeng (2024), Applied Research in Quality of Life 19(1), 215–244</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abstract</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R26</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Long &amp; Ervin (2000), The American Statistician 54(3), 217–224</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R27</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MacKinnon, Krull &amp; Lockwood (2000), Prevention Science 1(4), 173–181</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R28</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Malterud, Siersma &amp; Guassora (2016), Qualitative Health Research 26(13), 1753–1760</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R29</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Marks (1977), American Sociological Review 42(6), 921–936</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 with limitation: Crossref gives the first page only</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R30</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McCullagh (1980), Journal of the Royal Statistical Society: Series B (Methodological) 42(2), 109–127</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R31</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Meade &amp; Craig (2012), Psychological Methods 17(3), 437–455</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R32</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Mensch, Ibrahim, Lee &amp; El-Gibaly (2003), Studies in Family Planning 34(1), 8–18</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abstract</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R33</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Ministry of Health and Population [Egypt] et al. (2015), Egypt Demographic and Health Survey 2014 (full report)</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Corrected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The full report is cited instead of the Key Findings brochure; the four figures verified in its Table 7.5 (p. 93), together with the definition of age at first marriage</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R34</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Nazzal, Cruz &amp; Neto (2021), Interpersona 15(1), 55–71</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Added; abstract</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R35</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O’Cathain, Murphy &amp; Nicholl (2008), Journal of Health Services Research &amp; Policy 13(2), 92–98</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R36</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Pearlin, Menaghan, Lieberman &amp; Mullan (1981), Journal of Health and Social Behavior 22(4), 337–356</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 with limitation: Crossref gives the first page only</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R37</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Podsakoff, MacKenzie, Lee &amp; Podsakoff (2003), Journal of Applied Psychology 88(5), 879–903</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R38</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Putnick &amp; Bornstein (2016), Developmental Review 41, 71–90</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R39</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Rhoades, Kamp Dush, Atkins, Stanley &amp; Markman (2011), Journal of Family Psychology 25(3), 366–374</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abstract</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R40</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Rutakumwa et al. (2020), Qualitative Research 20(5), 565–581</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abstract; the sentence citing it now states the conditions under which note-based scripts were comparable to transcripts</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R41</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Salem (2016), Demographic Research 35, 283–314</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abstract</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R42</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Schmidt &amp; Lockwood (2017), Journal of College Student Retention 19(1), 81–97</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abstract</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R43</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Sieber (1974), American Sociological Review 39(4), 567–578</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 with limitation: Crossref gives the first page only</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R44</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Simon &amp; Barrett (2010), Journal of Health and Social Behavior 51(2), 168–182</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abstract</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R45</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Singerman (2007), Middle East Youth Initiative Working Paper No. 6</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Corrected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Publisher statement completed (Wolfensohn Center for Development at the Brookings Institution; Dubai School of Government); year 2007 kept because the SSRN record of the DOI gives “Date Written: September 2007” (posted 27 January 2008, the Crossref date); abstract</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R46</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Tinto (1994), Leaving college (2nd ed.). University of Chicago Press</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Corrected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Year changed from 1993 to 1994 in the list and in the text, to match the DOI record (Crossref; publisher’s record of the second edition)</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R47</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Tong, Sainsbury &amp; Craig (2007), International Journal for Quality in Health Care 19(6), 349–357</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R48</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Tourangeau &amp; Yan (2007), Psychological Bulletin 133(5), 859–883</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R49</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UNICEF Middle East and North Africa Regional Office &amp; International Center for Research on Women (2017), Child marriage in the Middle East and North Africa: Egypt country brief</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 against the issuing bodies’ document</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full text</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R50</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Wynn (2018), Love, sex, and desire in modern Egypt. University of Texas Press</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Retained; publisher’s description (book text not read)</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S01</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Dunn, Baguley &amp; Brunsden (2014), British Journal of Psychology 105(3), 399–412</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Cited in Online Resource 1 only</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S02</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Forero, Maydeu-Olivares &amp; Gallardo-Pujol (2009), Structural Equation Modeling 16(4), 625–641</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Cited in Online Resource 1 only</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S03</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Rhemtulla, Brosseau-Liard &amp; Savalei (2012), Psychological Methods 17(3), 354–373</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Cited in Online Resource 1 only</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S04</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Zumbo, Gadermann &amp; Zeisser (2007), Journal of Modern Applied Statistical Methods 6(1), 21–29</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Cited in Online Resource 1 only</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S05</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Lakens (2022), Collabra: Psychology 8(1), Article 33267</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Cited in Online Resource 1 only</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S06</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American Association for Public Opinion Research (2023), Standard definitions (10th ed.)</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Cited in Online Resource 1 only</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S07</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Squires (2009), International Journal of Nursing Studies 46(2), 277–287</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Cited in Online Resource 1 only</w:t>
            </w:r>
          </w:p>
        </w:tc>
      </w:tr>
      <w:tr>
        <w:trPr>
          <w:cantSplit/>
          <w:tblHeader w:val="off"/>
        </w:trPr>
        <w:tc>
          <w:tcPr>
            <w:tcW w:type="dxa" w:w="63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S08</w:t>
            </w:r>
          </w:p>
        </w:tc>
        <w:tc>
          <w:tcPr>
            <w:tcW w:type="dxa" w:w="35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Horn (1965), Psychometrika 30(2), 179–185</w:t>
            </w:r>
          </w:p>
        </w:tc>
        <w:tc>
          <w:tcPr>
            <w:tcW w:type="dxa" w:w="19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Cited in Online Resource 1 only (Section S3)</w:t>
            </w:r>
          </w:p>
        </w:tc>
      </w:tr>
      <w:tr>
        <w:trPr>
          <w:cantSplit/>
          <w:tblHeader w:val="off"/>
        </w:trPr>
        <w:tc>
          <w:tcPr>
            <w:tcW w:type="dxa" w:w="63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S09</w:t>
            </w:r>
          </w:p>
        </w:tc>
        <w:tc>
          <w:tcPr>
            <w:tcW w:type="dxa" w:w="3500"/>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Olsson (1979), Psychometrika 44(4), 443–460</w:t>
            </w:r>
          </w:p>
        </w:tc>
        <w:tc>
          <w:tcPr>
            <w:tcW w:type="dxa" w:w="1900"/>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299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Cited in Online Resource 1 only (Section S3)</w:t>
            </w:r>
          </w:p>
        </w:tc>
      </w:tr>
    </w:tbl>
    <w:p>
      <w:pPr>
        <w:spacing w:after="200" w:before="60" w:line="240"/>
        <w:jc w:val="left"/>
      </w:pPr>
      <w:r>
        <w:rPr>
          <w:i/>
          <w:iCs/>
          <w:sz w:val="17"/>
          <w:szCs w:val="17"/>
        </w:rPr>
        <w:t xml:space="preserve">Note.</w:t>
      </w:r>
      <w:r>
        <w:rPr>
          <w:sz w:val="17"/>
          <w:szCs w:val="17"/>
        </w:rPr>
        <w:t xml:space="preserve"> R = cited in the article; S = cited only in this resource. “Abstract” or “full text” names the material against which a substantive claim was checked; for methodological references the attribution of the procedure was checked. A programmatic check confirmed that every in-text citation of the article has an entry and every entry is cited.</w:t>
      </w:r>
    </w:p>
    <w:p>
      <w:pPr>
        <w:keepNext/>
        <w:spacing w:after="80" w:before="240" w:line="276"/>
        <w:jc w:val="left"/>
      </w:pPr>
      <w:r>
        <w:rPr>
          <w:rFonts w:ascii="Times New Roman" w:cs="Times New Roman" w:eastAsia="Times New Roman" w:hAnsi="Times New Roman"/>
          <w:b/>
          <w:bCs/>
          <w:sz w:val="22"/>
          <w:szCs w:val="22"/>
        </w:rPr>
        <w:t xml:space="preserve">Table S11b </w:t>
      </w:r>
      <w:r>
        <w:rPr>
          <w:rFonts w:ascii="Times New Roman" w:cs="Times New Roman" w:eastAsia="Times New Roman" w:hAnsi="Times New Roman"/>
          <w:sz w:val="22"/>
          <w:szCs w:val="22"/>
        </w:rPr>
        <w:t xml:space="preserve">References and figures removed, replaced or not used</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152"/>
        <w:gridCol w:w="1444"/>
        <w:gridCol w:w="3430"/>
      </w:tblGrid>
      <w:tr>
        <w:trPr>
          <w:cantSplit/>
          <w:tblHeader/>
        </w:trPr>
        <w:tc>
          <w:tcPr>
            <w:tcW w:type="dxa" w:w="4152"/>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Item</w:t>
            </w:r>
          </w:p>
        </w:tc>
        <w:tc>
          <w:tcPr>
            <w:tcW w:type="dxa" w:w="1444"/>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Classification</w:t>
            </w:r>
          </w:p>
        </w:tc>
        <w:tc>
          <w:tcPr>
            <w:tcW w:type="dxa" w:w="3430"/>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6"/>
                <w:szCs w:val="16"/>
              </w:rPr>
              <w:t xml:space="preserve">Decision</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Diener, Emmons, Larsen &amp; Griffin (1985), The Satisfaction With Life Scale, JPA 49(1), 71–75 (10.1207/s15327752jpa4901_13)</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Verified</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Removed from the manuscript: the sentence distinguishing global life satisfaction was shortened to meet the journal’s length limit; no claim depends on it</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Diener, Suh, Lucas &amp; Smith (1999), Psychological Bulletin 125(2), 276–302 (10.1037/0033-2909.125.2.276)</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Verified</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Removed for length; no claim depends on it</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Braun &amp; Clarke (2019), Reflecting on reflexive thematic analysis, QRSEH 11(4), 589–597 (10.1080/2159676X.2019.1628806)</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Verified</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Removed: the analysis is no longer described as reflexive thematic analysis, because coding was AI-assisted and the material consists of reconstructed accounts</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Levitt et al. (2018), JARS for qualitative and mixed methods research, American Psychologist 73(1), 26–46 (10.1037/amp0000151)</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Verified</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Removed: no completed JARS checklist exists among the study materials, so citing it as a followed standard was not supported</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Ministry of Health and Population et al. (2015), </w:t>
            </w:r>
            <w:r>
              <w:rPr>
                <w:i/>
                <w:iCs/>
                <w:sz w:val="16"/>
                <w:szCs w:val="16"/>
              </w:rPr>
              <w:t xml:space="preserve">Egypt Demographic and Health Survey 2014: Key findings</w:t>
            </w:r>
            <w:r>
              <w:rPr>
                <w:sz w:val="16"/>
                <w:szCs w:val="16"/>
              </w:rPr>
              <w:t xml:space="preserve"> (SR223)</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Replaced by the full report (R33), whose Table 7.5 gives the four figures with the definition of age at first marriage; the brochure reports them on pp. 4, 16 and 17. The figure of 24.4 in an earlier draft is not used</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Central Agency for Public Mobilization and Statistics (2017), </w:t>
            </w:r>
            <w:r>
              <w:rPr>
                <w:i/>
                <w:iCs/>
                <w:sz w:val="16"/>
                <w:szCs w:val="16"/>
              </w:rPr>
              <w:t xml:space="preserve">Annual bulletin of marriage and divorce statistics 2016: Study description</w:t>
            </w:r>
            <w:r>
              <w:rPr>
                <w:sz w:val="16"/>
                <w:szCs w:val="16"/>
              </w:rPr>
              <w:t xml:space="preserve"> (metadata record)</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Removed with the sentence citing it: the record describes counts of all marriage contracts registered in 2016 and gives no first-marriage or age data, so it supported that sentence only in part</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Rhemtulla et al. (2012); Forero et al. (2009); Dunn et al. (2014); Zumbo et al. (2007); Lakens (2022); AAPOR (2023); Squires (2009)</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Verified</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Moved from the manuscript to Online Resource 1 with the methodological detail they support (length limit); listed as S01–S07 in Table S11a</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Langlais, Bigalke &amp; Bigalke (2025), cited in the study’s earlier literature review for an effect of relationship stress on sleep and study</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Incorrect</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Not used</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Arabic-language articles with DOIs 10.33193/eJHAS.66.2025.339 and 10.21608/fjssj.2023.1172</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Not registered</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Not used: neither DOI is registered with Crossref, and doi.org returns “not found” for both</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Fercovic (2024), 10.1177/00380385231189174 (listed in the earlier reference audit table but not cited in the manuscript)</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Not assessed</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Not used; removed from the audit table</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Prevalence figures for ʿurfi marriage among Egyptian students circulating in non-scholarly sources</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Unverified</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6"/>
                <w:szCs w:val="16"/>
              </w:rPr>
              <w:t xml:space="preserve">Not used; the manuscript states that no representative national estimates were found</w:t>
            </w:r>
          </w:p>
        </w:tc>
      </w:tr>
      <w:tr>
        <w:trPr>
          <w:cantSplit/>
          <w:tblHeader w:val="off"/>
        </w:trPr>
        <w:tc>
          <w:tcPr>
            <w:tcW w:type="dxa" w:w="4152"/>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Guetterman et al. (2015); Hu &amp; Bentler (1999); Inhorn &amp; Smith-Hefner (2020); Ivankova et al. (2006); Maxwell &amp; Cole (2007); Shulman &amp; Connolly (2013)</w:t>
            </w:r>
          </w:p>
        </w:tc>
        <w:tc>
          <w:tcPr>
            <w:tcW w:type="dxa" w:w="1444"/>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Removed when the article was shortened to the journal’s length limit; no remaining claim depends on them</w:t>
            </w:r>
          </w:p>
        </w:tc>
      </w:tr>
      <w:tr>
        <w:trPr>
          <w:cantSplit/>
          <w:tblHeader w:val="off"/>
        </w:trPr>
        <w:tc>
          <w:tcPr>
            <w:tcW w:type="dxa" w:w="4152"/>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Horn (1965); Olsson (1979)</w:t>
            </w:r>
          </w:p>
        </w:tc>
        <w:tc>
          <w:tcPr>
            <w:tcW w:type="dxa" w:w="1444"/>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Verified</w:t>
            </w:r>
          </w:p>
        </w:tc>
        <w:tc>
          <w:tcPr>
            <w:tcW w:type="dxa" w:w="3430"/>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sz w:val="16"/>
                <w:szCs w:val="16"/>
              </w:rPr>
              <w:t xml:space="preserve">Cited only in this resource (Section S3), where the procedures are described; listed as S08–S09 in Table S11a</w:t>
            </w:r>
          </w:p>
        </w:tc>
      </w:tr>
    </w:tbl>
    <w:p>
      <w:pPr>
        <w:pStyle w:val="Heading1"/>
        <w:keepNext/>
        <w:spacing w:after="0" w:before="0" w:line="276"/>
        <w:jc w:val="left"/>
      </w:pPr>
      <w:r>
        <w:rPr>
          <w:rFonts w:ascii="Times New Roman" w:cs="Times New Roman" w:eastAsia="Times New Roman" w:hAnsi="Times New Roman"/>
          <w:sz w:val="22"/>
          <w:szCs w:val="22"/>
        </w:rPr>
        <w:t xml:space="preserve">S12 Protocol hypotheses and their treatment in the article</w:t>
      </w:r>
    </w:p>
    <w:p>
      <w:pPr>
        <w:keepNext/>
        <w:spacing w:after="80" w:before="240" w:line="276"/>
        <w:jc w:val="left"/>
      </w:pPr>
      <w:r>
        <w:rPr>
          <w:rFonts w:ascii="Times New Roman" w:cs="Times New Roman" w:eastAsia="Times New Roman" w:hAnsi="Times New Roman"/>
          <w:b/>
          <w:bCs/>
          <w:sz w:val="22"/>
          <w:szCs w:val="22"/>
        </w:rPr>
        <w:t xml:space="preserve">Table S12 </w:t>
      </w:r>
      <w:r>
        <w:rPr>
          <w:rFonts w:ascii="Times New Roman" w:cs="Times New Roman" w:eastAsia="Times New Roman" w:hAnsi="Times New Roman"/>
          <w:sz w:val="22"/>
          <w:szCs w:val="22"/>
        </w:rPr>
        <w:t xml:space="preserve">Protocol hypotheses (paraphrased) and their treatment</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69"/>
        <w:gridCol w:w="2708"/>
        <w:gridCol w:w="3249"/>
      </w:tblGrid>
      <w:tr>
        <w:trPr>
          <w:cantSplit/>
          <w:tblHeader/>
        </w:trPr>
        <w:tc>
          <w:tcPr>
            <w:tcW w:type="dxa" w:w="3069"/>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Protocol hypothesis</w:t>
            </w:r>
          </w:p>
        </w:tc>
        <w:tc>
          <w:tcPr>
            <w:tcW w:type="dxa" w:w="2708"/>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Treatment</w:t>
            </w:r>
          </w:p>
        </w:tc>
        <w:tc>
          <w:tcPr>
            <w:tcW w:type="dxa" w:w="3249"/>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Result</w:t>
            </w:r>
          </w:p>
        </w:tc>
      </w:tr>
      <w:tr>
        <w:trPr>
          <w:cantSplit/>
          <w:tblHeader w:val="off"/>
        </w:trPr>
        <w:tc>
          <w:tcPr>
            <w:tcW w:type="dxa" w:w="306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H1 Troubled or recently ended relationships are associated with lower grades than stable relationships or no relationship</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Article H1</w:t>
            </w:r>
          </w:p>
        </w:tc>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Not supported in its differentiated form: in the primary analysis, stable relationships showed as low a grade estimate as troubled and ended relationships; the overall association depended on the classification of discordant students; year-specific estimates differed numerically, but the interaction with year of study was not statistically significant (Sect. 5.3)</w:t>
            </w:r>
          </w:p>
        </w:tc>
      </w:tr>
      <w:tr>
        <w:trPr>
          <w:cantSplit/>
          <w:tblHeader w:val="off"/>
        </w:trPr>
        <w:tc>
          <w:tcPr>
            <w:tcW w:type="dxa" w:w="306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H2 Stable, supportive relationships are associated with higher attendance and timely submission of assignments</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Article H2</w:t>
            </w:r>
          </w:p>
        </w:tc>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Not supported</w:t>
            </w:r>
          </w:p>
        </w:tc>
      </w:tr>
      <w:tr>
        <w:trPr>
          <w:cantSplit/>
          <w:tblHeader w:val="off"/>
        </w:trPr>
        <w:tc>
          <w:tcPr>
            <w:tcW w:type="dxa" w:w="306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H3 Partnered and non-partnered students do not differ in grades once time management and mental health are controlled</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Not tested as specified: well-being is an outcome in the article, and the time-management items referred to the relationship and so could not be answered meaningfully by never-partnered students; the closest test is the focal grade contrast (Sect. 4.5)</w:t>
            </w:r>
          </w:p>
        </w:tc>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Partnered students reported lower grade categories in the primary analysis; the difference was sensitive to the classification of discordant students</w:t>
            </w:r>
          </w:p>
        </w:tc>
      </w:tr>
      <w:tr>
        <w:trPr>
          <w:cantSplit/>
          <w:tblHeader w:val="off"/>
        </w:trPr>
        <w:tc>
          <w:tcPr>
            <w:tcW w:type="dxa" w:w="306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H4 Relationship stability is positively associated with quality of life</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Article H3 (status) and H4 (relationship quality and well-being)</w:t>
            </w:r>
          </w:p>
        </w:tc>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Stable relationships associated with higher well-being; relationship quality associated with higher well-being before, but not after, Holm adjustment</w:t>
            </w:r>
          </w:p>
        </w:tc>
      </w:tr>
      <w:tr>
        <w:trPr>
          <w:cantSplit/>
          <w:tblHeader w:val="off"/>
        </w:trPr>
        <w:tc>
          <w:tcPr>
            <w:tcW w:type="dxa" w:w="306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H5 Quality of life differs between students in stable relationships, troubled relationships and no relationship</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Article H3</w:t>
            </w:r>
          </w:p>
        </w:tc>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Partially supported: predicted ordering held for psychological well-being but not for campus social integration</w:t>
            </w:r>
          </w:p>
        </w:tc>
      </w:tr>
      <w:tr>
        <w:trPr>
          <w:cantSplit/>
          <w:tblHeader w:val="off"/>
        </w:trPr>
        <w:tc>
          <w:tcPr>
            <w:tcW w:type="dxa" w:w="306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H6 Associations differ by gender, with stronger negative associations for women</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Article H6</w:t>
            </w:r>
          </w:p>
        </w:tc>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Not supported; tests could detect only large differences</w:t>
            </w:r>
          </w:p>
        </w:tc>
      </w:tr>
      <w:tr>
        <w:trPr>
          <w:cantSplit/>
          <w:tblHeader w:val="off"/>
        </w:trPr>
        <w:tc>
          <w:tcPr>
            <w:tcW w:type="dxa" w:w="306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H7 Balancing strategies differ by gender</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Not tested: no measure of balancing strategies comparable across genders; two men in the interview sample</w:t>
            </w:r>
          </w:p>
        </w:tc>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t>
            </w:r>
          </w:p>
        </w:tc>
      </w:tr>
      <w:tr>
        <w:trPr>
          <w:cantSplit/>
          <w:tblHeader w:val="off"/>
        </w:trPr>
        <w:tc>
          <w:tcPr>
            <w:tcW w:type="dxa" w:w="306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H8 Time management and mental health mediate the association between relationships and achievement, explaining at least 25% of variance</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Re-specified as relationship-to-study interference (article H4), using the four-item scale; the 25% criterion was not used because the protocol gave no basis for it</w:t>
            </w:r>
          </w:p>
        </w:tc>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Negative indirect associations of strain with motivation and engagement through interference, offset by positive direct associations; total associations close to zero; not decomposed for grade; descriptive of cross-sectional covariance only</w:t>
            </w:r>
          </w:p>
        </w:tc>
      </w:tr>
      <w:tr>
        <w:trPr>
          <w:cantSplit/>
          <w:tblHeader w:val="off"/>
        </w:trPr>
        <w:tc>
          <w:tcPr>
            <w:tcW w:type="dxa" w:w="306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H9 Social support moderates the association between relationship disturbance and declining quality of life and achievement</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Article H5</w:t>
            </w:r>
          </w:p>
        </w:tc>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Partly supported for well-being (not robust to Holm adjustment); contradicted for interference, whose association with strain was stronger with more support</w:t>
            </w:r>
          </w:p>
        </w:tc>
      </w:tr>
      <w:tr>
        <w:trPr>
          <w:cantSplit/>
          <w:tblHeader w:val="off"/>
        </w:trPr>
        <w:tc>
          <w:tcPr>
            <w:tcW w:type="dxa" w:w="306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H10 Shared career goals with a partner are associated with achievement motivation</w:t>
            </w:r>
          </w:p>
        </w:tc>
        <w:tc>
          <w:tcPr>
            <w:tcW w:type="dxa" w:w="2708"/>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Not tested: no scale of shared career goals was constructed</w:t>
            </w:r>
          </w:p>
        </w:tc>
        <w:tc>
          <w:tcPr>
            <w:tcW w:type="dxa" w:w="3249"/>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t>
            </w:r>
          </w:p>
        </w:tc>
      </w:tr>
      <w:tr>
        <w:trPr>
          <w:cantSplit/>
          <w:tblHeader w:val="off"/>
        </w:trPr>
        <w:tc>
          <w:tcPr>
            <w:tcW w:type="dxa" w:w="3069"/>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H11 Relationships affect post-graduation career decisions</w:t>
            </w:r>
          </w:p>
        </w:tc>
        <w:tc>
          <w:tcPr>
            <w:tcW w:type="dxa" w:w="2708"/>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Not tested: no measure of actual career decisions</w:t>
            </w:r>
          </w:p>
        </w:tc>
        <w:tc>
          <w:tcPr>
            <w:tcW w:type="dxa" w:w="3249"/>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The protocol hypotheses are paraphrased as in an earlier draft of this resource. Article hypotheses are stated in Sect. 3.</w:t>
      </w:r>
    </w:p>
    <w:p>
      <w:pPr>
        <w:pStyle w:val="Heading1"/>
        <w:keepNext/>
        <w:spacing w:after="0" w:before="0" w:line="276"/>
        <w:jc w:val="left"/>
      </w:pPr>
      <w:r>
        <w:rPr>
          <w:rFonts w:ascii="Times New Roman" w:cs="Times New Roman" w:eastAsia="Times New Roman" w:hAnsi="Times New Roman"/>
          <w:sz w:val="22"/>
          <w:szCs w:val="22"/>
        </w:rPr>
        <w:t xml:space="preserve">S13 Reproducibility</w:t>
      </w:r>
    </w:p>
    <w:p>
      <w:pPr>
        <w:spacing w:after="120" w:before="0" w:line="276"/>
        <w:jc w:val="left"/>
      </w:pPr>
      <w:r>
        <w:rPr>
          <w:i/>
          <w:iCs/>
          <w:sz w:val="22"/>
          <w:szCs w:val="22"/>
        </w:rPr>
        <w:t xml:space="preserve">Files.</w:t>
      </w:r>
      <w:r>
        <w:rPr>
          <w:sz w:val="22"/>
          <w:szCs w:val="22"/>
        </w:rPr>
        <w:t xml:space="preserve"> Online Resource 2 contains the 268 unique survey responses with audit flags, coded variables and all 82 item responses (Section S14). Online Resource 3 contains the analysis code (version 2.0), its addendum (version 2.1), a requirements file listing the package versions, the complete output of version 2.0 (results.json) and of the addendum (results_addendum.json), and the script used for the audit of the interview accounts (Section S8), which requires the accounts and so cannot be run by readers. The original form export, from which Online Resource 2 was derived, is held by the authors; running the code on Online Resource 2 reproduces every analysis, including those that depend on the audit flags. In the copy of the code provided for review, the names of the eight faculties grouped as science, engineering and health are withheld from the mapping applied to the original export; that mapping is not used when the code is run on Online Resource 2.</w:t>
      </w:r>
    </w:p>
    <w:p>
      <w:pPr>
        <w:spacing w:after="120" w:before="0" w:line="276"/>
        <w:jc w:val="left"/>
      </w:pPr>
      <w:r>
        <w:rPr>
          <w:rFonts w:ascii="Times New Roman" w:cs="Times New Roman" w:eastAsia="Times New Roman" w:hAnsi="Times New Roman"/>
          <w:i/>
          <w:iCs/>
          <w:sz w:val="22"/>
          <w:szCs w:val="22"/>
        </w:rPr>
        <w:t xml:space="preserve">Environment.</w:t>
      </w:r>
      <w:r>
        <w:rPr>
          <w:rFonts w:ascii="Times New Roman" w:cs="Times New Roman" w:eastAsia="Times New Roman" w:hAnsi="Times New Roman"/>
          <w:sz w:val="22"/>
          <w:szCs w:val="22"/>
        </w:rPr>
        <w:t xml:space="preserve"> The revised analyses were run in Python 3.13.17 with numpy 2.5.3, pandas 3.0.5, scipy 1.18.1, statsmodels 0.15.0, scikit-learn 1.9.1, factor_analyzer 0.5.1, semopy 2.3.11, patsy 1.0.3, matplotlib 3.11.2 and openpyxl 3.1.5. Seeds are fixed for parallel analysis (20260401) and bootstrapping (20260402). Estimates that depend on numerical optimisation (polychoric correlations, ordinal models, confirmatory models) may differ in the third decimal under other library versions. The environment of the original analyses was not recorded.</w:t>
      </w:r>
    </w:p>
    <w:p>
      <w:pPr>
        <w:spacing w:after="120" w:before="0" w:line="276"/>
        <w:jc w:val="left"/>
      </w:pPr>
      <w:r>
        <w:rPr>
          <w:i/>
          <w:iCs/>
          <w:sz w:val="22"/>
          <w:szCs w:val="22"/>
        </w:rPr>
        <w:t xml:space="preserve">Checks performed.</w:t>
      </w:r>
      <w:r>
        <w:rPr>
          <w:sz w:val="22"/>
          <w:szCs w:val="22"/>
        </w:rPr>
        <w:t xml:space="preserve"> (1) The original analysis script (version 1.0) was re-run on the original export in the revision environment and reproduced the estimates reported in an earlier draft of the article and of this resource. (2) The revised script, run once on the original export and once on Online Resource 2, produced identical results. (3) All estimates in the article and in this resource were inserted from the output file of the revised script. (4) During preparation for first submission (26 October 2026), version 2.0 was re-run twice on Online Resource 2 in the environment listed above, once as archived and once as the copy provided for review: in both runs all 4,312 numeric values of results.json were reproduced to within 10</w:t>
      </w:r>
      <w:r>
        <w:rPr>
          <w:sz w:val="22"/>
          <w:szCs w:val="22"/>
          <w:vertAlign w:val="superscript"/>
        </w:rPr>
        <w:t xml:space="preserve">−12</w:t>
      </w:r>
      <w:r>
        <w:rPr>
          <w:sz w:val="22"/>
          <w:szCs w:val="22"/>
        </w:rPr>
        <w:t xml:space="preserve">, apart from the audit counts, which require the original export. Confirmatory-factor-analysis values can differ in the last digits between runs, and some latent correlations are labelled with the two factors in reverse order, because the order in which the code assembles the factors varies between Python sessions. (5) The addendum (version 2.1) imports version 2.0 unchanged and adds the implied odds ratios in Table S6b and the analyses in Table S5e; it reproduced results_addendum.json exactly.</w:t>
      </w:r>
    </w:p>
    <w:p>
      <w:pPr>
        <w:keepNext/>
        <w:spacing w:after="80" w:before="240" w:line="276"/>
        <w:jc w:val="left"/>
      </w:pPr>
      <w:r>
        <w:rPr>
          <w:rFonts w:ascii="Times New Roman" w:cs="Times New Roman" w:eastAsia="Times New Roman" w:hAnsi="Times New Roman"/>
          <w:b/>
          <w:bCs/>
          <w:sz w:val="22"/>
          <w:szCs w:val="22"/>
        </w:rPr>
        <w:t xml:space="preserve">Table S13 </w:t>
      </w:r>
      <w:r>
        <w:rPr>
          <w:rFonts w:ascii="Times New Roman" w:cs="Times New Roman" w:eastAsia="Times New Roman" w:hAnsi="Times New Roman"/>
          <w:sz w:val="22"/>
          <w:szCs w:val="22"/>
        </w:rPr>
        <w:t xml:space="preserve">Changes between version 1.0 and version 2.0 of the analysis code</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05"/>
        <w:gridCol w:w="3791"/>
        <w:gridCol w:w="3430"/>
      </w:tblGrid>
      <w:tr>
        <w:trPr>
          <w:cantSplit/>
          <w:tblHeader/>
        </w:trPr>
        <w:tc>
          <w:tcPr>
            <w:tcW w:type="dxa" w:w="180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Element</w:t>
            </w:r>
          </w:p>
        </w:tc>
        <w:tc>
          <w:tcPr>
            <w:tcW w:type="dxa" w:w="3791"/>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Version 1.0</w:t>
            </w:r>
          </w:p>
        </w:tc>
        <w:tc>
          <w:tcPr>
            <w:tcW w:type="dxa" w:w="3430"/>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Version 2.0</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Online Resource 2</w:t>
            </w:r>
          </w:p>
        </w:tc>
        <w:tc>
          <w:tcPr>
            <w:tcW w:type="dxa" w:w="379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Contained only the 260 analytic cases, with durations of never-partnered respondents set to missing, so the audit-based robustness analyses could not be reproduced and the discordant responses were not visible</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Now contains all 268 unique responses with flags (invariant, near-invariant, number of copies, part of the export, discordant) and reported durations</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Interference scale</w:t>
            </w:r>
          </w:p>
        </w:tc>
        <w:tc>
          <w:tcPr>
            <w:tcW w:type="dxa" w:w="379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Eight items, four of which refer to grades or motivation, used as the predictor of grade and motivation</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Four-item scale without these items used in primary models; eight-item scale reported for comparison (Tables S5b–S5d)</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Moderation probes</w:t>
            </w:r>
          </w:p>
        </w:tc>
        <w:tc>
          <w:tcPr>
            <w:tcW w:type="dxa" w:w="379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Support standardised in the full sample, so “low” and “high” support referred to the full-sample distribution although the models were estimated in the subsample</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Support standardised within the subsample; both specifications reported (Table S6i)</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Indirect associations</w:t>
            </w:r>
          </w:p>
        </w:tc>
        <w:tc>
          <w:tcPr>
            <w:tcW w:type="dxa" w:w="379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Bootstrap indirect associations for engagement, motivation and grade (for grade combining a linear and a log-odds coefficient, 500 resamples); direct associations as point estimates only; total associations not computed</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Direct, indirect and total associations with percentile bootstrap intervals for linear outcomes; no decomposition for the ordinal grade outcome (Table S5d)</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Classification of the reference group</w:t>
            </w:r>
          </w:p>
        </w:tc>
        <w:tc>
          <w:tcPr>
            <w:tcW w:type="dxa" w:w="379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Not examined</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Three sensitivity specifications (Table 4 of the article; Tables S6f–S6g)</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Proportional odds</w:t>
            </w:r>
          </w:p>
        </w:tc>
        <w:tc>
          <w:tcPr>
            <w:tcW w:type="dxa" w:w="379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Examined with cut-point logits only</w:t>
            </w:r>
          </w:p>
        </w:tc>
        <w:tc>
          <w:tcPr>
            <w:tcW w:type="dxa" w:w="343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Brant tests added (Table S6c)</w:t>
            </w:r>
          </w:p>
        </w:tc>
      </w:tr>
      <w:tr>
        <w:trPr>
          <w:cantSplit/>
          <w:tblHeader w:val="off"/>
        </w:trPr>
        <w:tc>
          <w:tcPr>
            <w:tcW w:type="dxa" w:w="180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McFadden pseudo-</w:t>
            </w:r>
            <w:r>
              <w:rPr>
                <w:rFonts w:ascii="Times New Roman" w:cs="Times New Roman" w:eastAsia="Times New Roman" w:hAnsi="Times New Roman"/>
                <w:i/>
                <w:iCs/>
                <w:sz w:val="17"/>
                <w:szCs w:val="17"/>
              </w:rPr>
              <w:t xml:space="preserve">R</w:t>
            </w:r>
            <w:r>
              <w:rPr>
                <w:rFonts w:ascii="Times New Roman" w:cs="Times New Roman" w:eastAsia="Times New Roman" w:hAnsi="Times New Roman"/>
                <w:sz w:val="17"/>
                <w:szCs w:val="17"/>
              </w:rPr>
              <w:t xml:space="preserve">²</w:t>
            </w:r>
          </w:p>
        </w:tc>
        <w:tc>
          <w:tcPr>
            <w:tcW w:type="dxa" w:w="3791"/>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Computed with a model containing allowance as the null model (not reported in the article)</w:t>
            </w:r>
          </w:p>
        </w:tc>
        <w:tc>
          <w:tcPr>
            <w:tcW w:type="dxa" w:w="3430"/>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Computed with the thresholds-only null model</w:t>
            </w:r>
          </w:p>
        </w:tc>
      </w:tr>
    </w:tbl>
    <w:p>
      <w:pPr>
        <w:pStyle w:val="Heading1"/>
        <w:keepNext/>
        <w:spacing w:after="0" w:before="0" w:line="276"/>
        <w:jc w:val="left"/>
      </w:pPr>
      <w:r>
        <w:rPr>
          <w:rFonts w:ascii="Times New Roman" w:cs="Times New Roman" w:eastAsia="Times New Roman" w:hAnsi="Times New Roman"/>
          <w:sz w:val="22"/>
          <w:szCs w:val="22"/>
        </w:rPr>
        <w:t xml:space="preserve">S14 Variables in Online Resource 2</w:t>
      </w:r>
    </w:p>
    <w:p>
      <w:pPr>
        <w:keepNext/>
        <w:spacing w:after="80" w:before="240" w:line="276"/>
        <w:jc w:val="left"/>
      </w:pPr>
      <w:r>
        <w:rPr>
          <w:rFonts w:ascii="Times New Roman" w:cs="Times New Roman" w:eastAsia="Times New Roman" w:hAnsi="Times New Roman"/>
          <w:b/>
          <w:bCs/>
          <w:sz w:val="22"/>
          <w:szCs w:val="22"/>
        </w:rPr>
        <w:t xml:space="preserve">Table S14 </w:t>
      </w:r>
      <w:r>
        <w:rPr>
          <w:rFonts w:ascii="Times New Roman" w:cs="Times New Roman" w:eastAsia="Times New Roman" w:hAnsi="Times New Roman"/>
          <w:sz w:val="22"/>
          <w:szCs w:val="22"/>
        </w:rPr>
        <w:t xml:space="preserve">Variables in Online Resource 2</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05"/>
        <w:gridCol w:w="7221"/>
      </w:tblGrid>
      <w:tr>
        <w:trPr>
          <w:cantSplit/>
          <w:tblHeader/>
        </w:trPr>
        <w:tc>
          <w:tcPr>
            <w:tcW w:type="dxa" w:w="1805"/>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Variable</w:t>
            </w:r>
          </w:p>
        </w:tc>
        <w:tc>
          <w:tcPr>
            <w:tcW w:type="dxa" w:w="7221"/>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b/>
                <w:bCs/>
                <w:sz w:val="17"/>
                <w:szCs w:val="17"/>
              </w:rPr>
              <w:t xml:space="preserve">Content</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row_id</w:t>
            </w:r>
          </w:p>
        </w:tc>
        <w:tc>
          <w:tcPr>
            <w:tcW w:type="dxa" w:w="722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Spreadsheet row of the record in the original export (header = row 1)</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export_part</w:t>
            </w:r>
          </w:p>
        </w:tc>
        <w:tc>
          <w:tcPr>
            <w:tcW w:type="dxa" w:w="722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Part of the export: 1 = before the block of empty rows, 2 = after it</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n_copies</w:t>
            </w:r>
          </w:p>
        </w:tc>
        <w:tc>
          <w:tcPr>
            <w:tcW w:type="dxa" w:w="722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Number of identical records of this response in the export (1 = no duplicate)</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invariant</w:t>
            </w:r>
          </w:p>
        </w:tc>
        <w:tc>
          <w:tcPr>
            <w:tcW w:type="dxa" w:w="722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1 = identical answer to all 82 statements (excluded from the analytic sample)</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near_invariant</w:t>
            </w:r>
          </w:p>
        </w:tc>
        <w:tc>
          <w:tcPr>
            <w:tcW w:type="dxa" w:w="722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1 = one response option used for at least 90% of the statements (retained; sensitivity analyses)</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st</w:t>
            </w:r>
          </w:p>
        </w:tc>
        <w:tc>
          <w:tcPr>
            <w:tcW w:type="dxa" w:w="722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Relationship status: Never, Stable, Troubled, Ended</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female</w:t>
            </w:r>
          </w:p>
        </w:tc>
        <w:tc>
          <w:tcPr>
            <w:tcW w:type="dxa" w:w="722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1 = woman, 0 = man</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year_n</w:t>
            </w:r>
          </w:p>
        </w:tc>
        <w:tc>
          <w:tcPr>
            <w:tcW w:type="dxa" w:w="722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Year of study (1–4)</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facg</w:t>
            </w:r>
          </w:p>
        </w:tc>
        <w:tc>
          <w:tcPr>
            <w:tcW w:type="dxa" w:w="722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Faculty group (Table S2b)</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allow</w:t>
            </w:r>
          </w:p>
        </w:tc>
        <w:tc>
          <w:tcPr>
            <w:tcW w:type="dxa" w:w="722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Daily allowance category (1–4)</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employed</w:t>
            </w:r>
          </w:p>
        </w:tc>
        <w:tc>
          <w:tcPr>
            <w:tcW w:type="dxa" w:w="722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1 = working alongside study</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housing_g</w:t>
            </w:r>
          </w:p>
        </w:tc>
        <w:tc>
          <w:tcPr>
            <w:tcW w:type="dxa" w:w="722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Housing: Local, Private (non-local), Dormitory</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rural</w:t>
            </w:r>
          </w:p>
        </w:tc>
        <w:tc>
          <w:tcPr>
            <w:tcW w:type="dxa" w:w="722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1 = rural residence</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gpa_o</w:t>
            </w:r>
          </w:p>
        </w:tc>
        <w:tc>
          <w:tcPr>
            <w:tcW w:type="dxa" w:w="722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Self-reported cumulative grade category (1 = weak to 5 = excellent; missing if not reported)</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dur_reported</w:t>
            </w:r>
          </w:p>
        </w:tc>
        <w:tc>
          <w:tcPr>
            <w:tcW w:type="dxa" w:w="722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Reported duration of the current or most recent relationship (1 = &lt; 6 months, 2 = 6–12 months, 3 = 1–2 years, 4 = &gt; 2 years), as answered by every respondent</w:t>
            </w:r>
          </w:p>
        </w:tc>
      </w:tr>
      <w:tr>
        <w:trPr>
          <w:cantSplit/>
          <w:tblHeader w:val="off"/>
        </w:trPr>
        <w:tc>
          <w:tcPr>
            <w:tcW w:type="dxa" w:w="1805"/>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discordant</w:t>
            </w:r>
          </w:p>
        </w:tc>
        <w:tc>
          <w:tcPr>
            <w:tcW w:type="dxa" w:w="7221"/>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1 = reported never having been in a relationship and a duration of six months or more</w:t>
            </w:r>
          </w:p>
        </w:tc>
      </w:tr>
      <w:tr>
        <w:trPr>
          <w:cantSplit/>
          <w:tblHeader w:val="off"/>
        </w:trPr>
        <w:tc>
          <w:tcPr>
            <w:tcW w:type="dxa" w:w="1805"/>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RQ1–SS10</w:t>
            </w:r>
          </w:p>
        </w:tc>
        <w:tc>
          <w:tcPr>
            <w:tcW w:type="dxa" w:w="7221"/>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rFonts w:ascii="Times New Roman" w:cs="Times New Roman" w:eastAsia="Times New Roman" w:hAnsi="Times New Roman"/>
                <w:sz w:val="17"/>
                <w:szCs w:val="17"/>
              </w:rPr>
              <w:t xml:space="preserve">Responses to the 82 statements (1 = strongly disagree to 5 = strongly agree), in the order of Table S2</w:t>
            </w:r>
          </w:p>
        </w:tc>
      </w:tr>
    </w:tbl>
    <w:p>
      <w:pPr>
        <w:spacing w:after="200" w:before="60" w:line="240"/>
        <w:jc w:val="left"/>
      </w:pPr>
      <w:r>
        <w:rPr>
          <w:rFonts w:ascii="Times New Roman" w:cs="Times New Roman" w:eastAsia="Times New Roman" w:hAnsi="Times New Roman"/>
          <w:i/>
          <w:iCs/>
          <w:sz w:val="17"/>
          <w:szCs w:val="17"/>
        </w:rPr>
        <w:t xml:space="preserve">Note.</w:t>
      </w:r>
      <w:r>
        <w:rPr>
          <w:rFonts w:ascii="Times New Roman" w:cs="Times New Roman" w:eastAsia="Times New Roman" w:hAnsi="Times New Roman"/>
          <w:sz w:val="17"/>
          <w:szCs w:val="17"/>
        </w:rPr>
        <w:t xml:space="preserve"> The file has one row per unique response (268 rows). The analytic sample comprises the rows with invariant = 0 (260 rows); the code rebuilds the duplicated records from n_copies for the robustness analysis that retains them.</w:t>
      </w:r>
    </w:p>
    <w:p>
      <w:pPr>
        <w:pStyle w:val="Heading1"/>
        <w:keepNext/>
        <w:spacing w:after="0" w:before="0" w:line="276"/>
        <w:jc w:val="left"/>
      </w:pPr>
      <w:r>
        <w:rPr>
          <w:sz w:val="22"/>
          <w:szCs w:val="22"/>
        </w:rPr>
        <w:t xml:space="preserve">S15 Literature search for the research-gap statement</w:t>
      </w:r>
    </w:p>
    <w:p>
      <w:pPr>
        <w:spacing w:after="120" w:before="0" w:line="276"/>
        <w:jc w:val="left"/>
      </w:pPr>
      <w:r>
        <w:rPr>
          <w:sz w:val="22"/>
          <w:szCs w:val="22"/>
        </w:rPr>
        <w:t xml:space="preserve">A targeted search was run on 26 October 2026 to check the statement that few studies have examined university students’ romantic relationships in relation to both academic functioning and psychological well-being where premarital intimacy is socially regulated. It was not a systematic review. Sources were (a) Crossref, with 20 queries combining relationship terms (romantic relationship, dating, love, premarital, emotional or heterosexual relationships, break-up) with academic performance or achievement, life satisfaction, well-being or mental health, university students, and Egypt, Saudi Arabia, Jordan, Iran, Turkey, Pakistan, Malaysia, Indonesia, Arab, Middle East or Muslim; the 40 highest-ranked records per query gave 618 unique records, and the 76 whose titles contained both a relationship term (romantic, dating, love, premarital, heterosexual, opposite-sex, break-up) and a student term (student, undergraduate, college) were screened; (b) Europe PMC, with three Boolean queries for 2000–2026 combining relationship terms and students with academic outcomes, with countries of the Middle East and North Africa and other Muslim-majority countries, or with well-being outcomes (1,063, 1,328 and 694 hits; the first 100 of each screened); and (c) web searches in English and Arabic, which retrieved records from the Egyptian Knowledge Bank journal platform, Shamaa, e-Marefa, Dar Al Mandumah and Algerian university repositories. Scopus, Web of Science and Google Scholar could not be queried from the environment used, and OpenAlex returned rate-limit errors. Studies were eligible if they were peer-reviewed empirical studies of university students’ romantic or opposite-sex relationships with academic outcomes (grades, achievement, engagement, attendance or persistence) or well-being outcomes (well-being, life satisfaction or distress), conducted in Egypt, the Middle East and North Africa or other settings where premarital intimacy is socially regulated, in English or Arabic with a stable record. Table S15 lists the studies located that concern students’ romantic relationships in such settings.</w:t>
      </w:r>
    </w:p>
    <w:p>
      <w:pPr>
        <w:keepNext/>
        <w:spacing w:after="80" w:before="240" w:line="276"/>
        <w:jc w:val="left"/>
      </w:pPr>
      <w:r>
        <w:rPr>
          <w:b/>
          <w:bCs/>
          <w:sz w:val="22"/>
          <w:szCs w:val="22"/>
        </w:rPr>
        <w:t xml:space="preserve">Table S15 </w:t>
      </w:r>
      <w:r>
        <w:rPr>
          <w:sz w:val="22"/>
          <w:szCs w:val="22"/>
        </w:rPr>
        <w:t xml:space="preserve">Studies located in the targeted search</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1700"/>
        <w:gridCol w:w="2026"/>
        <w:gridCol w:w="1300"/>
        <w:gridCol w:w="1300"/>
      </w:tblGrid>
      <w:tr>
        <w:trPr>
          <w:cantSplit/>
          <w:tblHeader/>
        </w:trPr>
        <w:tc>
          <w:tcPr>
            <w:tcW w:type="dxa" w:w="2700"/>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b/>
                <w:bCs/>
                <w:sz w:val="17"/>
                <w:szCs w:val="17"/>
              </w:rPr>
              <w:t xml:space="preserve">Study</w:t>
            </w:r>
          </w:p>
        </w:tc>
        <w:tc>
          <w:tcPr>
            <w:tcW w:type="dxa" w:w="1700"/>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b/>
                <w:bCs/>
                <w:sz w:val="17"/>
                <w:szCs w:val="17"/>
              </w:rPr>
              <w:t xml:space="preserve">Setting and sample</w:t>
            </w:r>
          </w:p>
        </w:tc>
        <w:tc>
          <w:tcPr>
            <w:tcW w:type="dxa" w:w="2026"/>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b/>
                <w:bCs/>
                <w:sz w:val="17"/>
                <w:szCs w:val="17"/>
              </w:rPr>
              <w:t xml:space="preserve">Focus</w:t>
            </w:r>
          </w:p>
        </w:tc>
        <w:tc>
          <w:tcPr>
            <w:tcW w:type="dxa" w:w="1300"/>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b/>
                <w:bCs/>
                <w:sz w:val="17"/>
                <w:szCs w:val="17"/>
              </w:rPr>
              <w:t xml:space="preserve">Record checked</w:t>
            </w:r>
          </w:p>
        </w:tc>
        <w:tc>
          <w:tcPr>
            <w:tcW w:type="dxa" w:w="1300"/>
            <w:gridSpan w:val="1"/>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b/>
                <w:bCs/>
                <w:sz w:val="17"/>
                <w:szCs w:val="17"/>
              </w:rPr>
              <w:t xml:space="preserve">Use in the article</w:t>
            </w:r>
          </w:p>
        </w:tc>
      </w:tr>
      <w:tr>
        <w:trPr>
          <w:cantSplit/>
          <w:tblHeader w:val="off"/>
        </w:trPr>
        <w:tc>
          <w:tcPr>
            <w:tcW w:type="dxa" w:w="2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Khalajabadi Farahani &amp; Cleland (2015), </w:t>
            </w:r>
            <w:r>
              <w:rPr>
                <w:i/>
                <w:iCs/>
                <w:sz w:val="17"/>
                <w:szCs w:val="17"/>
              </w:rPr>
              <w:t xml:space="preserve">Culture, Health &amp; Sexuality, 17</w:t>
            </w:r>
            <w:r>
              <w:rPr>
                <w:sz w:val="17"/>
                <w:szCs w:val="17"/>
              </w:rPr>
              <w:t xml:space="preserve">(6), 700–717, https://doi.org/10.1080/13691058.2014.990515</w:t>
            </w:r>
          </w:p>
        </w:tc>
        <w:tc>
          <w:tcPr>
            <w:tcW w:type="dxa" w:w="1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Tehran, Iran; 1,743 female college students</w:t>
            </w:r>
          </w:p>
        </w:tc>
        <w:tc>
          <w:tcPr>
            <w:tcW w:type="dxa" w:w="20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Perceived norms of premarital heterosexual relationships and sexuality</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Crossref; abstract</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Cited: regional research centred on norms</w:t>
            </w:r>
          </w:p>
        </w:tc>
      </w:tr>
      <w:tr>
        <w:trPr>
          <w:cantSplit/>
          <w:tblHeader w:val="off"/>
        </w:trPr>
        <w:tc>
          <w:tcPr>
            <w:tcW w:type="dxa" w:w="2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Nazzal, Cruz &amp; Neto (2021), </w:t>
            </w:r>
            <w:r>
              <w:rPr>
                <w:i/>
                <w:iCs/>
                <w:sz w:val="17"/>
                <w:szCs w:val="17"/>
              </w:rPr>
              <w:t xml:space="preserve">Interpersona, 15</w:t>
            </w:r>
            <w:r>
              <w:rPr>
                <w:sz w:val="17"/>
                <w:szCs w:val="17"/>
              </w:rPr>
              <w:t xml:space="preserve">(1), 55–71, https://doi.org/10.5964/ijpr.5637</w:t>
            </w:r>
          </w:p>
        </w:tc>
        <w:tc>
          <w:tcPr>
            <w:tcW w:type="dxa" w:w="1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Palestine; 500 university students</w:t>
            </w:r>
          </w:p>
        </w:tc>
        <w:tc>
          <w:tcPr>
            <w:tcW w:type="dxa" w:w="20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Love attitudes and satisfaction with love life in relation to loneliness</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Crossref; abstract</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Cited: single outcome (loneliness)</w:t>
            </w:r>
          </w:p>
        </w:tc>
      </w:tr>
      <w:tr>
        <w:trPr>
          <w:cantSplit/>
          <w:tblHeader w:val="off"/>
        </w:trPr>
        <w:tc>
          <w:tcPr>
            <w:tcW w:type="dxa" w:w="2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Batool, Ahsan &amp; Sohail (2024), </w:t>
            </w:r>
            <w:r>
              <w:rPr>
                <w:i/>
                <w:iCs/>
                <w:sz w:val="17"/>
                <w:szCs w:val="17"/>
              </w:rPr>
              <w:t xml:space="preserve">Journal of Professional &amp; Applied Psychology, 5</w:t>
            </w:r>
            <w:r>
              <w:rPr>
                <w:sz w:val="17"/>
                <w:szCs w:val="17"/>
              </w:rPr>
              <w:t xml:space="preserve">(2), 304–314, https://doi.org/10.52053/jpap.v5i2.274</w:t>
            </w:r>
          </w:p>
        </w:tc>
        <w:tc>
          <w:tcPr>
            <w:tcW w:type="dxa" w:w="1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Pakistan (authors in Islamabad; site not stated); 300 university students</w:t>
            </w:r>
          </w:p>
        </w:tc>
        <w:tc>
          <w:tcPr>
            <w:tcW w:type="dxa" w:w="20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Relationship satisfaction as moderator of the link between achievement motivation and academic performance</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Crossref; abstract; article page</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Cited: single outcome (academic performance)</w:t>
            </w:r>
          </w:p>
        </w:tc>
      </w:tr>
      <w:tr>
        <w:trPr>
          <w:cantSplit/>
          <w:tblHeader w:val="off"/>
        </w:trPr>
        <w:tc>
          <w:tcPr>
            <w:tcW w:type="dxa" w:w="2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Khalajabadi Farahani, Cleland &amp; Mehryar (2011), </w:t>
            </w:r>
            <w:r>
              <w:rPr>
                <w:i/>
                <w:iCs/>
                <w:sz w:val="17"/>
                <w:szCs w:val="17"/>
              </w:rPr>
              <w:t xml:space="preserve">International Perspectives on Sexual and Reproductive Health, 37</w:t>
            </w:r>
            <w:r>
              <w:rPr>
                <w:sz w:val="17"/>
                <w:szCs w:val="17"/>
              </w:rPr>
              <w:t xml:space="preserve">(1), 30–39, https://doi.org/10.1363/3703011</w:t>
            </w:r>
          </w:p>
        </w:tc>
        <w:tc>
          <w:tcPr>
            <w:tcW w:type="dxa" w:w="1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Tehran, Iran; female college students</w:t>
            </w:r>
          </w:p>
        </w:tc>
        <w:tc>
          <w:tcPr>
            <w:tcW w:type="dxa" w:w="20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Family factors and premarital heterosexual relationships</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Crossref record</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Not cited: no academic or well-being outcome</w:t>
            </w:r>
          </w:p>
        </w:tc>
      </w:tr>
      <w:tr>
        <w:trPr>
          <w:cantSplit/>
          <w:tblHeader w:val="off"/>
        </w:trPr>
        <w:tc>
          <w:tcPr>
            <w:tcW w:type="dxa" w:w="2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Demirtaş &amp; Tezer (2012), </w:t>
            </w:r>
            <w:r>
              <w:rPr>
                <w:i/>
                <w:iCs/>
                <w:sz w:val="17"/>
                <w:szCs w:val="17"/>
              </w:rPr>
              <w:t xml:space="preserve">Procedia – Social and Behavioral Sciences, 46</w:t>
            </w:r>
            <w:r>
              <w:rPr>
                <w:sz w:val="17"/>
                <w:szCs w:val="17"/>
              </w:rPr>
              <w:t xml:space="preserve">, 2542–2549, https://doi.org/10.1016/j.sbspro.2012.05.519</w:t>
            </w:r>
          </w:p>
        </w:tc>
        <w:tc>
          <w:tcPr>
            <w:tcW w:type="dxa" w:w="1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Turkey (authors’ university); 391 senior university students</w:t>
            </w:r>
          </w:p>
        </w:tc>
        <w:tc>
          <w:tcPr>
            <w:tcW w:type="dxa" w:w="20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Relationship satisfaction and commitment to career choices in relation to subjective well-being</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Crossref; abstract (university repository)</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Not cited: well-being outcome only</w:t>
            </w:r>
          </w:p>
        </w:tc>
      </w:tr>
      <w:tr>
        <w:trPr>
          <w:cantSplit/>
          <w:tblHeader w:val="off"/>
        </w:trPr>
        <w:tc>
          <w:tcPr>
            <w:tcW w:type="dxa" w:w="2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Habibpour Gatabi, Ghaderi &amp; Amiri (2019), </w:t>
            </w:r>
            <w:r>
              <w:rPr>
                <w:i/>
                <w:iCs/>
                <w:sz w:val="17"/>
                <w:szCs w:val="17"/>
              </w:rPr>
              <w:t xml:space="preserve">Social Welfare, 19</w:t>
            </w:r>
            <w:r>
              <w:rPr>
                <w:sz w:val="17"/>
                <w:szCs w:val="17"/>
              </w:rPr>
              <w:t xml:space="preserve">(72), 195–242, https://doi.org/10.29252/refahj.19.72.195</w:t>
            </w:r>
          </w:p>
        </w:tc>
        <w:tc>
          <w:tcPr>
            <w:tcW w:type="dxa" w:w="1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Iran; students of Kharazmi University</w:t>
            </w:r>
          </w:p>
        </w:tc>
        <w:tc>
          <w:tcPr>
            <w:tcW w:type="dxa" w:w="20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Contexts and consequences of friendship with the opposite sex (phenomenological study)</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Crossref record (title only)</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Not cited: content not checked</w:t>
            </w:r>
          </w:p>
        </w:tc>
      </w:tr>
      <w:tr>
        <w:trPr>
          <w:cantSplit/>
          <w:tblHeader w:val="off"/>
        </w:trPr>
        <w:tc>
          <w:tcPr>
            <w:tcW w:type="dxa" w:w="2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Darwish &amp; Al-Farraji (2019), </w:t>
            </w:r>
            <w:r>
              <w:rPr>
                <w:i/>
                <w:iCs/>
                <w:sz w:val="17"/>
                <w:szCs w:val="17"/>
              </w:rPr>
              <w:t xml:space="preserve">Zarqa Journal for Research and Studies in Humanities, 19</w:t>
            </w:r>
            <w:r>
              <w:rPr>
                <w:sz w:val="17"/>
                <w:szCs w:val="17"/>
              </w:rPr>
              <w:t xml:space="preserve">(2), 180–194 (in Arabic)</w:t>
            </w:r>
          </w:p>
        </w:tc>
        <w:tc>
          <w:tcPr>
            <w:tcW w:type="dxa" w:w="1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Jordan; 400 students of Yarmouk University</w:t>
            </w:r>
          </w:p>
        </w:tc>
        <w:tc>
          <w:tcPr>
            <w:tcW w:type="dxa" w:w="20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Internet use and evaluation of online emotional relationships</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e-Marefa record and abstract</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Not cited: no academic or well-being outcome</w:t>
            </w:r>
          </w:p>
        </w:tc>
      </w:tr>
      <w:tr>
        <w:trPr>
          <w:cantSplit/>
          <w:tblHeader w:val="off"/>
        </w:trPr>
        <w:tc>
          <w:tcPr>
            <w:tcW w:type="dxa" w:w="2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Lemoufek (n.d.), </w:t>
            </w:r>
            <w:r>
              <w:rPr>
                <w:i/>
                <w:iCs/>
                <w:sz w:val="17"/>
                <w:szCs w:val="17"/>
              </w:rPr>
              <w:t xml:space="preserve">Journal of Human Sciences, University of Oum El Bouaghi</w:t>
            </w:r>
            <w:r>
              <w:rPr>
                <w:sz w:val="17"/>
                <w:szCs w:val="17"/>
              </w:rPr>
              <w:t xml:space="preserve">, issue 9 (in Arabic)</w:t>
            </w:r>
          </w:p>
        </w:tc>
        <w:tc>
          <w:tcPr>
            <w:tcW w:type="dxa" w:w="1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Algeria; 140 unmarried students of the University of Batna</w:t>
            </w:r>
          </w:p>
        </w:tc>
        <w:tc>
          <w:tcPr>
            <w:tcW w:type="dxa" w:w="20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Prevalence and goals of romantic relationships outside marriage</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Full text (year of publication not legible in the copy accessed)</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Not cited: no academic or well-being outcome</w:t>
            </w:r>
          </w:p>
        </w:tc>
      </w:tr>
      <w:tr>
        <w:trPr>
          <w:cantSplit/>
          <w:tblHeader w:val="off"/>
        </w:trPr>
        <w:tc>
          <w:tcPr>
            <w:tcW w:type="dxa" w:w="2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Aref (2025), </w:t>
            </w:r>
            <w:r>
              <w:rPr>
                <w:i/>
                <w:iCs/>
                <w:sz w:val="17"/>
                <w:szCs w:val="17"/>
              </w:rPr>
              <w:t xml:space="preserve">Psychological Counseling Journal, 83</w:t>
            </w:r>
            <w:r>
              <w:rPr>
                <w:sz w:val="17"/>
                <w:szCs w:val="17"/>
              </w:rPr>
              <w:t xml:space="preserve">(3), 361–405, https://doi.org/10.21608/cpc.2025.444274 (in Arabic)</w:t>
            </w:r>
          </w:p>
        </w:tc>
        <w:tc>
          <w:tcPr>
            <w:tcW w:type="dxa" w:w="1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Egypt; one female technical secondary-school student</w:t>
            </w:r>
          </w:p>
        </w:tc>
        <w:tc>
          <w:tcPr>
            <w:tcW w:type="dxa" w:w="20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Clinical implications of a romantic relationship (case study)</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Crossref; abstract</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Not cited: not a university student; single case</w:t>
            </w:r>
          </w:p>
        </w:tc>
      </w:tr>
      <w:tr>
        <w:trPr>
          <w:cantSplit/>
          <w:tblHeader w:val="off"/>
        </w:trPr>
        <w:tc>
          <w:tcPr>
            <w:tcW w:type="dxa" w:w="2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Maadour (2022), master’s thesis, Kasdi Merbah University Ouargla (in Arabic)</w:t>
            </w:r>
          </w:p>
        </w:tc>
        <w:tc>
          <w:tcPr>
            <w:tcW w:type="dxa" w:w="17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Algeria; 60 female master’s students in sociology</w:t>
            </w:r>
          </w:p>
        </w:tc>
        <w:tc>
          <w:tcPr>
            <w:tcW w:type="dxa" w:w="2026"/>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Perceptions of online emotional relationships, including perceived effects on study</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Repository record and abstract</w:t>
            </w:r>
          </w:p>
        </w:tc>
        <w:tc>
          <w:tcPr>
            <w:tcW w:type="dxa" w:w="1300"/>
            <w:gridSpan w:val="1"/>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Excluded: not peer-reviewed</w:t>
            </w:r>
          </w:p>
        </w:tc>
      </w:tr>
      <w:tr>
        <w:trPr>
          <w:cantSplit/>
          <w:tblHeader w:val="off"/>
        </w:trPr>
        <w:tc>
          <w:tcPr>
            <w:tcW w:type="dxa" w:w="2700"/>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Bin Qasum (2018), master’s thesis, University of El Oued (in Arabic)</w:t>
            </w:r>
          </w:p>
        </w:tc>
        <w:tc>
          <w:tcPr>
            <w:tcW w:type="dxa" w:w="1700"/>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Algeria; 160 university students</w:t>
            </w:r>
          </w:p>
        </w:tc>
        <w:tc>
          <w:tcPr>
            <w:tcW w:type="dxa" w:w="2026"/>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Attitudes towards online emotional relationships in relation to academic achievement and ambition</w:t>
            </w:r>
          </w:p>
        </w:tc>
        <w:tc>
          <w:tcPr>
            <w:tcW w:type="dxa" w:w="1300"/>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Repository record and abstract</w:t>
            </w:r>
          </w:p>
        </w:tc>
        <w:tc>
          <w:tcPr>
            <w:tcW w:type="dxa" w:w="1300"/>
            <w:gridSpan w:val="1"/>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20" w:before="20" w:line="240"/>
              <w:jc w:val="left"/>
            </w:pPr>
            <w:r>
              <w:rPr>
                <w:sz w:val="17"/>
                <w:szCs w:val="17"/>
              </w:rPr>
              <w:t xml:space="preserve">Excluded: not peer-reviewed</w:t>
            </w:r>
          </w:p>
        </w:tc>
      </w:tr>
    </w:tbl>
    <w:p>
      <w:pPr>
        <w:spacing w:after="200" w:before="60" w:line="240"/>
        <w:jc w:val="left"/>
      </w:pPr>
      <w:r>
        <w:rPr>
          <w:i/>
          <w:iCs/>
          <w:sz w:val="17"/>
          <w:szCs w:val="17"/>
        </w:rPr>
        <w:t xml:space="preserve">Note.</w:t>
      </w:r>
      <w:r>
        <w:rPr>
          <w:sz w:val="17"/>
          <w:szCs w:val="17"/>
        </w:rPr>
        <w:t xml:space="preserve"> Studies cited in the article are in its reference list; the others are identified here. No peer-reviewed Egyptian study of university students’ romantic relationships with academic or well-being outcomes was found: the one Egyptian study of a romantic relationship located concerned a secondary-school student, and the other Egyptian studies of students that were retrieved addressed topics such as premarital counselling and screening or mental health without reference to romantic relationships. Two Arabic-language DOIs listed in an earlier reference audit are not registered (Table S11b). The article therefore states that few studies have examined both outcome domains in such settings and that the search found no Egyptian study of university students’ romantic relationships that examined academic functioning or psychological well-being; it does not claim that none exists.</w:t>
      </w:r>
    </w:p>
    <w:p>
      <w:pPr>
        <w:pStyle w:val="Heading1"/>
        <w:keepNext/>
        <w:spacing w:after="0" w:before="0" w:line="276"/>
        <w:jc w:val="left"/>
      </w:pPr>
      <w:r>
        <w:rPr>
          <w:rFonts w:ascii="Times New Roman" w:cs="Times New Roman" w:eastAsia="Times New Roman" w:hAnsi="Times New Roman"/>
          <w:sz w:val="22"/>
          <w:szCs w:val="22"/>
        </w:rPr>
        <w:t xml:space="preserve">References</w:t>
      </w:r>
    </w:p>
    <w:p>
      <w:pPr>
        <w:spacing w:after="60" w:before="0" w:line="276"/>
        <w:ind w:left="567" w:hanging="567"/>
        <w:jc w:val="left"/>
      </w:pPr>
      <w:r>
        <w:rPr>
          <w:rFonts w:ascii="Times New Roman" w:cs="Times New Roman" w:eastAsia="Times New Roman" w:hAnsi="Times New Roman"/>
          <w:sz w:val="22"/>
          <w:szCs w:val="22"/>
        </w:rPr>
        <w:t xml:space="preserve">American Association for Public Opinion Research. (2023). </w:t>
      </w:r>
      <w:r>
        <w:rPr>
          <w:rFonts w:ascii="Times New Roman" w:cs="Times New Roman" w:eastAsia="Times New Roman" w:hAnsi="Times New Roman"/>
          <w:i/>
          <w:iCs/>
          <w:sz w:val="22"/>
          <w:szCs w:val="22"/>
        </w:rPr>
        <w:t xml:space="preserve">Standard definitions: Final dispositions of case codes and outcome rates for surveys</w:t>
      </w:r>
      <w:r>
        <w:rPr>
          <w:rFonts w:ascii="Times New Roman" w:cs="Times New Roman" w:eastAsia="Times New Roman" w:hAnsi="Times New Roman"/>
          <w:sz w:val="22"/>
          <w:szCs w:val="22"/>
        </w:rPr>
        <w:t xml:space="preserve"> (10th ed.). https://aapor.org/wp-content/uploads/2023/05/Standards-Definitions-10th-edition.pdf</w:t>
      </w:r>
    </w:p>
    <w:p>
      <w:pPr>
        <w:spacing w:after="60" w:before="0" w:line="276"/>
        <w:ind w:left="567" w:hanging="567"/>
        <w:jc w:val="left"/>
      </w:pPr>
      <w:r>
        <w:rPr>
          <w:rFonts w:ascii="Times New Roman" w:cs="Times New Roman" w:eastAsia="Times New Roman" w:hAnsi="Times New Roman"/>
          <w:sz w:val="22"/>
          <w:szCs w:val="22"/>
        </w:rPr>
        <w:t xml:space="preserve">Braun, V., &amp; Clarke, V. (2006). Using thematic analysis in psychology. </w:t>
      </w:r>
      <w:r>
        <w:rPr>
          <w:rFonts w:ascii="Times New Roman" w:cs="Times New Roman" w:eastAsia="Times New Roman" w:hAnsi="Times New Roman"/>
          <w:i/>
          <w:iCs/>
          <w:sz w:val="22"/>
          <w:szCs w:val="22"/>
        </w:rPr>
        <w:t xml:space="preserve">Qualitative Research in Psychology, 3</w:t>
      </w:r>
      <w:r>
        <w:rPr>
          <w:rFonts w:ascii="Times New Roman" w:cs="Times New Roman" w:eastAsia="Times New Roman" w:hAnsi="Times New Roman"/>
          <w:sz w:val="22"/>
          <w:szCs w:val="22"/>
        </w:rPr>
        <w:t xml:space="preserve">(2), 77–101. https://doi.org/10.1191/1478088706qp063oa</w:t>
      </w:r>
    </w:p>
    <w:p>
      <w:pPr>
        <w:spacing w:after="60" w:before="0" w:line="276"/>
        <w:ind w:left="567" w:hanging="567"/>
        <w:jc w:val="left"/>
      </w:pPr>
      <w:r>
        <w:rPr>
          <w:rFonts w:ascii="Times New Roman" w:cs="Times New Roman" w:eastAsia="Times New Roman" w:hAnsi="Times New Roman"/>
          <w:sz w:val="22"/>
          <w:szCs w:val="22"/>
        </w:rPr>
        <w:t xml:space="preserve">Braun, V., &amp; Clarke, V. (2021). To saturate or not to saturate? Questioning data saturation as a useful concept for thematic analysis and sample-size rationales. </w:t>
      </w:r>
      <w:r>
        <w:rPr>
          <w:rFonts w:ascii="Times New Roman" w:cs="Times New Roman" w:eastAsia="Times New Roman" w:hAnsi="Times New Roman"/>
          <w:i/>
          <w:iCs/>
          <w:sz w:val="22"/>
          <w:szCs w:val="22"/>
        </w:rPr>
        <w:t xml:space="preserve">Qualitative Research in Sport, Exercise and Health, 13</w:t>
      </w:r>
      <w:r>
        <w:rPr>
          <w:rFonts w:ascii="Times New Roman" w:cs="Times New Roman" w:eastAsia="Times New Roman" w:hAnsi="Times New Roman"/>
          <w:sz w:val="22"/>
          <w:szCs w:val="22"/>
        </w:rPr>
        <w:t xml:space="preserve">(2), 201–216. https://doi.org/10.1080/2159676X.2019.1704846</w:t>
      </w:r>
    </w:p>
    <w:p>
      <w:pPr>
        <w:spacing w:after="60" w:before="0" w:line="276"/>
        <w:ind w:left="567" w:hanging="567"/>
        <w:jc w:val="left"/>
      </w:pPr>
      <w:r>
        <w:rPr>
          <w:rFonts w:ascii="Times New Roman" w:cs="Times New Roman" w:eastAsia="Times New Roman" w:hAnsi="Times New Roman"/>
          <w:sz w:val="22"/>
          <w:szCs w:val="22"/>
        </w:rPr>
        <w:t xml:space="preserve">Dunn, T. J., Baguley, T., &amp; Brunsden, V. (2014). From alpha to omega: A practical solution to the pervasive problem of internal consistency estimation. </w:t>
      </w:r>
      <w:r>
        <w:rPr>
          <w:rFonts w:ascii="Times New Roman" w:cs="Times New Roman" w:eastAsia="Times New Roman" w:hAnsi="Times New Roman"/>
          <w:i/>
          <w:iCs/>
          <w:sz w:val="22"/>
          <w:szCs w:val="22"/>
        </w:rPr>
        <w:t xml:space="preserve">British Journal of Psychology, 105</w:t>
      </w:r>
      <w:r>
        <w:rPr>
          <w:rFonts w:ascii="Times New Roman" w:cs="Times New Roman" w:eastAsia="Times New Roman" w:hAnsi="Times New Roman"/>
          <w:sz w:val="22"/>
          <w:szCs w:val="22"/>
        </w:rPr>
        <w:t xml:space="preserve">(3), 399–412. https://doi.org/10.1111/bjop.12046</w:t>
      </w:r>
    </w:p>
    <w:p>
      <w:pPr>
        <w:spacing w:after="60" w:before="0" w:line="276"/>
        <w:ind w:left="567" w:hanging="567"/>
        <w:jc w:val="left"/>
      </w:pPr>
      <w:r>
        <w:rPr>
          <w:rFonts w:ascii="Times New Roman" w:cs="Times New Roman" w:eastAsia="Times New Roman" w:hAnsi="Times New Roman"/>
          <w:sz w:val="22"/>
          <w:szCs w:val="22"/>
        </w:rPr>
        <w:t xml:space="preserve">Forero, C. G., Maydeu-Olivares, A., &amp; Gallardo-Pujol, D. (2009). Factor analysis with ordinal indicators: A Monte Carlo study comparing DWLS and ULS estimation. </w:t>
      </w:r>
      <w:r>
        <w:rPr>
          <w:rFonts w:ascii="Times New Roman" w:cs="Times New Roman" w:eastAsia="Times New Roman" w:hAnsi="Times New Roman"/>
          <w:i/>
          <w:iCs/>
          <w:sz w:val="22"/>
          <w:szCs w:val="22"/>
        </w:rPr>
        <w:t xml:space="preserve">Structural Equation Modeling: A Multidisciplinary Journal, 16</w:t>
      </w:r>
      <w:r>
        <w:rPr>
          <w:rFonts w:ascii="Times New Roman" w:cs="Times New Roman" w:eastAsia="Times New Roman" w:hAnsi="Times New Roman"/>
          <w:sz w:val="22"/>
          <w:szCs w:val="22"/>
        </w:rPr>
        <w:t xml:space="preserve">(4), 625–641. https://doi.org/10.1080/10705510903203573</w:t>
      </w:r>
    </w:p>
    <w:p>
      <w:pPr>
        <w:spacing w:after="60" w:before="0" w:line="276"/>
        <w:ind w:left="567" w:hanging="567"/>
        <w:jc w:val="left"/>
      </w:pPr>
      <w:r>
        <w:rPr>
          <w:rFonts w:ascii="Times New Roman" w:cs="Times New Roman" w:eastAsia="Times New Roman" w:hAnsi="Times New Roman"/>
          <w:sz w:val="22"/>
          <w:szCs w:val="22"/>
        </w:rPr>
        <w:t xml:space="preserve">Henseler, J., Ringle, C. M., &amp; Sarstedt, M. (2015). A new criterion for assessing discriminant validity in variance-based structural equation modeling. </w:t>
      </w:r>
      <w:r>
        <w:rPr>
          <w:rFonts w:ascii="Times New Roman" w:cs="Times New Roman" w:eastAsia="Times New Roman" w:hAnsi="Times New Roman"/>
          <w:i/>
          <w:iCs/>
          <w:sz w:val="22"/>
          <w:szCs w:val="22"/>
        </w:rPr>
        <w:t xml:space="preserve">Journal of the Academy of Marketing Science, 43</w:t>
      </w:r>
      <w:r>
        <w:rPr>
          <w:rFonts w:ascii="Times New Roman" w:cs="Times New Roman" w:eastAsia="Times New Roman" w:hAnsi="Times New Roman"/>
          <w:sz w:val="22"/>
          <w:szCs w:val="22"/>
        </w:rPr>
        <w:t xml:space="preserve">(1), 115–135. https://doi.org/10.1007/s11747-014-0403-8</w:t>
      </w:r>
    </w:p>
    <w:p>
      <w:pPr>
        <w:spacing w:after="60" w:before="0" w:line="276"/>
        <w:ind w:left="567" w:hanging="567"/>
        <w:jc w:val="left"/>
      </w:pPr>
      <w:r>
        <w:rPr>
          <w:rFonts w:ascii="Times New Roman" w:cs="Times New Roman" w:eastAsia="Times New Roman" w:hAnsi="Times New Roman"/>
          <w:sz w:val="22"/>
          <w:szCs w:val="22"/>
        </w:rPr>
        <w:t xml:space="preserve">Horn, J. L. (1965). A rationale and test for the number of factors in factor analysis. </w:t>
      </w:r>
      <w:r>
        <w:rPr>
          <w:rFonts w:ascii="Times New Roman" w:cs="Times New Roman" w:eastAsia="Times New Roman" w:hAnsi="Times New Roman"/>
          <w:i/>
          <w:iCs/>
          <w:sz w:val="22"/>
          <w:szCs w:val="22"/>
        </w:rPr>
        <w:t xml:space="preserve">Psychometrika, 30</w:t>
      </w:r>
      <w:r>
        <w:rPr>
          <w:rFonts w:ascii="Times New Roman" w:cs="Times New Roman" w:eastAsia="Times New Roman" w:hAnsi="Times New Roman"/>
          <w:sz w:val="22"/>
          <w:szCs w:val="22"/>
        </w:rPr>
        <w:t xml:space="preserve">(2), 179–185. https://doi.org/10.1007/BF02289447</w:t>
      </w:r>
    </w:p>
    <w:p>
      <w:pPr>
        <w:spacing w:after="60" w:before="0" w:line="276"/>
        <w:ind w:left="567" w:hanging="567"/>
        <w:jc w:val="left"/>
      </w:pPr>
      <w:r>
        <w:rPr>
          <w:rFonts w:ascii="Times New Roman" w:cs="Times New Roman" w:eastAsia="Times New Roman" w:hAnsi="Times New Roman"/>
          <w:sz w:val="22"/>
          <w:szCs w:val="22"/>
        </w:rPr>
        <w:t xml:space="preserve">Lakens, D. (2022). Sample size justification. </w:t>
      </w:r>
      <w:r>
        <w:rPr>
          <w:rFonts w:ascii="Times New Roman" w:cs="Times New Roman" w:eastAsia="Times New Roman" w:hAnsi="Times New Roman"/>
          <w:i/>
          <w:iCs/>
          <w:sz w:val="22"/>
          <w:szCs w:val="22"/>
        </w:rPr>
        <w:t xml:space="preserve">Collabra: Psychology, 8</w:t>
      </w:r>
      <w:r>
        <w:rPr>
          <w:rFonts w:ascii="Times New Roman" w:cs="Times New Roman" w:eastAsia="Times New Roman" w:hAnsi="Times New Roman"/>
          <w:sz w:val="22"/>
          <w:szCs w:val="22"/>
        </w:rPr>
        <w:t xml:space="preserve">(1), Article 33267. https://doi.org/10.1525/collabra.33267</w:t>
      </w:r>
    </w:p>
    <w:p>
      <w:pPr>
        <w:spacing w:after="60" w:before="0" w:line="276"/>
        <w:ind w:left="567" w:hanging="567"/>
        <w:jc w:val="left"/>
      </w:pPr>
      <w:r>
        <w:rPr>
          <w:rFonts w:ascii="Times New Roman" w:cs="Times New Roman" w:eastAsia="Times New Roman" w:hAnsi="Times New Roman"/>
          <w:sz w:val="22"/>
          <w:szCs w:val="22"/>
        </w:rPr>
        <w:t xml:space="preserve">Malterud, K., Siersma, V. D., &amp; Guassora, A. D. (2016). Sample size in qualitative interview studies: Guided by information power. </w:t>
      </w:r>
      <w:r>
        <w:rPr>
          <w:rFonts w:ascii="Times New Roman" w:cs="Times New Roman" w:eastAsia="Times New Roman" w:hAnsi="Times New Roman"/>
          <w:i/>
          <w:iCs/>
          <w:sz w:val="22"/>
          <w:szCs w:val="22"/>
        </w:rPr>
        <w:t xml:space="preserve">Qualitative Health Research, 26</w:t>
      </w:r>
      <w:r>
        <w:rPr>
          <w:rFonts w:ascii="Times New Roman" w:cs="Times New Roman" w:eastAsia="Times New Roman" w:hAnsi="Times New Roman"/>
          <w:sz w:val="22"/>
          <w:szCs w:val="22"/>
        </w:rPr>
        <w:t xml:space="preserve">(13), 1753–1760. https://doi.org/10.1177/1049732315617444</w:t>
      </w:r>
    </w:p>
    <w:p>
      <w:pPr>
        <w:spacing w:after="60" w:before="0" w:line="276"/>
        <w:ind w:left="567" w:hanging="567"/>
        <w:jc w:val="left"/>
      </w:pPr>
      <w:r>
        <w:rPr>
          <w:rFonts w:ascii="Times New Roman" w:cs="Times New Roman" w:eastAsia="Times New Roman" w:hAnsi="Times New Roman"/>
          <w:sz w:val="22"/>
          <w:szCs w:val="22"/>
        </w:rPr>
        <w:t xml:space="preserve">O’Cathain, A., Murphy, E., &amp; Nicholl, J. (2008). The quality of mixed methods studies in health services research. </w:t>
      </w:r>
      <w:r>
        <w:rPr>
          <w:rFonts w:ascii="Times New Roman" w:cs="Times New Roman" w:eastAsia="Times New Roman" w:hAnsi="Times New Roman"/>
          <w:i/>
          <w:iCs/>
          <w:sz w:val="22"/>
          <w:szCs w:val="22"/>
        </w:rPr>
        <w:t xml:space="preserve">Journal of Health Services Research &amp; Policy, 13</w:t>
      </w:r>
      <w:r>
        <w:rPr>
          <w:rFonts w:ascii="Times New Roman" w:cs="Times New Roman" w:eastAsia="Times New Roman" w:hAnsi="Times New Roman"/>
          <w:sz w:val="22"/>
          <w:szCs w:val="22"/>
        </w:rPr>
        <w:t xml:space="preserve">(2), 92–98. https://doi.org/10.1258/jhsrp.2007.007074</w:t>
      </w:r>
    </w:p>
    <w:p>
      <w:pPr>
        <w:spacing w:after="60" w:before="0" w:line="276"/>
        <w:ind w:left="567" w:hanging="567"/>
        <w:jc w:val="left"/>
      </w:pPr>
      <w:r>
        <w:rPr>
          <w:rFonts w:ascii="Times New Roman" w:cs="Times New Roman" w:eastAsia="Times New Roman" w:hAnsi="Times New Roman"/>
          <w:sz w:val="22"/>
          <w:szCs w:val="22"/>
        </w:rPr>
        <w:t xml:space="preserve">Olsson, U. (1979). Maximum likelihood estimation of the polychoric correlation coefficient. </w:t>
      </w:r>
      <w:r>
        <w:rPr>
          <w:rFonts w:ascii="Times New Roman" w:cs="Times New Roman" w:eastAsia="Times New Roman" w:hAnsi="Times New Roman"/>
          <w:i/>
          <w:iCs/>
          <w:sz w:val="22"/>
          <w:szCs w:val="22"/>
        </w:rPr>
        <w:t xml:space="preserve">Psychometrika, 44</w:t>
      </w:r>
      <w:r>
        <w:rPr>
          <w:rFonts w:ascii="Times New Roman" w:cs="Times New Roman" w:eastAsia="Times New Roman" w:hAnsi="Times New Roman"/>
          <w:sz w:val="22"/>
          <w:szCs w:val="22"/>
        </w:rPr>
        <w:t xml:space="preserve">(4), 443–460. https://doi.org/10.1007/BF02296207</w:t>
      </w:r>
    </w:p>
    <w:p>
      <w:pPr>
        <w:spacing w:after="60" w:before="0" w:line="276"/>
        <w:ind w:left="567" w:hanging="567"/>
        <w:jc w:val="left"/>
      </w:pPr>
      <w:r>
        <w:rPr>
          <w:rFonts w:ascii="Times New Roman" w:cs="Times New Roman" w:eastAsia="Times New Roman" w:hAnsi="Times New Roman"/>
          <w:sz w:val="22"/>
          <w:szCs w:val="22"/>
        </w:rPr>
        <w:t xml:space="preserve">Rhemtulla, M., Brosseau-Liard, P. É., &amp; Savalei, V. (2012). When can categorical variables be treated as continuous? A comparison of robust continuous and categorical SEM estimation methods under suboptimal conditions. </w:t>
      </w:r>
      <w:r>
        <w:rPr>
          <w:rFonts w:ascii="Times New Roman" w:cs="Times New Roman" w:eastAsia="Times New Roman" w:hAnsi="Times New Roman"/>
          <w:i/>
          <w:iCs/>
          <w:sz w:val="22"/>
          <w:szCs w:val="22"/>
        </w:rPr>
        <w:t xml:space="preserve">Psychological Methods, 17</w:t>
      </w:r>
      <w:r>
        <w:rPr>
          <w:rFonts w:ascii="Times New Roman" w:cs="Times New Roman" w:eastAsia="Times New Roman" w:hAnsi="Times New Roman"/>
          <w:sz w:val="22"/>
          <w:szCs w:val="22"/>
        </w:rPr>
        <w:t xml:space="preserve">(3), 354–373. https://doi.org/10.1037/a0029315</w:t>
      </w:r>
    </w:p>
    <w:p>
      <w:pPr>
        <w:spacing w:after="60" w:before="0" w:line="276"/>
        <w:ind w:left="567" w:hanging="567"/>
        <w:jc w:val="left"/>
      </w:pPr>
      <w:r>
        <w:rPr>
          <w:rFonts w:ascii="Times New Roman" w:cs="Times New Roman" w:eastAsia="Times New Roman" w:hAnsi="Times New Roman"/>
          <w:sz w:val="22"/>
          <w:szCs w:val="22"/>
        </w:rPr>
        <w:t xml:space="preserve">Squires, A. (2009). Methodological challenges in cross-language qualitative research: A research review. </w:t>
      </w:r>
      <w:r>
        <w:rPr>
          <w:rFonts w:ascii="Times New Roman" w:cs="Times New Roman" w:eastAsia="Times New Roman" w:hAnsi="Times New Roman"/>
          <w:i/>
          <w:iCs/>
          <w:sz w:val="22"/>
          <w:szCs w:val="22"/>
        </w:rPr>
        <w:t xml:space="preserve">International Journal of Nursing Studies, 46</w:t>
      </w:r>
      <w:r>
        <w:rPr>
          <w:rFonts w:ascii="Times New Roman" w:cs="Times New Roman" w:eastAsia="Times New Roman" w:hAnsi="Times New Roman"/>
          <w:sz w:val="22"/>
          <w:szCs w:val="22"/>
        </w:rPr>
        <w:t xml:space="preserve">(2), 277–287. https://doi.org/10.1016/j.ijnurstu.2008.08.006</w:t>
      </w:r>
    </w:p>
    <w:p>
      <w:pPr>
        <w:spacing w:after="60" w:before="0" w:line="276"/>
        <w:ind w:left="567" w:hanging="567"/>
        <w:jc w:val="left"/>
      </w:pPr>
      <w:r>
        <w:rPr>
          <w:rFonts w:ascii="Times New Roman" w:cs="Times New Roman" w:eastAsia="Times New Roman" w:hAnsi="Times New Roman"/>
          <w:sz w:val="22"/>
          <w:szCs w:val="22"/>
        </w:rPr>
        <w:t xml:space="preserve">Tong, A., Sainsbury, P., &amp; Craig, J. (2007). Consolidated criteria for reporting qualitative research (COREQ): A 32-item checklist for interviews and focus groups. </w:t>
      </w:r>
      <w:r>
        <w:rPr>
          <w:rFonts w:ascii="Times New Roman" w:cs="Times New Roman" w:eastAsia="Times New Roman" w:hAnsi="Times New Roman"/>
          <w:i/>
          <w:iCs/>
          <w:sz w:val="22"/>
          <w:szCs w:val="22"/>
        </w:rPr>
        <w:t xml:space="preserve">International Journal for Quality in Health Care, 19</w:t>
      </w:r>
      <w:r>
        <w:rPr>
          <w:rFonts w:ascii="Times New Roman" w:cs="Times New Roman" w:eastAsia="Times New Roman" w:hAnsi="Times New Roman"/>
          <w:sz w:val="22"/>
          <w:szCs w:val="22"/>
        </w:rPr>
        <w:t xml:space="preserve">(6), 349–357. https://doi.org/10.1093/intqhc/mzm042</w:t>
      </w:r>
    </w:p>
    <w:p>
      <w:pPr>
        <w:spacing w:after="60" w:before="0" w:line="276"/>
        <w:ind w:left="567" w:hanging="567"/>
        <w:jc w:val="left"/>
      </w:pPr>
      <w:r>
        <w:rPr>
          <w:rFonts w:ascii="Times New Roman" w:cs="Times New Roman" w:eastAsia="Times New Roman" w:hAnsi="Times New Roman"/>
          <w:sz w:val="22"/>
          <w:szCs w:val="22"/>
        </w:rPr>
        <w:t xml:space="preserve">Zumbo, B. D., Gadermann, A. M., &amp; Zeisser, C. (2007). Ordinal versions of coefficients alpha and theta for Likert rating scales. </w:t>
      </w:r>
      <w:r>
        <w:rPr>
          <w:rFonts w:ascii="Times New Roman" w:cs="Times New Roman" w:eastAsia="Times New Roman" w:hAnsi="Times New Roman"/>
          <w:i/>
          <w:iCs/>
          <w:sz w:val="22"/>
          <w:szCs w:val="22"/>
        </w:rPr>
        <w:t xml:space="preserve">Journal of Modern Applied Statistical Methods, 6</w:t>
      </w:r>
      <w:r>
        <w:rPr>
          <w:rFonts w:ascii="Times New Roman" w:cs="Times New Roman" w:eastAsia="Times New Roman" w:hAnsi="Times New Roman"/>
          <w:sz w:val="22"/>
          <w:szCs w:val="22"/>
        </w:rPr>
        <w:t xml:space="preserve">(1), 21–29. https://doi.org/10.22237/jmasm/1177992180</w:t>
      </w:r>
    </w:p>
    <w:sectPr>
      <w:footerReference w:type="default" r:id="rId10"/>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uppressLineNumbers/>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uppressLineNumbers/>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uppressLineNumbers/>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uppressLineNumbers/>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uppressLineNumbers/>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line="276"/>
      <w:outlineLvl w:val="0"/>
    </w:pPr>
    <w:rPr>
      <w:rFonts w:ascii="Times New Roman" w:cs="Times New Roman" w:eastAsia="Times New Roman" w:hAnsi="Times New Roman"/>
      <w:b/>
      <w:bCs/>
      <w:sz w:val="22"/>
      <w:szCs w:val="22"/>
    </w:rPr>
  </w:style>
  <w:style w:type="paragraph" w:styleId="Heading2">
    <w:name w:val="Heading 2"/>
    <w:basedOn w:val="Normal"/>
    <w:next w:val="Normal"/>
    <w:qFormat/>
    <w:pPr>
      <w:spacing w:after="60" w:before="180" w:line="276"/>
      <w:outlineLvl w:val="1"/>
    </w:pPr>
    <w:rPr>
      <w:rFonts w:ascii="Times New Roman" w:cs="Times New Roman" w:eastAsia="Times New Roman" w:hAnsi="Times New Roman"/>
      <w:b/>
      <w:bCs/>
      <w:i/>
      <w:iCs/>
      <w:sz w:val="22"/>
      <w:szCs w:val="22"/>
    </w:rPr>
  </w:style>
  <w:style w:type="paragraph" w:styleId="Heading3">
    <w:name w:val="Heading 3"/>
    <w:basedOn w:val="Normal"/>
    <w:next w:val="Normal"/>
    <w:qFormat/>
    <w:pPr>
      <w:spacing w:after="60" w:before="120" w:line="276"/>
      <w:outlineLvl w:val="2"/>
    </w:pPr>
    <w:rPr>
      <w:rFonts w:ascii="Times New Roman" w:cs="Times New Roman" w:eastAsia="Times New Roman" w:hAnsi="Times New Roman"/>
      <w:i/>
      <w:iCs/>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Resource 1</dc:title>
  <dc:description>Supplementary material (Online Resource 1), anonymised for double-anonymous review</dc:description>
  <cp:lastModifiedBy/>
  <cp:revision>1</cp:revision>
  <dcterms:created xsi:type="dcterms:W3CDTF">2026-10-25T20:23:25.557Z</dcterms:created>
  <dcterms:modified xsi:type="dcterms:W3CDTF">2026-10-25T20:23:25.557Z</dcterms:modified>
  <dc:creator/>
  <dc:subject/>
  <cp:keywords/>
</cp:coreProperties>
</file>

<file path=docProps/custom.xml><?xml version="1.0" encoding="utf-8"?>
<Properties xmlns="http://schemas.openxmlformats.org/officeDocument/2006/custom-properties" xmlns:vt="http://schemas.openxmlformats.org/officeDocument/2006/docPropsVTypes"/>
</file>