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27C4AD" w14:textId="77777777" w:rsidR="00A0545B" w:rsidRPr="00A0545B" w:rsidRDefault="00A0545B" w:rsidP="00A0545B">
      <w:pPr>
        <w:pStyle w:val="Heading1"/>
        <w:rPr>
          <w:rFonts w:ascii="Arial" w:hAnsi="Arial" w:cs="Arial"/>
          <w:b/>
          <w:bCs/>
          <w:color w:val="auto"/>
          <w:sz w:val="24"/>
          <w:szCs w:val="24"/>
        </w:rPr>
      </w:pPr>
      <w:r w:rsidRPr="00A0545B">
        <w:rPr>
          <w:rFonts w:ascii="Arial" w:hAnsi="Arial" w:cs="Arial"/>
          <w:b/>
          <w:bCs/>
          <w:color w:val="auto"/>
          <w:sz w:val="24"/>
          <w:szCs w:val="24"/>
        </w:rPr>
        <w:t>Supplementary figures</w:t>
      </w:r>
    </w:p>
    <w:p w14:paraId="63B10939" w14:textId="77777777" w:rsidR="00A0545B" w:rsidRDefault="00A0545B" w:rsidP="00A0545B">
      <w:r>
        <w:rPr>
          <w:noProof/>
        </w:rPr>
        <w:drawing>
          <wp:inline distT="114300" distB="114300" distL="114300" distR="114300" wp14:anchorId="40754C5E" wp14:editId="6EFF8E02">
            <wp:extent cx="6027150" cy="2705100"/>
            <wp:effectExtent l="0" t="0" r="0" b="0"/>
            <wp:docPr id="1794961250"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4"/>
                    <a:srcRect/>
                    <a:stretch>
                      <a:fillRect/>
                    </a:stretch>
                  </pic:blipFill>
                  <pic:spPr>
                    <a:xfrm>
                      <a:off x="0" y="0"/>
                      <a:ext cx="6027150" cy="2705100"/>
                    </a:xfrm>
                    <a:prstGeom prst="rect">
                      <a:avLst/>
                    </a:prstGeom>
                    <a:ln/>
                  </pic:spPr>
                </pic:pic>
              </a:graphicData>
            </a:graphic>
          </wp:inline>
        </w:drawing>
      </w:r>
    </w:p>
    <w:p w14:paraId="19BBAA99" w14:textId="77777777" w:rsidR="00A0545B" w:rsidRDefault="00A0545B" w:rsidP="00A0545B">
      <w:pPr>
        <w:spacing w:before="240" w:after="240"/>
        <w:jc w:val="both"/>
      </w:pPr>
      <w:r>
        <w:rPr>
          <w:rFonts w:ascii="Arial" w:eastAsia="Arial" w:hAnsi="Arial" w:cs="Arial"/>
          <w:b/>
          <w:bCs/>
        </w:rPr>
        <w:t xml:space="preserve">Fig. S1: Physical and </w:t>
      </w:r>
      <w:proofErr w:type="spellStart"/>
      <w:r>
        <w:rPr>
          <w:rFonts w:ascii="Arial" w:eastAsia="Arial" w:hAnsi="Arial" w:cs="Arial"/>
          <w:b/>
          <w:bCs/>
        </w:rPr>
        <w:t>hydrochemical</w:t>
      </w:r>
      <w:proofErr w:type="spellEnd"/>
      <w:r>
        <w:rPr>
          <w:rFonts w:ascii="Arial" w:eastAsia="Arial" w:hAnsi="Arial" w:cs="Arial"/>
          <w:b/>
          <w:bCs/>
        </w:rPr>
        <w:t xml:space="preserve"> conditions along the sampled transect. </w:t>
      </w:r>
      <w:r>
        <w:rPr>
          <w:rFonts w:ascii="Arial" w:eastAsia="Arial" w:hAnsi="Arial" w:cs="Arial"/>
        </w:rPr>
        <w:t>(a) Practical salinity and fraction of river water, (b) temperature and fraction of sea-ice melt, (c), concentration of dissolved organic carbon (DOC), and (d) phosphate (PO</w:t>
      </w:r>
      <w:r>
        <w:rPr>
          <w:rFonts w:ascii="Arial" w:eastAsia="Arial" w:hAnsi="Arial" w:cs="Arial"/>
          <w:vertAlign w:val="subscript"/>
        </w:rPr>
        <w:t>4</w:t>
      </w:r>
      <w:r>
        <w:rPr>
          <w:rFonts w:ascii="Arial" w:eastAsia="Arial" w:hAnsi="Arial" w:cs="Arial"/>
        </w:rPr>
        <w:t>). The large black circles in panel (a) indicate locations where samples for microbial metabarcoding analysis were collected, the deeper sample is from the deep chlorophyll maxima (DCM) and thus indicates at what depth the DCM was located at a station.</w:t>
      </w:r>
      <w:r>
        <w:rPr>
          <w:rFonts w:ascii="Arial" w:eastAsia="Arial" w:hAnsi="Arial" w:cs="Arial"/>
          <w:b/>
          <w:bCs/>
        </w:rPr>
        <w:t xml:space="preserve"> </w:t>
      </w:r>
      <w:r>
        <w:rPr>
          <w:rFonts w:ascii="Arial" w:eastAsia="Arial" w:hAnsi="Arial" w:cs="Arial"/>
        </w:rPr>
        <w:t xml:space="preserve">The vertical dashed lines in (a) delineate the four hydrographic regimes TPD, GR, </w:t>
      </w:r>
      <w:proofErr w:type="spellStart"/>
      <w:r>
        <w:rPr>
          <w:rFonts w:ascii="Arial" w:eastAsia="Arial" w:hAnsi="Arial" w:cs="Arial"/>
        </w:rPr>
        <w:t>iNB</w:t>
      </w:r>
      <w:proofErr w:type="spellEnd"/>
      <w:r>
        <w:rPr>
          <w:rFonts w:ascii="Arial" w:eastAsia="Arial" w:hAnsi="Arial" w:cs="Arial"/>
        </w:rPr>
        <w:t xml:space="preserve"> and AW-IF (see Fig. 1 and text). The blue triangle in (a) indicates the location of the vertex along the transect in Fig. 1. Figure created with Ocean Data View (Schlitzer, 2025).</w:t>
      </w:r>
    </w:p>
    <w:p w14:paraId="4F8C6FB8" w14:textId="77777777" w:rsidR="00A0545B" w:rsidRDefault="00A0545B" w:rsidP="00A0545B">
      <w:pPr>
        <w:jc w:val="center"/>
        <w:rPr>
          <w:b/>
          <w:bCs/>
        </w:rPr>
      </w:pPr>
    </w:p>
    <w:p w14:paraId="59A6D244" w14:textId="77777777" w:rsidR="00A0545B" w:rsidRDefault="00A0545B" w:rsidP="00A0545B">
      <w:pPr>
        <w:spacing w:before="240" w:after="240"/>
        <w:jc w:val="center"/>
        <w:rPr>
          <w:rFonts w:ascii="Arial" w:eastAsia="Arial" w:hAnsi="Arial" w:cs="Arial"/>
          <w:b/>
          <w:bCs/>
        </w:rPr>
      </w:pPr>
    </w:p>
    <w:p w14:paraId="6FDD4E2C" w14:textId="77777777" w:rsidR="00A0545B" w:rsidRDefault="00A0545B" w:rsidP="00A0545B">
      <w:pPr>
        <w:spacing w:before="240" w:after="240"/>
        <w:rPr>
          <w:rFonts w:ascii="Arial" w:eastAsia="Arial" w:hAnsi="Arial" w:cs="Arial"/>
          <w:b/>
          <w:bCs/>
        </w:rPr>
      </w:pPr>
    </w:p>
    <w:p w14:paraId="180CD52A" w14:textId="77777777" w:rsidR="00A0545B" w:rsidRDefault="00A0545B" w:rsidP="00A0545B">
      <w:pPr>
        <w:spacing w:before="240" w:after="240"/>
        <w:jc w:val="center"/>
        <w:rPr>
          <w:rFonts w:ascii="Arial" w:eastAsia="Arial" w:hAnsi="Arial" w:cs="Arial"/>
          <w:b/>
          <w:bCs/>
        </w:rPr>
      </w:pPr>
      <w:r>
        <w:rPr>
          <w:rFonts w:ascii="Arial" w:eastAsia="Arial" w:hAnsi="Arial" w:cs="Arial"/>
          <w:b/>
          <w:bCs/>
          <w:noProof/>
        </w:rPr>
        <w:lastRenderedPageBreak/>
        <w:drawing>
          <wp:inline distT="114300" distB="114300" distL="114300" distR="114300" wp14:anchorId="5CF7D717" wp14:editId="2B036AA5">
            <wp:extent cx="4465780" cy="4973736"/>
            <wp:effectExtent l="0" t="0" r="0" b="0"/>
            <wp:docPr id="1794961264"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5"/>
                    <a:srcRect/>
                    <a:stretch>
                      <a:fillRect/>
                    </a:stretch>
                  </pic:blipFill>
                  <pic:spPr>
                    <a:xfrm>
                      <a:off x="0" y="0"/>
                      <a:ext cx="4465780" cy="4973736"/>
                    </a:xfrm>
                    <a:prstGeom prst="rect">
                      <a:avLst/>
                    </a:prstGeom>
                    <a:ln/>
                  </pic:spPr>
                </pic:pic>
              </a:graphicData>
            </a:graphic>
          </wp:inline>
        </w:drawing>
      </w:r>
    </w:p>
    <w:p w14:paraId="3F5A6461" w14:textId="77777777" w:rsidR="00A0545B" w:rsidRDefault="00A0545B" w:rsidP="00A0545B">
      <w:pPr>
        <w:spacing w:before="240" w:after="240"/>
      </w:pPr>
      <w:r>
        <w:rPr>
          <w:rFonts w:ascii="Arial" w:eastAsia="Arial" w:hAnsi="Arial" w:cs="Arial"/>
          <w:b/>
          <w:bCs/>
        </w:rPr>
        <w:t xml:space="preserve">Fig. S2: Abundance of nano-phytoplankton along the transect. </w:t>
      </w:r>
      <w:r>
        <w:rPr>
          <w:rFonts w:ascii="Arial" w:eastAsia="Arial" w:hAnsi="Arial" w:cs="Arial"/>
        </w:rPr>
        <w:t>Abundance of (a) small and (b) large nano-</w:t>
      </w:r>
      <w:proofErr w:type="spellStart"/>
      <w:r>
        <w:rPr>
          <w:rFonts w:ascii="Arial" w:eastAsia="Arial" w:hAnsi="Arial" w:cs="Arial"/>
        </w:rPr>
        <w:t>phytplankton</w:t>
      </w:r>
      <w:proofErr w:type="spellEnd"/>
      <w:r>
        <w:rPr>
          <w:rFonts w:ascii="Arial" w:eastAsia="Arial" w:hAnsi="Arial" w:cs="Arial"/>
        </w:rPr>
        <w:t xml:space="preserve"> (distinct populations separated based on FCM side scatter signal). White vertical lines delineate the four hydrographic regimes TPD, GR, </w:t>
      </w:r>
      <w:proofErr w:type="spellStart"/>
      <w:r>
        <w:rPr>
          <w:rFonts w:ascii="Arial" w:eastAsia="Arial" w:hAnsi="Arial" w:cs="Arial"/>
        </w:rPr>
        <w:t>iNB</w:t>
      </w:r>
      <w:proofErr w:type="spellEnd"/>
      <w:r>
        <w:rPr>
          <w:rFonts w:ascii="Arial" w:eastAsia="Arial" w:hAnsi="Arial" w:cs="Arial"/>
        </w:rPr>
        <w:t xml:space="preserve"> and AW-IF (see Fig. 1 and text). Contour plots were made using inverse distance for data smoothing. The grey bar at 0-meter indicates ice cover. </w:t>
      </w:r>
    </w:p>
    <w:p w14:paraId="09C9B8F4" w14:textId="77777777" w:rsidR="00A0545B" w:rsidRDefault="00A0545B" w:rsidP="00A0545B">
      <w:pPr>
        <w:jc w:val="center"/>
        <w:rPr>
          <w:b/>
          <w:bCs/>
        </w:rPr>
      </w:pPr>
    </w:p>
    <w:p w14:paraId="1AC928B5" w14:textId="77777777" w:rsidR="00A0545B" w:rsidRDefault="00A0545B" w:rsidP="00A0545B">
      <w:pPr>
        <w:rPr>
          <w:b/>
          <w:bCs/>
        </w:rPr>
      </w:pPr>
    </w:p>
    <w:p w14:paraId="322B66D8" w14:textId="77777777" w:rsidR="00A0545B" w:rsidRDefault="00A0545B" w:rsidP="00A0545B">
      <w:pPr>
        <w:rPr>
          <w:b/>
          <w:bCs/>
        </w:rPr>
      </w:pPr>
    </w:p>
    <w:p w14:paraId="4615440F" w14:textId="77777777" w:rsidR="00A0545B" w:rsidRDefault="00A0545B" w:rsidP="00A0545B">
      <w:pPr>
        <w:rPr>
          <w:b/>
          <w:bCs/>
        </w:rPr>
      </w:pPr>
    </w:p>
    <w:p w14:paraId="38E0DA40" w14:textId="77777777" w:rsidR="00A0545B" w:rsidRDefault="00A0545B" w:rsidP="00A0545B">
      <w:pPr>
        <w:rPr>
          <w:b/>
          <w:bCs/>
        </w:rPr>
      </w:pPr>
    </w:p>
    <w:p w14:paraId="2521AB2F" w14:textId="77777777" w:rsidR="00A0545B" w:rsidRDefault="00A0545B" w:rsidP="00A0545B">
      <w:pPr>
        <w:rPr>
          <w:b/>
          <w:bCs/>
        </w:rPr>
      </w:pPr>
    </w:p>
    <w:p w14:paraId="17B0ED10" w14:textId="77777777" w:rsidR="00A0545B" w:rsidRDefault="00A0545B" w:rsidP="00A0545B">
      <w:pPr>
        <w:rPr>
          <w:b/>
          <w:bCs/>
        </w:rPr>
      </w:pPr>
    </w:p>
    <w:p w14:paraId="7983411F" w14:textId="77777777" w:rsidR="00A0545B" w:rsidRDefault="00A0545B" w:rsidP="00A0545B">
      <w:pPr>
        <w:rPr>
          <w:b/>
          <w:bCs/>
        </w:rPr>
      </w:pPr>
    </w:p>
    <w:p w14:paraId="3B6638F3" w14:textId="77777777" w:rsidR="00A0545B" w:rsidRDefault="00A0545B" w:rsidP="00A0545B">
      <w:pPr>
        <w:rPr>
          <w:b/>
          <w:bCs/>
        </w:rPr>
      </w:pPr>
    </w:p>
    <w:p w14:paraId="5BA39153" w14:textId="77777777" w:rsidR="00A0545B" w:rsidRDefault="00A0545B" w:rsidP="00A0545B">
      <w:pPr>
        <w:rPr>
          <w:b/>
          <w:bCs/>
        </w:rPr>
      </w:pPr>
    </w:p>
    <w:p w14:paraId="2D0B0F32" w14:textId="77777777" w:rsidR="00A0545B" w:rsidRDefault="00A0545B" w:rsidP="00A0545B">
      <w:pPr>
        <w:rPr>
          <w:b/>
          <w:bCs/>
        </w:rPr>
      </w:pPr>
      <w:r>
        <w:rPr>
          <w:b/>
          <w:bCs/>
          <w:noProof/>
        </w:rPr>
        <w:drawing>
          <wp:inline distT="114300" distB="114300" distL="114300" distR="114300" wp14:anchorId="3D1EF4E3" wp14:editId="67A5841A">
            <wp:extent cx="6027150" cy="3517900"/>
            <wp:effectExtent l="0" t="0" r="0" b="0"/>
            <wp:docPr id="1794961249"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6"/>
                    <a:srcRect/>
                    <a:stretch>
                      <a:fillRect/>
                    </a:stretch>
                  </pic:blipFill>
                  <pic:spPr>
                    <a:xfrm>
                      <a:off x="0" y="0"/>
                      <a:ext cx="6027150" cy="3517900"/>
                    </a:xfrm>
                    <a:prstGeom prst="rect">
                      <a:avLst/>
                    </a:prstGeom>
                    <a:ln/>
                  </pic:spPr>
                </pic:pic>
              </a:graphicData>
            </a:graphic>
          </wp:inline>
        </w:drawing>
      </w:r>
    </w:p>
    <w:p w14:paraId="1C52B62D" w14:textId="77777777" w:rsidR="00A0545B" w:rsidRDefault="00A0545B" w:rsidP="00A0545B">
      <w:pPr>
        <w:jc w:val="center"/>
        <w:rPr>
          <w:b/>
          <w:bCs/>
        </w:rPr>
      </w:pPr>
    </w:p>
    <w:p w14:paraId="2C239AFD" w14:textId="77777777" w:rsidR="00A0545B" w:rsidRDefault="00A0545B" w:rsidP="00A0545B">
      <w:pPr>
        <w:spacing w:before="240" w:after="240" w:line="276" w:lineRule="auto"/>
        <w:jc w:val="both"/>
        <w:rPr>
          <w:b/>
          <w:bCs/>
        </w:rPr>
      </w:pPr>
      <w:r>
        <w:rPr>
          <w:rFonts w:ascii="Arial" w:eastAsia="Arial" w:hAnsi="Arial" w:cs="Arial"/>
          <w:b/>
          <w:bCs/>
        </w:rPr>
        <w:t xml:space="preserve">Fig. S3: </w:t>
      </w:r>
      <w:r>
        <w:rPr>
          <w:rFonts w:ascii="Arial" w:eastAsia="Arial" w:hAnsi="Arial" w:cs="Arial"/>
        </w:rPr>
        <w:t xml:space="preserve"> Prokaryotic community composition showing the relative abundance (%) profiles of </w:t>
      </w:r>
      <w:proofErr w:type="gramStart"/>
      <w:r>
        <w:rPr>
          <w:rFonts w:ascii="Arial" w:eastAsia="Arial" w:hAnsi="Arial" w:cs="Arial"/>
        </w:rPr>
        <w:t>top  20</w:t>
      </w:r>
      <w:proofErr w:type="gramEnd"/>
      <w:r>
        <w:rPr>
          <w:rFonts w:ascii="Arial" w:eastAsia="Arial" w:hAnsi="Arial" w:cs="Arial"/>
        </w:rPr>
        <w:t xml:space="preserve"> prokaryotic Genera among the size fractionated samples across different hydrographic regimes.  (a) 3 Micron fraction and (b) 0.22 Micron fraction. </w:t>
      </w:r>
    </w:p>
    <w:p w14:paraId="6CFDB00D" w14:textId="77777777" w:rsidR="00A0545B" w:rsidRDefault="00A0545B" w:rsidP="00A0545B">
      <w:pPr>
        <w:rPr>
          <w:b/>
          <w:bCs/>
        </w:rPr>
      </w:pPr>
    </w:p>
    <w:p w14:paraId="5B57E240" w14:textId="77777777" w:rsidR="00A0545B" w:rsidRDefault="00A0545B" w:rsidP="00A0545B">
      <w:pPr>
        <w:rPr>
          <w:b/>
          <w:bCs/>
        </w:rPr>
      </w:pPr>
    </w:p>
    <w:p w14:paraId="558F9115" w14:textId="77777777" w:rsidR="00A0545B" w:rsidRDefault="00A0545B" w:rsidP="00A0545B">
      <w:pPr>
        <w:rPr>
          <w:b/>
          <w:bCs/>
        </w:rPr>
      </w:pPr>
    </w:p>
    <w:p w14:paraId="7FBDB8AD" w14:textId="77777777" w:rsidR="00A0545B" w:rsidRDefault="00A0545B" w:rsidP="00A0545B">
      <w:pPr>
        <w:rPr>
          <w:b/>
          <w:bCs/>
        </w:rPr>
      </w:pPr>
    </w:p>
    <w:p w14:paraId="2C62D430" w14:textId="77777777" w:rsidR="00A0545B" w:rsidRDefault="00A0545B" w:rsidP="00A0545B">
      <w:pPr>
        <w:rPr>
          <w:b/>
          <w:bCs/>
        </w:rPr>
      </w:pPr>
    </w:p>
    <w:p w14:paraId="6672FB58" w14:textId="77777777" w:rsidR="00A0545B" w:rsidRDefault="00A0545B" w:rsidP="00A0545B">
      <w:pPr>
        <w:rPr>
          <w:b/>
          <w:bCs/>
        </w:rPr>
      </w:pPr>
    </w:p>
    <w:p w14:paraId="64214ADD" w14:textId="77777777" w:rsidR="00A0545B" w:rsidRDefault="00A0545B" w:rsidP="00A0545B">
      <w:pPr>
        <w:rPr>
          <w:b/>
          <w:bCs/>
        </w:rPr>
      </w:pPr>
      <w:r>
        <w:rPr>
          <w:b/>
          <w:bCs/>
          <w:noProof/>
        </w:rPr>
        <w:lastRenderedPageBreak/>
        <w:drawing>
          <wp:inline distT="114300" distB="114300" distL="114300" distR="114300" wp14:anchorId="53C9B8E7" wp14:editId="7CC75F7D">
            <wp:extent cx="6027150" cy="2235200"/>
            <wp:effectExtent l="0" t="0" r="0" b="0"/>
            <wp:docPr id="179496125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a:stretch>
                      <a:fillRect/>
                    </a:stretch>
                  </pic:blipFill>
                  <pic:spPr>
                    <a:xfrm>
                      <a:off x="0" y="0"/>
                      <a:ext cx="6027150" cy="2235200"/>
                    </a:xfrm>
                    <a:prstGeom prst="rect">
                      <a:avLst/>
                    </a:prstGeom>
                    <a:ln/>
                  </pic:spPr>
                </pic:pic>
              </a:graphicData>
            </a:graphic>
          </wp:inline>
        </w:drawing>
      </w:r>
    </w:p>
    <w:p w14:paraId="6C41EFB3" w14:textId="77777777" w:rsidR="00A0545B" w:rsidRDefault="00A0545B" w:rsidP="00A0545B">
      <w:pPr>
        <w:jc w:val="both"/>
        <w:rPr>
          <w:rFonts w:ascii="Arial" w:eastAsia="Arial" w:hAnsi="Arial" w:cs="Arial"/>
        </w:rPr>
      </w:pPr>
      <w:r>
        <w:rPr>
          <w:rFonts w:ascii="Arial" w:eastAsia="Arial" w:hAnsi="Arial" w:cs="Arial"/>
          <w:b/>
          <w:bCs/>
        </w:rPr>
        <w:t>Fig. S4: Particle-association niche (PAN) index of prokaryotic lineages.</w:t>
      </w:r>
      <w:r>
        <w:rPr>
          <w:rFonts w:ascii="Arial" w:eastAsia="Arial" w:hAnsi="Arial" w:cs="Arial"/>
        </w:rPr>
        <w:t xml:space="preserve"> PAN index distributions for prokaryotic classes (a) and Genera (b) between PA and FL groups. The index quantifies size-fraction preference; values &gt; 0.5 (red bars) indicate enrichment in the particle-attached (PA) fraction, whereas values &lt; 0.5 (blue bars) denote a free-living (FL) association. The vertical dashed line at 0.5 denotes a neutral preference.</w:t>
      </w:r>
    </w:p>
    <w:p w14:paraId="3895AA0D" w14:textId="77777777" w:rsidR="00A0545B" w:rsidRDefault="00A0545B" w:rsidP="00A0545B">
      <w:pPr>
        <w:jc w:val="both"/>
        <w:rPr>
          <w:rFonts w:ascii="Arial" w:eastAsia="Arial" w:hAnsi="Arial" w:cs="Arial"/>
        </w:rPr>
      </w:pPr>
    </w:p>
    <w:p w14:paraId="60A990A8" w14:textId="77777777" w:rsidR="00A0545B" w:rsidRDefault="00A0545B" w:rsidP="00A0545B">
      <w:pPr>
        <w:jc w:val="both"/>
        <w:rPr>
          <w:rFonts w:ascii="Arial" w:eastAsia="Arial" w:hAnsi="Arial" w:cs="Arial"/>
        </w:rPr>
      </w:pPr>
    </w:p>
    <w:p w14:paraId="641F785D" w14:textId="77777777" w:rsidR="00A0545B" w:rsidRDefault="00A0545B" w:rsidP="00A0545B">
      <w:pPr>
        <w:jc w:val="both"/>
        <w:rPr>
          <w:rFonts w:ascii="Arial" w:eastAsia="Arial" w:hAnsi="Arial" w:cs="Arial"/>
        </w:rPr>
      </w:pPr>
    </w:p>
    <w:p w14:paraId="265960E0" w14:textId="77777777" w:rsidR="00A0545B" w:rsidRDefault="00A0545B" w:rsidP="00A0545B">
      <w:pPr>
        <w:jc w:val="both"/>
        <w:rPr>
          <w:rFonts w:ascii="Arial" w:eastAsia="Arial" w:hAnsi="Arial" w:cs="Arial"/>
        </w:rPr>
      </w:pPr>
    </w:p>
    <w:p w14:paraId="4DE64A17" w14:textId="77777777" w:rsidR="00A0545B" w:rsidRDefault="00A0545B" w:rsidP="00A0545B">
      <w:pPr>
        <w:jc w:val="both"/>
        <w:rPr>
          <w:rFonts w:ascii="Arial" w:eastAsia="Arial" w:hAnsi="Arial" w:cs="Arial"/>
        </w:rPr>
      </w:pPr>
    </w:p>
    <w:p w14:paraId="16B53098" w14:textId="77777777" w:rsidR="00A0545B" w:rsidRDefault="00A0545B" w:rsidP="00A0545B">
      <w:pPr>
        <w:rPr>
          <w:b/>
          <w:bCs/>
        </w:rPr>
      </w:pPr>
    </w:p>
    <w:p w14:paraId="401601B3" w14:textId="77777777" w:rsidR="00A0545B" w:rsidRDefault="00A0545B" w:rsidP="00A0545B">
      <w:pPr>
        <w:jc w:val="center"/>
        <w:rPr>
          <w:b/>
          <w:bCs/>
        </w:rPr>
      </w:pPr>
    </w:p>
    <w:p w14:paraId="274BF8A2" w14:textId="77777777" w:rsidR="00A0545B" w:rsidRDefault="00A0545B" w:rsidP="00A0545B">
      <w:pPr>
        <w:jc w:val="center"/>
        <w:rPr>
          <w:b/>
          <w:bCs/>
        </w:rPr>
      </w:pPr>
    </w:p>
    <w:p w14:paraId="288E3911" w14:textId="77777777" w:rsidR="00A0545B" w:rsidRDefault="00A0545B" w:rsidP="00A0545B">
      <w:pPr>
        <w:jc w:val="center"/>
        <w:rPr>
          <w:b/>
          <w:bCs/>
        </w:rPr>
      </w:pPr>
    </w:p>
    <w:p w14:paraId="73300F53" w14:textId="77777777" w:rsidR="00A0545B" w:rsidRDefault="00A0545B" w:rsidP="00A0545B">
      <w:pPr>
        <w:jc w:val="center"/>
        <w:rPr>
          <w:b/>
          <w:bCs/>
        </w:rPr>
      </w:pPr>
    </w:p>
    <w:p w14:paraId="15C8CE4D" w14:textId="77777777" w:rsidR="00A0545B" w:rsidRDefault="00A0545B" w:rsidP="00A0545B">
      <w:pPr>
        <w:jc w:val="center"/>
        <w:rPr>
          <w:b/>
          <w:bCs/>
        </w:rPr>
      </w:pPr>
    </w:p>
    <w:p w14:paraId="539F3038" w14:textId="77777777" w:rsidR="00A0545B" w:rsidRDefault="00A0545B" w:rsidP="00A0545B">
      <w:pPr>
        <w:jc w:val="center"/>
        <w:rPr>
          <w:b/>
          <w:bCs/>
        </w:rPr>
      </w:pPr>
    </w:p>
    <w:p w14:paraId="1D09C2CA" w14:textId="77777777" w:rsidR="00A0545B" w:rsidRDefault="00A0545B" w:rsidP="00A0545B">
      <w:pPr>
        <w:jc w:val="center"/>
        <w:rPr>
          <w:b/>
          <w:bCs/>
        </w:rPr>
      </w:pPr>
    </w:p>
    <w:p w14:paraId="1A828F2F" w14:textId="77777777" w:rsidR="00A0545B" w:rsidRDefault="00A0545B" w:rsidP="00A0545B">
      <w:pPr>
        <w:jc w:val="center"/>
        <w:rPr>
          <w:b/>
          <w:bCs/>
        </w:rPr>
      </w:pPr>
    </w:p>
    <w:p w14:paraId="1DBBC2B6" w14:textId="77777777" w:rsidR="00A0545B" w:rsidRDefault="00A0545B" w:rsidP="00A0545B">
      <w:pPr>
        <w:jc w:val="center"/>
        <w:rPr>
          <w:b/>
          <w:bCs/>
        </w:rPr>
      </w:pPr>
    </w:p>
    <w:p w14:paraId="47298247" w14:textId="77777777" w:rsidR="00A0545B" w:rsidRDefault="00A0545B" w:rsidP="00A0545B">
      <w:pPr>
        <w:jc w:val="center"/>
        <w:rPr>
          <w:b/>
          <w:bCs/>
        </w:rPr>
      </w:pPr>
    </w:p>
    <w:p w14:paraId="1E77C68C" w14:textId="77777777" w:rsidR="00A0545B" w:rsidRDefault="00A0545B" w:rsidP="00A0545B">
      <w:pPr>
        <w:jc w:val="center"/>
        <w:rPr>
          <w:b/>
          <w:bCs/>
        </w:rPr>
      </w:pPr>
    </w:p>
    <w:p w14:paraId="740899C9" w14:textId="77777777" w:rsidR="00A0545B" w:rsidRDefault="00A0545B" w:rsidP="00A0545B">
      <w:pPr>
        <w:jc w:val="center"/>
        <w:rPr>
          <w:b/>
          <w:bCs/>
        </w:rPr>
      </w:pPr>
    </w:p>
    <w:p w14:paraId="0900A551" w14:textId="77777777" w:rsidR="00A0545B" w:rsidRDefault="00A0545B" w:rsidP="00A0545B">
      <w:pPr>
        <w:jc w:val="center"/>
        <w:rPr>
          <w:b/>
          <w:bCs/>
        </w:rPr>
      </w:pPr>
    </w:p>
    <w:p w14:paraId="78D2BA1D" w14:textId="77777777" w:rsidR="00A0545B" w:rsidRDefault="00A0545B" w:rsidP="00A0545B">
      <w:pPr>
        <w:jc w:val="center"/>
        <w:rPr>
          <w:b/>
          <w:bCs/>
        </w:rPr>
      </w:pPr>
      <w:r>
        <w:rPr>
          <w:b/>
          <w:bCs/>
          <w:noProof/>
        </w:rPr>
        <w:lastRenderedPageBreak/>
        <w:drawing>
          <wp:inline distT="114300" distB="114300" distL="114300" distR="114300" wp14:anchorId="07A73BFE" wp14:editId="35B5433C">
            <wp:extent cx="6027150" cy="3873500"/>
            <wp:effectExtent l="0" t="0" r="0" b="0"/>
            <wp:docPr id="1794961248" name="image17.jpg"/>
            <wp:cNvGraphicFramePr/>
            <a:graphic xmlns:a="http://schemas.openxmlformats.org/drawingml/2006/main">
              <a:graphicData uri="http://schemas.openxmlformats.org/drawingml/2006/picture">
                <pic:pic xmlns:pic="http://schemas.openxmlformats.org/drawingml/2006/picture">
                  <pic:nvPicPr>
                    <pic:cNvPr id="0" name="image17.jpg"/>
                    <pic:cNvPicPr preferRelativeResize="0"/>
                  </pic:nvPicPr>
                  <pic:blipFill>
                    <a:blip r:embed="rId8"/>
                    <a:srcRect/>
                    <a:stretch>
                      <a:fillRect/>
                    </a:stretch>
                  </pic:blipFill>
                  <pic:spPr>
                    <a:xfrm>
                      <a:off x="0" y="0"/>
                      <a:ext cx="6027150" cy="3873500"/>
                    </a:xfrm>
                    <a:prstGeom prst="rect">
                      <a:avLst/>
                    </a:prstGeom>
                    <a:ln/>
                  </pic:spPr>
                </pic:pic>
              </a:graphicData>
            </a:graphic>
          </wp:inline>
        </w:drawing>
      </w:r>
    </w:p>
    <w:p w14:paraId="473AD263" w14:textId="77777777" w:rsidR="00A0545B" w:rsidRDefault="00A0545B" w:rsidP="00A0545B">
      <w:pPr>
        <w:jc w:val="both"/>
        <w:rPr>
          <w:b/>
          <w:bCs/>
        </w:rPr>
      </w:pPr>
      <w:r>
        <w:rPr>
          <w:rFonts w:ascii="Arial" w:eastAsia="Arial" w:hAnsi="Arial" w:cs="Arial"/>
          <w:b/>
          <w:bCs/>
        </w:rPr>
        <w:t>Fig. S5:</w:t>
      </w:r>
      <w:r>
        <w:rPr>
          <w:b/>
          <w:bCs/>
        </w:rPr>
        <w:t xml:space="preserve"> </w:t>
      </w:r>
      <w:r>
        <w:rPr>
          <w:rFonts w:ascii="Arial" w:eastAsia="Arial" w:hAnsi="Arial" w:cs="Arial"/>
          <w:b/>
          <w:bCs/>
        </w:rPr>
        <w:t>Particle-association niche (PAN) index of prokaryotic taxon between different hydrographic regimes at class level.</w:t>
      </w:r>
      <w:r>
        <w:rPr>
          <w:rFonts w:ascii="Arial" w:eastAsia="Arial" w:hAnsi="Arial" w:cs="Arial"/>
        </w:rPr>
        <w:t xml:space="preserve"> The index quantifies size-fraction preference; values &gt; 0.5 (red bars) indicate enrichment in the particle-attached (PA) fraction, whereas values &lt; 0.5 (blue bars) denote a free-living (FL) association. The vertical dashed line at 0.5 denotes a neutral preference.</w:t>
      </w:r>
    </w:p>
    <w:p w14:paraId="36A5F083" w14:textId="77777777" w:rsidR="00A0545B" w:rsidRDefault="00A0545B" w:rsidP="00A0545B">
      <w:pPr>
        <w:rPr>
          <w:b/>
          <w:bCs/>
        </w:rPr>
      </w:pPr>
    </w:p>
    <w:p w14:paraId="1708B58C" w14:textId="77777777" w:rsidR="00A0545B" w:rsidRDefault="00A0545B" w:rsidP="00A0545B">
      <w:pPr>
        <w:rPr>
          <w:b/>
          <w:bCs/>
        </w:rPr>
      </w:pPr>
    </w:p>
    <w:p w14:paraId="44297B2D" w14:textId="77777777" w:rsidR="00A0545B" w:rsidRDefault="00A0545B" w:rsidP="00A0545B">
      <w:pPr>
        <w:rPr>
          <w:b/>
          <w:bCs/>
        </w:rPr>
      </w:pPr>
    </w:p>
    <w:p w14:paraId="0667337C" w14:textId="77777777" w:rsidR="00A0545B" w:rsidRDefault="00A0545B" w:rsidP="00A0545B">
      <w:pPr>
        <w:rPr>
          <w:b/>
          <w:bCs/>
        </w:rPr>
      </w:pPr>
      <w:r>
        <w:rPr>
          <w:b/>
          <w:bCs/>
          <w:noProof/>
        </w:rPr>
        <w:lastRenderedPageBreak/>
        <w:drawing>
          <wp:inline distT="114300" distB="114300" distL="114300" distR="114300" wp14:anchorId="05E124F9" wp14:editId="29542592">
            <wp:extent cx="6043613" cy="3523054"/>
            <wp:effectExtent l="0" t="0" r="0" b="0"/>
            <wp:docPr id="1794961255" name="image8.jpg"/>
            <wp:cNvGraphicFramePr/>
            <a:graphic xmlns:a="http://schemas.openxmlformats.org/drawingml/2006/main">
              <a:graphicData uri="http://schemas.openxmlformats.org/drawingml/2006/picture">
                <pic:pic xmlns:pic="http://schemas.openxmlformats.org/drawingml/2006/picture">
                  <pic:nvPicPr>
                    <pic:cNvPr id="0" name="image8.jpg"/>
                    <pic:cNvPicPr preferRelativeResize="0"/>
                  </pic:nvPicPr>
                  <pic:blipFill>
                    <a:blip r:embed="rId9"/>
                    <a:srcRect/>
                    <a:stretch>
                      <a:fillRect/>
                    </a:stretch>
                  </pic:blipFill>
                  <pic:spPr>
                    <a:xfrm>
                      <a:off x="0" y="0"/>
                      <a:ext cx="6043613" cy="3523054"/>
                    </a:xfrm>
                    <a:prstGeom prst="rect">
                      <a:avLst/>
                    </a:prstGeom>
                    <a:ln/>
                  </pic:spPr>
                </pic:pic>
              </a:graphicData>
            </a:graphic>
          </wp:inline>
        </w:drawing>
      </w:r>
    </w:p>
    <w:p w14:paraId="402ED01F" w14:textId="77777777" w:rsidR="00A0545B" w:rsidRDefault="00A0545B" w:rsidP="00A0545B">
      <w:pPr>
        <w:spacing w:before="240" w:after="240" w:line="276" w:lineRule="auto"/>
        <w:jc w:val="both"/>
        <w:rPr>
          <w:b/>
          <w:bCs/>
        </w:rPr>
      </w:pPr>
      <w:r>
        <w:rPr>
          <w:rFonts w:ascii="Arial" w:eastAsia="Arial" w:hAnsi="Arial" w:cs="Arial"/>
          <w:b/>
          <w:bCs/>
        </w:rPr>
        <w:t>Fig. S6:</w:t>
      </w:r>
      <w:r>
        <w:rPr>
          <w:rFonts w:ascii="Arial" w:eastAsia="Arial" w:hAnsi="Arial" w:cs="Arial"/>
        </w:rPr>
        <w:t xml:space="preserve"> Eukaryotic community composition showing the relative abundance (%) profiles of top 20 species among the size fractionated samples across different hydrographic regimes.  (a) </w:t>
      </w:r>
      <w:proofErr w:type="gramStart"/>
      <w:r>
        <w:rPr>
          <w:rFonts w:ascii="Arial" w:eastAsia="Arial" w:hAnsi="Arial" w:cs="Arial"/>
        </w:rPr>
        <w:t>3 micron</w:t>
      </w:r>
      <w:proofErr w:type="gramEnd"/>
      <w:r>
        <w:rPr>
          <w:rFonts w:ascii="Arial" w:eastAsia="Arial" w:hAnsi="Arial" w:cs="Arial"/>
        </w:rPr>
        <w:t xml:space="preserve"> fraction and (b) </w:t>
      </w:r>
      <w:proofErr w:type="gramStart"/>
      <w:r>
        <w:rPr>
          <w:rFonts w:ascii="Arial" w:eastAsia="Arial" w:hAnsi="Arial" w:cs="Arial"/>
        </w:rPr>
        <w:t>0.22 micron</w:t>
      </w:r>
      <w:proofErr w:type="gramEnd"/>
      <w:r>
        <w:rPr>
          <w:rFonts w:ascii="Arial" w:eastAsia="Arial" w:hAnsi="Arial" w:cs="Arial"/>
        </w:rPr>
        <w:t xml:space="preserve"> fraction. </w:t>
      </w:r>
    </w:p>
    <w:p w14:paraId="5EF31851" w14:textId="77777777" w:rsidR="00A0545B" w:rsidRDefault="00A0545B" w:rsidP="00A0545B">
      <w:pPr>
        <w:spacing w:before="240" w:after="240" w:line="276" w:lineRule="auto"/>
        <w:jc w:val="both"/>
        <w:rPr>
          <w:rFonts w:ascii="Arial" w:eastAsia="Arial" w:hAnsi="Arial" w:cs="Arial"/>
        </w:rPr>
      </w:pPr>
    </w:p>
    <w:p w14:paraId="2EF8BA36" w14:textId="77777777" w:rsidR="00A0545B" w:rsidRDefault="00A0545B" w:rsidP="00A0545B">
      <w:pPr>
        <w:spacing w:before="240" w:after="240" w:line="276" w:lineRule="auto"/>
        <w:jc w:val="both"/>
        <w:rPr>
          <w:rFonts w:ascii="Arial" w:eastAsia="Arial" w:hAnsi="Arial" w:cs="Arial"/>
        </w:rPr>
      </w:pPr>
    </w:p>
    <w:p w14:paraId="170C7AD8" w14:textId="77777777" w:rsidR="00A0545B" w:rsidRDefault="00A0545B" w:rsidP="00A0545B">
      <w:pPr>
        <w:spacing w:before="240" w:after="240" w:line="276" w:lineRule="auto"/>
        <w:jc w:val="both"/>
        <w:rPr>
          <w:rFonts w:ascii="Arial" w:eastAsia="Arial" w:hAnsi="Arial" w:cs="Arial"/>
        </w:rPr>
      </w:pPr>
    </w:p>
    <w:p w14:paraId="54D1600C" w14:textId="77777777" w:rsidR="00A0545B" w:rsidRDefault="00A0545B" w:rsidP="00A0545B">
      <w:pPr>
        <w:spacing w:before="240" w:after="240" w:line="276" w:lineRule="auto"/>
        <w:jc w:val="both"/>
        <w:rPr>
          <w:rFonts w:ascii="Arial" w:eastAsia="Arial" w:hAnsi="Arial" w:cs="Arial"/>
        </w:rPr>
      </w:pPr>
    </w:p>
    <w:p w14:paraId="7F5E934F" w14:textId="77777777" w:rsidR="00A0545B" w:rsidRDefault="00A0545B" w:rsidP="00A0545B">
      <w:pPr>
        <w:rPr>
          <w:b/>
          <w:bCs/>
        </w:rPr>
      </w:pPr>
    </w:p>
    <w:p w14:paraId="6A462D91" w14:textId="77777777" w:rsidR="00A0545B" w:rsidRDefault="00A0545B" w:rsidP="00A0545B">
      <w:pPr>
        <w:rPr>
          <w:b/>
          <w:bCs/>
        </w:rPr>
      </w:pPr>
    </w:p>
    <w:p w14:paraId="214EF4DC" w14:textId="77777777" w:rsidR="00A0545B" w:rsidRDefault="00A0545B" w:rsidP="00A0545B">
      <w:pPr>
        <w:rPr>
          <w:b/>
          <w:bCs/>
        </w:rPr>
      </w:pPr>
    </w:p>
    <w:p w14:paraId="6D1465F3" w14:textId="77777777" w:rsidR="00A0545B" w:rsidRDefault="00A0545B" w:rsidP="00A0545B">
      <w:pPr>
        <w:rPr>
          <w:b/>
          <w:bCs/>
        </w:rPr>
      </w:pPr>
    </w:p>
    <w:p w14:paraId="429806CD" w14:textId="77777777" w:rsidR="00A0545B" w:rsidRDefault="00A0545B" w:rsidP="00A0545B">
      <w:pPr>
        <w:rPr>
          <w:b/>
          <w:bCs/>
        </w:rPr>
      </w:pPr>
    </w:p>
    <w:p w14:paraId="5D49B31F" w14:textId="77777777" w:rsidR="00A0545B" w:rsidRDefault="00A0545B" w:rsidP="00A0545B">
      <w:pPr>
        <w:rPr>
          <w:b/>
          <w:bCs/>
        </w:rPr>
      </w:pPr>
    </w:p>
    <w:p w14:paraId="6F69A57E" w14:textId="77777777" w:rsidR="00A0545B" w:rsidRDefault="00A0545B" w:rsidP="00A0545B">
      <w:pPr>
        <w:rPr>
          <w:b/>
          <w:bCs/>
        </w:rPr>
      </w:pPr>
    </w:p>
    <w:p w14:paraId="42FECEEE" w14:textId="77777777" w:rsidR="00A0545B" w:rsidRDefault="00A0545B" w:rsidP="00A0545B">
      <w:pPr>
        <w:rPr>
          <w:b/>
          <w:bCs/>
        </w:rPr>
      </w:pPr>
    </w:p>
    <w:p w14:paraId="4455598D" w14:textId="77777777" w:rsidR="00A0545B" w:rsidRDefault="00A0545B" w:rsidP="00A0545B">
      <w:pPr>
        <w:rPr>
          <w:b/>
          <w:bCs/>
        </w:rPr>
      </w:pPr>
    </w:p>
    <w:p w14:paraId="19594EF1" w14:textId="77777777" w:rsidR="00A0545B" w:rsidRDefault="00A0545B" w:rsidP="00A0545B">
      <w:pPr>
        <w:rPr>
          <w:b/>
          <w:bCs/>
        </w:rPr>
      </w:pPr>
    </w:p>
    <w:p w14:paraId="1236296D" w14:textId="77777777" w:rsidR="00A0545B" w:rsidRDefault="00A0545B" w:rsidP="00A0545B">
      <w:pPr>
        <w:rPr>
          <w:b/>
          <w:bCs/>
        </w:rPr>
      </w:pPr>
    </w:p>
    <w:p w14:paraId="42E00514" w14:textId="77777777" w:rsidR="00A0545B" w:rsidRDefault="00A0545B" w:rsidP="00A0545B">
      <w:pPr>
        <w:rPr>
          <w:b/>
          <w:bCs/>
        </w:rPr>
      </w:pPr>
      <w:r>
        <w:rPr>
          <w:b/>
          <w:bCs/>
          <w:noProof/>
        </w:rPr>
        <w:lastRenderedPageBreak/>
        <w:drawing>
          <wp:inline distT="114300" distB="114300" distL="114300" distR="114300" wp14:anchorId="1C3225F6" wp14:editId="4AE712A0">
            <wp:extent cx="6027150" cy="7239000"/>
            <wp:effectExtent l="0" t="0" r="0" b="0"/>
            <wp:docPr id="1794961263" name="image15.png"/>
            <wp:cNvGraphicFramePr/>
            <a:graphic xmlns:a="http://schemas.openxmlformats.org/drawingml/2006/main">
              <a:graphicData uri="http://schemas.openxmlformats.org/drawingml/2006/picture">
                <pic:pic xmlns:pic="http://schemas.openxmlformats.org/drawingml/2006/picture">
                  <pic:nvPicPr>
                    <pic:cNvPr id="0" name="image15.png"/>
                    <pic:cNvPicPr preferRelativeResize="0"/>
                  </pic:nvPicPr>
                  <pic:blipFill>
                    <a:blip r:embed="rId10"/>
                    <a:srcRect/>
                    <a:stretch>
                      <a:fillRect/>
                    </a:stretch>
                  </pic:blipFill>
                  <pic:spPr>
                    <a:xfrm>
                      <a:off x="0" y="0"/>
                      <a:ext cx="6027150" cy="7239000"/>
                    </a:xfrm>
                    <a:prstGeom prst="rect">
                      <a:avLst/>
                    </a:prstGeom>
                    <a:ln/>
                  </pic:spPr>
                </pic:pic>
              </a:graphicData>
            </a:graphic>
          </wp:inline>
        </w:drawing>
      </w:r>
    </w:p>
    <w:p w14:paraId="272F98DF" w14:textId="77777777" w:rsidR="00A0545B" w:rsidRDefault="00A0545B" w:rsidP="00A0545B">
      <w:pPr>
        <w:rPr>
          <w:b/>
          <w:bCs/>
        </w:rPr>
      </w:pPr>
    </w:p>
    <w:p w14:paraId="68087D39" w14:textId="77777777" w:rsidR="00A0545B" w:rsidRDefault="00A0545B" w:rsidP="00A0545B">
      <w:pPr>
        <w:spacing w:line="240" w:lineRule="auto"/>
        <w:jc w:val="both"/>
        <w:rPr>
          <w:rFonts w:ascii="Arial" w:eastAsia="Arial" w:hAnsi="Arial" w:cs="Arial"/>
        </w:rPr>
      </w:pPr>
      <w:r>
        <w:rPr>
          <w:rFonts w:ascii="Arial" w:eastAsia="Arial" w:hAnsi="Arial" w:cs="Arial"/>
          <w:b/>
          <w:bCs/>
        </w:rPr>
        <w:t xml:space="preserve">Fig. S7: MAG quality, taxonomic composition, and lineage diversity across different hydrographic regimes in the Central Arctic Ocean. </w:t>
      </w:r>
      <w:sdt>
        <w:sdtPr>
          <w:tag w:val="goog_rdk_3"/>
          <w:id w:val="110853490"/>
        </w:sdtPr>
        <w:sdtContent>
          <w:r>
            <w:rPr>
              <w:rFonts w:ascii="Arial Unicode MS" w:eastAsia="Arial Unicode MS" w:hAnsi="Arial Unicode MS" w:cs="Arial Unicode MS"/>
            </w:rPr>
            <w:t>(a), Scatter plot showing the completeness versus contamination statistics for the reconstructed MAGs (n= 469). Points represent individual MAGs coloured by domain and shaped by quality tier. Dashed and dotted lines denote high-quality (HQ; ≥90% completeness, ≤5% contamination), medium-quality (MQ; ≥70%, ≤10%) and low-quality (LQ; ≥50% - ≤70</w:t>
          </w:r>
          <w:proofErr w:type="gramStart"/>
          <w:r>
            <w:rPr>
              <w:rFonts w:ascii="Arial Unicode MS" w:eastAsia="Arial Unicode MS" w:hAnsi="Arial Unicode MS" w:cs="Arial Unicode MS"/>
            </w:rPr>
            <w:t>% ,</w:t>
          </w:r>
          <w:proofErr w:type="gramEnd"/>
          <w:r>
            <w:rPr>
              <w:rFonts w:ascii="Arial Unicode MS" w:eastAsia="Arial Unicode MS" w:hAnsi="Arial Unicode MS" w:cs="Arial Unicode MS"/>
            </w:rPr>
            <w:t xml:space="preserve"> ≤10%) thresholds, respectively. (b) Recovery of total MAGs across hydrographic regimes (TPD, GR, </w:t>
          </w:r>
          <w:proofErr w:type="spellStart"/>
          <w:r>
            <w:rPr>
              <w:rFonts w:ascii="Arial Unicode MS" w:eastAsia="Arial Unicode MS" w:hAnsi="Arial Unicode MS" w:cs="Arial Unicode MS"/>
            </w:rPr>
            <w:t>iNB</w:t>
          </w:r>
          <w:proofErr w:type="spellEnd"/>
          <w:r>
            <w:rPr>
              <w:rFonts w:ascii="Arial Unicode MS" w:eastAsia="Arial Unicode MS" w:hAnsi="Arial Unicode MS" w:cs="Arial Unicode MS"/>
            </w:rPr>
            <w:t xml:space="preserve">, AW-IF), stratified by </w:t>
          </w:r>
          <w:r>
            <w:rPr>
              <w:rFonts w:ascii="Arial Unicode MS" w:eastAsia="Arial Unicode MS" w:hAnsi="Arial Unicode MS" w:cs="Arial Unicode MS"/>
            </w:rPr>
            <w:lastRenderedPageBreak/>
            <w:t xml:space="preserve">size fraction [ Free-living (FL), Particle-attached (PA) and depth (Surface; DCM) at Phylum-level. (c)  Taxonomic distribution of MAGs at Genus level among different domains including Archaea (n=44), Eukarya (n=12), and Bacteria (n=413), coloured by hydrographic regime. The embedded table summarizes taxonomic novelty, highlighting the percentage of reconstructed MAGs lacking genus- or species-level classification against the </w:t>
          </w:r>
          <w:proofErr w:type="spellStart"/>
          <w:r>
            <w:rPr>
              <w:rFonts w:ascii="Arial Unicode MS" w:eastAsia="Arial Unicode MS" w:hAnsi="Arial Unicode MS" w:cs="Arial Unicode MS"/>
            </w:rPr>
            <w:t>GtDBtK</w:t>
          </w:r>
          <w:proofErr w:type="spellEnd"/>
          <w:r>
            <w:rPr>
              <w:rFonts w:ascii="Arial Unicode MS" w:eastAsia="Arial Unicode MS" w:hAnsi="Arial Unicode MS" w:cs="Arial Unicode MS"/>
            </w:rPr>
            <w:t xml:space="preserve"> reference database.</w:t>
          </w:r>
        </w:sdtContent>
      </w:sdt>
    </w:p>
    <w:p w14:paraId="28B8E839" w14:textId="77777777" w:rsidR="00A0545B" w:rsidRDefault="00A0545B" w:rsidP="00A0545B">
      <w:pPr>
        <w:spacing w:line="480" w:lineRule="auto"/>
        <w:rPr>
          <w:b/>
          <w:bCs/>
        </w:rPr>
      </w:pPr>
    </w:p>
    <w:p w14:paraId="58B1977D" w14:textId="77777777" w:rsidR="00A0545B" w:rsidRDefault="00A0545B" w:rsidP="00A0545B">
      <w:pPr>
        <w:rPr>
          <w:b/>
          <w:bCs/>
        </w:rPr>
      </w:pPr>
    </w:p>
    <w:p w14:paraId="300D8CE0" w14:textId="77777777" w:rsidR="00A0545B" w:rsidRDefault="00A0545B" w:rsidP="00A0545B">
      <w:pPr>
        <w:jc w:val="both"/>
        <w:rPr>
          <w:rFonts w:ascii="Arial" w:eastAsia="Arial" w:hAnsi="Arial" w:cs="Arial"/>
          <w:b/>
          <w:bCs/>
        </w:rPr>
      </w:pPr>
    </w:p>
    <w:p w14:paraId="12E22786" w14:textId="77777777" w:rsidR="00A0545B" w:rsidRDefault="00A0545B" w:rsidP="00A0545B">
      <w:pPr>
        <w:rPr>
          <w:b/>
          <w:bCs/>
        </w:rPr>
      </w:pPr>
    </w:p>
    <w:p w14:paraId="0912F15C" w14:textId="77777777" w:rsidR="00A0545B" w:rsidRDefault="00A0545B" w:rsidP="00A0545B">
      <w:pPr>
        <w:rPr>
          <w:b/>
          <w:bCs/>
        </w:rPr>
      </w:pPr>
    </w:p>
    <w:p w14:paraId="36C21A4F" w14:textId="77777777" w:rsidR="00A0545B" w:rsidRDefault="00A0545B" w:rsidP="00A0545B"/>
    <w:p w14:paraId="4F7811E7" w14:textId="77777777" w:rsidR="00A0545B" w:rsidRDefault="00A0545B" w:rsidP="00A0545B"/>
    <w:p w14:paraId="4C53B684" w14:textId="77777777" w:rsidR="00A0545B" w:rsidRDefault="00A0545B" w:rsidP="00A0545B"/>
    <w:p w14:paraId="428DB980" w14:textId="77777777" w:rsidR="00A0545B" w:rsidRDefault="00A0545B" w:rsidP="00A0545B"/>
    <w:p w14:paraId="52122B48" w14:textId="77777777" w:rsidR="00A0545B" w:rsidRDefault="00A0545B" w:rsidP="00A0545B"/>
    <w:p w14:paraId="1E134372" w14:textId="77777777" w:rsidR="00A0545B" w:rsidRDefault="00A0545B" w:rsidP="00A0545B"/>
    <w:p w14:paraId="640F4188" w14:textId="77777777" w:rsidR="00A0545B" w:rsidRDefault="00A0545B" w:rsidP="00A0545B"/>
    <w:p w14:paraId="3851E56F" w14:textId="77777777" w:rsidR="00A0545B" w:rsidRDefault="00A0545B" w:rsidP="00A0545B"/>
    <w:p w14:paraId="38DBA3CC" w14:textId="77777777" w:rsidR="00A0545B" w:rsidRDefault="00A0545B" w:rsidP="00A0545B"/>
    <w:p w14:paraId="5D27A618" w14:textId="77777777" w:rsidR="00A0545B" w:rsidRDefault="00A0545B" w:rsidP="00A0545B"/>
    <w:p w14:paraId="551BD084" w14:textId="77777777" w:rsidR="00A0545B" w:rsidRDefault="00A0545B" w:rsidP="00A0545B"/>
    <w:p w14:paraId="271B4414" w14:textId="77777777" w:rsidR="00A0545B" w:rsidRDefault="00A0545B" w:rsidP="00A0545B"/>
    <w:p w14:paraId="5C0F6ADC" w14:textId="77777777" w:rsidR="00A0545B" w:rsidRDefault="00A0545B" w:rsidP="00A0545B"/>
    <w:p w14:paraId="56837195" w14:textId="77777777" w:rsidR="00A0545B" w:rsidRDefault="00A0545B" w:rsidP="00A0545B"/>
    <w:p w14:paraId="0BA93E0B" w14:textId="77777777" w:rsidR="00A0545B" w:rsidRDefault="00A0545B" w:rsidP="00A0545B">
      <w:pPr>
        <w:spacing w:before="240" w:after="0" w:line="480" w:lineRule="auto"/>
        <w:jc w:val="both"/>
        <w:rPr>
          <w:rFonts w:ascii="Arial" w:eastAsia="Arial" w:hAnsi="Arial" w:cs="Arial"/>
          <w:b/>
          <w:bCs/>
        </w:rPr>
      </w:pPr>
    </w:p>
    <w:p w14:paraId="76BDE876" w14:textId="77777777" w:rsidR="00A0545B" w:rsidRDefault="00A0545B" w:rsidP="00A0545B">
      <w:pPr>
        <w:spacing w:before="240" w:after="0" w:line="480" w:lineRule="auto"/>
        <w:jc w:val="both"/>
        <w:rPr>
          <w:rFonts w:ascii="Arial" w:eastAsia="Arial" w:hAnsi="Arial" w:cs="Arial"/>
          <w:b/>
          <w:bCs/>
        </w:rPr>
      </w:pPr>
      <w:r>
        <w:rPr>
          <w:rFonts w:ascii="Arial" w:eastAsia="Arial" w:hAnsi="Arial" w:cs="Arial"/>
          <w:b/>
          <w:bCs/>
          <w:noProof/>
        </w:rPr>
        <w:lastRenderedPageBreak/>
        <w:drawing>
          <wp:inline distT="114300" distB="114300" distL="114300" distR="114300" wp14:anchorId="1DC2702D" wp14:editId="47561EFA">
            <wp:extent cx="5650192" cy="7310438"/>
            <wp:effectExtent l="0" t="0" r="0" b="0"/>
            <wp:docPr id="1794961262"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1"/>
                    <a:srcRect/>
                    <a:stretch>
                      <a:fillRect/>
                    </a:stretch>
                  </pic:blipFill>
                  <pic:spPr>
                    <a:xfrm>
                      <a:off x="0" y="0"/>
                      <a:ext cx="5650192" cy="7310438"/>
                    </a:xfrm>
                    <a:prstGeom prst="rect">
                      <a:avLst/>
                    </a:prstGeom>
                    <a:ln/>
                  </pic:spPr>
                </pic:pic>
              </a:graphicData>
            </a:graphic>
          </wp:inline>
        </w:drawing>
      </w:r>
    </w:p>
    <w:p w14:paraId="6E8BE71B" w14:textId="77777777" w:rsidR="00A0545B" w:rsidRDefault="00A0545B" w:rsidP="00A0545B">
      <w:pPr>
        <w:spacing w:before="240" w:after="0" w:line="240" w:lineRule="auto"/>
        <w:jc w:val="both"/>
      </w:pPr>
      <w:r>
        <w:rPr>
          <w:rFonts w:ascii="Arial" w:eastAsia="Arial" w:hAnsi="Arial" w:cs="Arial"/>
          <w:b/>
          <w:bCs/>
        </w:rPr>
        <w:t xml:space="preserve">Fig. S8: Biogeochemical metabolic potential and differential abundance across Arctic Ocean hydrographic regimes. </w:t>
      </w:r>
      <w:r>
        <w:rPr>
          <w:rFonts w:ascii="Arial" w:eastAsia="Arial" w:hAnsi="Arial" w:cs="Arial"/>
        </w:rPr>
        <w:t xml:space="preserve">Heatmap displays the gene copy number (white to dark green) of key metabolic marker genes (n=118), Metagenome-Assembled Genomes (MAGs). Columns (MAGs) are grouped by hydrographic regime (TPD, GR, </w:t>
      </w:r>
      <w:proofErr w:type="spellStart"/>
      <w:r>
        <w:rPr>
          <w:rFonts w:ascii="Arial" w:eastAsia="Arial" w:hAnsi="Arial" w:cs="Arial"/>
        </w:rPr>
        <w:t>iNB</w:t>
      </w:r>
      <w:proofErr w:type="spellEnd"/>
      <w:r>
        <w:rPr>
          <w:rFonts w:ascii="Arial" w:eastAsia="Arial" w:hAnsi="Arial" w:cs="Arial"/>
        </w:rPr>
        <w:t xml:space="preserve">, AW-IF) and ordered by phylum dominance. Top annotations indicate MAG quality (CheckM2 completeness and contamination) and environmental origin (Depth, size fraction). </w:t>
      </w:r>
    </w:p>
    <w:p w14:paraId="082DFAE9" w14:textId="77777777" w:rsidR="00A0545B" w:rsidRDefault="00A0545B" w:rsidP="00A0545B"/>
    <w:p w14:paraId="66FF791C" w14:textId="77777777" w:rsidR="00A0545B" w:rsidRDefault="00A0545B" w:rsidP="00A0545B">
      <w:pPr>
        <w:rPr>
          <w:rFonts w:ascii="Arial" w:eastAsia="Arial" w:hAnsi="Arial" w:cs="Arial"/>
        </w:rPr>
      </w:pPr>
    </w:p>
    <w:p w14:paraId="71D61769" w14:textId="77777777" w:rsidR="00A0545B" w:rsidRDefault="00A0545B" w:rsidP="00A0545B">
      <w:r>
        <w:rPr>
          <w:noProof/>
        </w:rPr>
        <w:drawing>
          <wp:inline distT="114300" distB="114300" distL="114300" distR="114300" wp14:anchorId="4DEF323D" wp14:editId="6C672AB2">
            <wp:extent cx="6027150" cy="2463800"/>
            <wp:effectExtent l="0" t="0" r="0" b="0"/>
            <wp:docPr id="179496125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2"/>
                    <a:srcRect/>
                    <a:stretch>
                      <a:fillRect/>
                    </a:stretch>
                  </pic:blipFill>
                  <pic:spPr>
                    <a:xfrm>
                      <a:off x="0" y="0"/>
                      <a:ext cx="6027150" cy="2463800"/>
                    </a:xfrm>
                    <a:prstGeom prst="rect">
                      <a:avLst/>
                    </a:prstGeom>
                    <a:ln/>
                  </pic:spPr>
                </pic:pic>
              </a:graphicData>
            </a:graphic>
          </wp:inline>
        </w:drawing>
      </w:r>
    </w:p>
    <w:p w14:paraId="3D4D1B18" w14:textId="77777777" w:rsidR="00A0545B" w:rsidRDefault="00A0545B" w:rsidP="00A0545B">
      <w:pPr>
        <w:spacing w:before="240" w:after="0" w:line="240" w:lineRule="auto"/>
        <w:jc w:val="both"/>
        <w:rPr>
          <w:rFonts w:ascii="Arial" w:eastAsia="Arial" w:hAnsi="Arial" w:cs="Arial"/>
        </w:rPr>
      </w:pPr>
      <w:r>
        <w:rPr>
          <w:rFonts w:ascii="Arial" w:eastAsia="Arial" w:hAnsi="Arial" w:cs="Arial"/>
          <w:b/>
          <w:bCs/>
        </w:rPr>
        <w:t xml:space="preserve">Fig. S9: Bubble plot showing the distribution of particle-attached and free-living </w:t>
      </w:r>
      <w:proofErr w:type="spellStart"/>
      <w:r>
        <w:rPr>
          <w:rFonts w:ascii="Arial" w:eastAsia="Arial" w:hAnsi="Arial" w:cs="Arial"/>
          <w:b/>
          <w:bCs/>
        </w:rPr>
        <w:t>sMAGs</w:t>
      </w:r>
      <w:proofErr w:type="spellEnd"/>
      <w:r>
        <w:rPr>
          <w:rFonts w:ascii="Arial" w:eastAsia="Arial" w:hAnsi="Arial" w:cs="Arial"/>
          <w:b/>
          <w:bCs/>
        </w:rPr>
        <w:t xml:space="preserve"> across the Arctic Ocean.  </w:t>
      </w:r>
      <w:r>
        <w:rPr>
          <w:rFonts w:ascii="Arial" w:eastAsia="Arial" w:hAnsi="Arial" w:cs="Arial"/>
        </w:rPr>
        <w:t xml:space="preserve">Mean detection and coverage of selected </w:t>
      </w:r>
      <w:proofErr w:type="spellStart"/>
      <w:r>
        <w:rPr>
          <w:rFonts w:ascii="Arial" w:eastAsia="Arial" w:hAnsi="Arial" w:cs="Arial"/>
        </w:rPr>
        <w:t>sMAGs</w:t>
      </w:r>
      <w:proofErr w:type="spellEnd"/>
      <w:r>
        <w:rPr>
          <w:rFonts w:ascii="Arial" w:eastAsia="Arial" w:hAnsi="Arial" w:cs="Arial"/>
        </w:rPr>
        <w:t xml:space="preserve"> in free-living (FL, 0.22–3 µm), particle-attached (PA, &gt;3 µm) and bulk seawater samples across different hydrographic regime (TPD, GR, </w:t>
      </w:r>
      <w:proofErr w:type="spellStart"/>
      <w:r>
        <w:rPr>
          <w:rFonts w:ascii="Arial" w:eastAsia="Arial" w:hAnsi="Arial" w:cs="Arial"/>
        </w:rPr>
        <w:t>iNB</w:t>
      </w:r>
      <w:proofErr w:type="spellEnd"/>
      <w:r>
        <w:rPr>
          <w:rFonts w:ascii="Arial" w:eastAsia="Arial" w:hAnsi="Arial" w:cs="Arial"/>
        </w:rPr>
        <w:t xml:space="preserve">, AW-IF), Tara Arctic Oceans region (Atlantic inflow; Arctic shelves and outflow) and </w:t>
      </w:r>
      <w:proofErr w:type="spellStart"/>
      <w:r>
        <w:rPr>
          <w:rFonts w:ascii="Arial" w:eastAsia="Arial" w:hAnsi="Arial" w:cs="Arial"/>
        </w:rPr>
        <w:t>MOSAiC</w:t>
      </w:r>
      <w:proofErr w:type="spellEnd"/>
      <w:r>
        <w:rPr>
          <w:rFonts w:ascii="Arial" w:eastAsia="Arial" w:hAnsi="Arial" w:cs="Arial"/>
        </w:rPr>
        <w:t xml:space="preserve"> groups (</w:t>
      </w:r>
      <w:proofErr w:type="spellStart"/>
      <w:r>
        <w:rPr>
          <w:rFonts w:ascii="Arial" w:eastAsia="Arial" w:hAnsi="Arial" w:cs="Arial"/>
        </w:rPr>
        <w:t>MOSAiC</w:t>
      </w:r>
      <w:proofErr w:type="spellEnd"/>
      <w:r>
        <w:rPr>
          <w:rFonts w:ascii="Arial" w:eastAsia="Arial" w:hAnsi="Arial" w:cs="Arial"/>
        </w:rPr>
        <w:t xml:space="preserve">-CAO, </w:t>
      </w:r>
      <w:proofErr w:type="spellStart"/>
      <w:r>
        <w:rPr>
          <w:rFonts w:ascii="Arial" w:eastAsia="Arial" w:hAnsi="Arial" w:cs="Arial"/>
        </w:rPr>
        <w:t>MOSAiC</w:t>
      </w:r>
      <w:proofErr w:type="spellEnd"/>
      <w:r>
        <w:rPr>
          <w:rFonts w:ascii="Arial" w:eastAsia="Arial" w:hAnsi="Arial" w:cs="Arial"/>
        </w:rPr>
        <w:t xml:space="preserve">-AW). The two </w:t>
      </w:r>
      <w:proofErr w:type="spellStart"/>
      <w:r>
        <w:rPr>
          <w:rFonts w:ascii="Arial" w:eastAsia="Arial" w:hAnsi="Arial" w:cs="Arial"/>
        </w:rPr>
        <w:t>sMAGs</w:t>
      </w:r>
      <w:proofErr w:type="spellEnd"/>
      <w:r>
        <w:rPr>
          <w:rFonts w:ascii="Arial" w:eastAsia="Arial" w:hAnsi="Arial" w:cs="Arial"/>
        </w:rPr>
        <w:t xml:space="preserve"> with the highest mean coverage across FL samples are shown for comparison. Circle size shows mean coverage per </w:t>
      </w:r>
      <w:proofErr w:type="spellStart"/>
      <w:r>
        <w:rPr>
          <w:rFonts w:ascii="Arial" w:eastAsia="Arial" w:hAnsi="Arial" w:cs="Arial"/>
        </w:rPr>
        <w:t>Gbp</w:t>
      </w:r>
      <w:proofErr w:type="spellEnd"/>
      <w:r>
        <w:rPr>
          <w:rFonts w:ascii="Arial" w:eastAsia="Arial" w:hAnsi="Arial" w:cs="Arial"/>
        </w:rPr>
        <w:t xml:space="preserve"> of quality-filtered sequence (log scale), and fill shows mean detection (genome breadth). Open circles mark mean detection below 0.5.</w:t>
      </w:r>
    </w:p>
    <w:p w14:paraId="52153C9D" w14:textId="77777777" w:rsidR="00A0545B" w:rsidRDefault="00A0545B" w:rsidP="00A0545B">
      <w:pPr>
        <w:rPr>
          <w:rFonts w:ascii="Arial" w:eastAsia="Arial" w:hAnsi="Arial" w:cs="Arial"/>
          <w:color w:val="222222"/>
          <w:sz w:val="20"/>
          <w:szCs w:val="20"/>
        </w:rPr>
      </w:pPr>
    </w:p>
    <w:p w14:paraId="13C32529" w14:textId="77777777" w:rsidR="00A0545B" w:rsidRDefault="00A0545B" w:rsidP="00A0545B"/>
    <w:p w14:paraId="180C572D" w14:textId="77777777" w:rsidR="00DC36AB" w:rsidRDefault="00DC36AB"/>
    <w:sectPr w:rsidR="00DC36AB" w:rsidSect="00A0545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altName w:val="Arial"/>
    <w:panose1 w:val="020B0604020202020204"/>
    <w:charset w:val="00"/>
    <w:family w:val="auto"/>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545B"/>
    <w:rsid w:val="0003707D"/>
    <w:rsid w:val="006B1864"/>
    <w:rsid w:val="0085758F"/>
    <w:rsid w:val="00876E50"/>
    <w:rsid w:val="00A0545B"/>
    <w:rsid w:val="00DC36AB"/>
    <w:rsid w:val="00EE41D7"/>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DC6AE7"/>
  <w15:chartTrackingRefBased/>
  <w15:docId w15:val="{1155EC72-ABE5-455E-ACDF-575C40CAE0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545B"/>
    <w:rPr>
      <w:rFonts w:ascii="Calibri" w:eastAsia="Calibri" w:hAnsi="Calibri" w:cs="Calibri"/>
      <w:kern w:val="0"/>
      <w:lang w:eastAsia="en-IN"/>
      <w14:ligatures w14:val="none"/>
    </w:rPr>
  </w:style>
  <w:style w:type="paragraph" w:styleId="Heading1">
    <w:name w:val="heading 1"/>
    <w:basedOn w:val="Normal"/>
    <w:next w:val="Normal"/>
    <w:link w:val="Heading1Char"/>
    <w:uiPriority w:val="9"/>
    <w:qFormat/>
    <w:rsid w:val="00A0545B"/>
    <w:pPr>
      <w:keepNext/>
      <w:keepLines/>
      <w:spacing w:before="360" w:after="80"/>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Heading2">
    <w:name w:val="heading 2"/>
    <w:basedOn w:val="Normal"/>
    <w:next w:val="Normal"/>
    <w:link w:val="Heading2Char"/>
    <w:uiPriority w:val="9"/>
    <w:semiHidden/>
    <w:unhideWhenUsed/>
    <w:qFormat/>
    <w:rsid w:val="00A0545B"/>
    <w:pPr>
      <w:keepNext/>
      <w:keepLines/>
      <w:spacing w:before="160" w:after="80"/>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A0545B"/>
    <w:pPr>
      <w:keepNext/>
      <w:keepLines/>
      <w:spacing w:before="160" w:after="80"/>
      <w:outlineLvl w:val="2"/>
    </w:pPr>
    <w:rPr>
      <w:rFonts w:asciiTheme="minorHAnsi" w:eastAsiaTheme="majorEastAsia" w:hAnsiTheme="minorHAnsi" w:cstheme="majorBidi"/>
      <w:color w:val="2F5496"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A0545B"/>
    <w:pPr>
      <w:keepNext/>
      <w:keepLines/>
      <w:spacing w:before="80" w:after="40"/>
      <w:outlineLvl w:val="3"/>
    </w:pPr>
    <w:rPr>
      <w:rFonts w:asciiTheme="minorHAnsi" w:eastAsiaTheme="majorEastAsia" w:hAnsiTheme="minorHAnsi" w:cstheme="majorBidi"/>
      <w:i/>
      <w:iCs/>
      <w:color w:val="2F5496" w:themeColor="accent1" w:themeShade="BF"/>
      <w:kern w:val="2"/>
      <w:lang w:eastAsia="en-US"/>
      <w14:ligatures w14:val="standardContextual"/>
    </w:rPr>
  </w:style>
  <w:style w:type="paragraph" w:styleId="Heading5">
    <w:name w:val="heading 5"/>
    <w:basedOn w:val="Normal"/>
    <w:next w:val="Normal"/>
    <w:link w:val="Heading5Char"/>
    <w:uiPriority w:val="9"/>
    <w:semiHidden/>
    <w:unhideWhenUsed/>
    <w:qFormat/>
    <w:rsid w:val="00A0545B"/>
    <w:pPr>
      <w:keepNext/>
      <w:keepLines/>
      <w:spacing w:before="80" w:after="40"/>
      <w:outlineLvl w:val="4"/>
    </w:pPr>
    <w:rPr>
      <w:rFonts w:asciiTheme="minorHAnsi" w:eastAsiaTheme="majorEastAsia" w:hAnsiTheme="minorHAnsi" w:cstheme="majorBidi"/>
      <w:color w:val="2F5496" w:themeColor="accent1" w:themeShade="BF"/>
      <w:kern w:val="2"/>
      <w:lang w:eastAsia="en-US"/>
      <w14:ligatures w14:val="standardContextual"/>
    </w:rPr>
  </w:style>
  <w:style w:type="paragraph" w:styleId="Heading6">
    <w:name w:val="heading 6"/>
    <w:basedOn w:val="Normal"/>
    <w:next w:val="Normal"/>
    <w:link w:val="Heading6Char"/>
    <w:uiPriority w:val="9"/>
    <w:semiHidden/>
    <w:unhideWhenUsed/>
    <w:qFormat/>
    <w:rsid w:val="00A0545B"/>
    <w:pPr>
      <w:keepNext/>
      <w:keepLines/>
      <w:spacing w:before="40" w:after="0"/>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Heading7">
    <w:name w:val="heading 7"/>
    <w:basedOn w:val="Normal"/>
    <w:next w:val="Normal"/>
    <w:link w:val="Heading7Char"/>
    <w:uiPriority w:val="9"/>
    <w:semiHidden/>
    <w:unhideWhenUsed/>
    <w:qFormat/>
    <w:rsid w:val="00A0545B"/>
    <w:pPr>
      <w:keepNext/>
      <w:keepLines/>
      <w:spacing w:before="40" w:after="0"/>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Heading8">
    <w:name w:val="heading 8"/>
    <w:basedOn w:val="Normal"/>
    <w:next w:val="Normal"/>
    <w:link w:val="Heading8Char"/>
    <w:uiPriority w:val="9"/>
    <w:semiHidden/>
    <w:unhideWhenUsed/>
    <w:qFormat/>
    <w:rsid w:val="00A0545B"/>
    <w:pPr>
      <w:keepNext/>
      <w:keepLines/>
      <w:spacing w:after="0"/>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Heading9">
    <w:name w:val="heading 9"/>
    <w:basedOn w:val="Normal"/>
    <w:next w:val="Normal"/>
    <w:link w:val="Heading9Char"/>
    <w:uiPriority w:val="9"/>
    <w:semiHidden/>
    <w:unhideWhenUsed/>
    <w:qFormat/>
    <w:rsid w:val="00A0545B"/>
    <w:pPr>
      <w:keepNext/>
      <w:keepLines/>
      <w:spacing w:after="0"/>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0545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0545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0545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0545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0545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0545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0545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0545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0545B"/>
    <w:rPr>
      <w:rFonts w:eastAsiaTheme="majorEastAsia" w:cstheme="majorBidi"/>
      <w:color w:val="272727" w:themeColor="text1" w:themeTint="D8"/>
    </w:rPr>
  </w:style>
  <w:style w:type="paragraph" w:styleId="Title">
    <w:name w:val="Title"/>
    <w:basedOn w:val="Normal"/>
    <w:next w:val="Normal"/>
    <w:link w:val="TitleChar"/>
    <w:uiPriority w:val="10"/>
    <w:qFormat/>
    <w:rsid w:val="00A0545B"/>
    <w:pPr>
      <w:spacing w:after="80" w:line="240" w:lineRule="auto"/>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A0545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0545B"/>
    <w:pPr>
      <w:numPr>
        <w:ilvl w:val="1"/>
      </w:numPr>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A0545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0545B"/>
    <w:pPr>
      <w:spacing w:before="160"/>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QuoteChar">
    <w:name w:val="Quote Char"/>
    <w:basedOn w:val="DefaultParagraphFont"/>
    <w:link w:val="Quote"/>
    <w:uiPriority w:val="29"/>
    <w:rsid w:val="00A0545B"/>
    <w:rPr>
      <w:i/>
      <w:iCs/>
      <w:color w:val="404040" w:themeColor="text1" w:themeTint="BF"/>
    </w:rPr>
  </w:style>
  <w:style w:type="paragraph" w:styleId="ListParagraph">
    <w:name w:val="List Paragraph"/>
    <w:basedOn w:val="Normal"/>
    <w:uiPriority w:val="34"/>
    <w:qFormat/>
    <w:rsid w:val="00A0545B"/>
    <w:pPr>
      <w:ind w:left="720"/>
      <w:contextualSpacing/>
    </w:pPr>
    <w:rPr>
      <w:rFonts w:asciiTheme="minorHAnsi" w:eastAsiaTheme="minorHAnsi" w:hAnsiTheme="minorHAnsi" w:cstheme="minorBidi"/>
      <w:kern w:val="2"/>
      <w:lang w:eastAsia="en-US"/>
      <w14:ligatures w14:val="standardContextual"/>
    </w:rPr>
  </w:style>
  <w:style w:type="character" w:styleId="IntenseEmphasis">
    <w:name w:val="Intense Emphasis"/>
    <w:basedOn w:val="DefaultParagraphFont"/>
    <w:uiPriority w:val="21"/>
    <w:qFormat/>
    <w:rsid w:val="00A0545B"/>
    <w:rPr>
      <w:i/>
      <w:iCs/>
      <w:color w:val="2F5496" w:themeColor="accent1" w:themeShade="BF"/>
    </w:rPr>
  </w:style>
  <w:style w:type="paragraph" w:styleId="IntenseQuote">
    <w:name w:val="Intense Quote"/>
    <w:basedOn w:val="Normal"/>
    <w:next w:val="Normal"/>
    <w:link w:val="IntenseQuoteChar"/>
    <w:uiPriority w:val="30"/>
    <w:qFormat/>
    <w:rsid w:val="00A0545B"/>
    <w:pPr>
      <w:pBdr>
        <w:top w:val="single" w:sz="4" w:space="10" w:color="2F5496" w:themeColor="accent1" w:themeShade="BF"/>
        <w:bottom w:val="single" w:sz="4" w:space="10" w:color="2F5496" w:themeColor="accent1" w:themeShade="BF"/>
      </w:pBdr>
      <w:spacing w:before="360" w:after="360"/>
      <w:ind w:left="864" w:right="864"/>
      <w:jc w:val="center"/>
    </w:pPr>
    <w:rPr>
      <w:rFonts w:asciiTheme="minorHAnsi" w:eastAsiaTheme="minorHAnsi" w:hAnsiTheme="minorHAnsi" w:cstheme="minorBidi"/>
      <w:i/>
      <w:iCs/>
      <w:color w:val="2F5496" w:themeColor="accent1" w:themeShade="BF"/>
      <w:kern w:val="2"/>
      <w:lang w:eastAsia="en-US"/>
      <w14:ligatures w14:val="standardContextual"/>
    </w:rPr>
  </w:style>
  <w:style w:type="character" w:customStyle="1" w:styleId="IntenseQuoteChar">
    <w:name w:val="Intense Quote Char"/>
    <w:basedOn w:val="DefaultParagraphFont"/>
    <w:link w:val="IntenseQuote"/>
    <w:uiPriority w:val="30"/>
    <w:rsid w:val="00A0545B"/>
    <w:rPr>
      <w:i/>
      <w:iCs/>
      <w:color w:val="2F5496" w:themeColor="accent1" w:themeShade="BF"/>
    </w:rPr>
  </w:style>
  <w:style w:type="character" w:styleId="IntenseReference">
    <w:name w:val="Intense Reference"/>
    <w:basedOn w:val="DefaultParagraphFont"/>
    <w:uiPriority w:val="32"/>
    <w:qFormat/>
    <w:rsid w:val="00A0545B"/>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g"/><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image" Target="media/image9.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g"/><Relationship Id="rId11" Type="http://schemas.openxmlformats.org/officeDocument/2006/relationships/image" Target="media/image8.png"/><Relationship Id="rId5" Type="http://schemas.openxmlformats.org/officeDocument/2006/relationships/image" Target="media/image2.png"/><Relationship Id="rId10" Type="http://schemas.openxmlformats.org/officeDocument/2006/relationships/image" Target="media/image7.png"/><Relationship Id="rId4" Type="http://schemas.openxmlformats.org/officeDocument/2006/relationships/image" Target="media/image1.png"/><Relationship Id="rId9" Type="http://schemas.openxmlformats.org/officeDocument/2006/relationships/image" Target="media/image6.jp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720</Words>
  <Characters>4106</Characters>
  <Application>Microsoft Office Word</Application>
  <DocSecurity>0</DocSecurity>
  <Lines>34</Lines>
  <Paragraphs>9</Paragraphs>
  <ScaleCrop>false</ScaleCrop>
  <Company/>
  <LinksUpToDate>false</LinksUpToDate>
  <CharactersWithSpaces>4817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Venkatachalam Siddarthan</dc:creator>
  <cp:keywords/>
  <dc:description/>
  <cp:lastModifiedBy>Venkatachalam Siddarthan</cp:lastModifiedBy>
  <cp:revision>1</cp:revision>
  <dcterms:created xsi:type="dcterms:W3CDTF">2026-10-23T21:26:00Z</dcterms:created>
  <dcterms:modified xsi:type="dcterms:W3CDTF">2026-10-23T21:28:00Z</dcterms:modified>
</cp:coreProperties>
</file>