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01" w:rsidRPr="008B4BB9" w:rsidRDefault="002D2201" w:rsidP="002D2201">
      <w:pPr>
        <w:pStyle w:val="Heading1"/>
        <w:spacing w:before="0" w:line="240" w:lineRule="auto"/>
        <w:jc w:val="both"/>
        <w:rPr>
          <w:rStyle w:val="tlid-translation"/>
          <w:rFonts w:asciiTheme="majorBidi" w:hAnsiTheme="majorBidi"/>
          <w:b/>
          <w:bCs/>
          <w:color w:val="auto"/>
          <w:sz w:val="24"/>
          <w:szCs w:val="24"/>
        </w:rPr>
      </w:pPr>
      <w:r w:rsidRPr="008B4BB9">
        <w:rPr>
          <w:rStyle w:val="tlid-translation"/>
          <w:rFonts w:asciiTheme="majorBidi" w:hAnsiTheme="majorBidi"/>
          <w:b/>
          <w:bCs/>
          <w:color w:val="auto"/>
          <w:sz w:val="24"/>
          <w:szCs w:val="24"/>
        </w:rPr>
        <w:t xml:space="preserve">Three-dimensional and two-dimensional relationships of </w:t>
      </w:r>
      <w:proofErr w:type="spellStart"/>
      <w:r w:rsidRPr="008B4BB9">
        <w:rPr>
          <w:rStyle w:val="tlid-translation"/>
          <w:rFonts w:asciiTheme="majorBidi" w:hAnsiTheme="majorBidi"/>
          <w:b/>
          <w:bCs/>
          <w:color w:val="auto"/>
          <w:sz w:val="24"/>
          <w:szCs w:val="24"/>
        </w:rPr>
        <w:t>gangliogenesis</w:t>
      </w:r>
      <w:proofErr w:type="spellEnd"/>
      <w:r w:rsidRPr="008B4BB9">
        <w:rPr>
          <w:rStyle w:val="tlid-translation"/>
          <w:rFonts w:asciiTheme="majorBidi" w:hAnsiTheme="majorBidi"/>
          <w:b/>
          <w:bCs/>
          <w:color w:val="auto"/>
          <w:sz w:val="24"/>
          <w:szCs w:val="24"/>
        </w:rPr>
        <w:t xml:space="preserve"> with </w:t>
      </w:r>
      <w:proofErr w:type="spellStart"/>
      <w:r w:rsidRPr="008B4BB9">
        <w:rPr>
          <w:rStyle w:val="tlid-translation"/>
          <w:rFonts w:asciiTheme="majorBidi" w:hAnsiTheme="majorBidi"/>
          <w:b/>
          <w:bCs/>
          <w:color w:val="auto"/>
          <w:sz w:val="24"/>
          <w:szCs w:val="24"/>
        </w:rPr>
        <w:t>folliculogenesis</w:t>
      </w:r>
      <w:proofErr w:type="spellEnd"/>
      <w:r w:rsidRPr="008B4BB9">
        <w:rPr>
          <w:rStyle w:val="tlid-translation"/>
          <w:rFonts w:asciiTheme="majorBidi" w:hAnsiTheme="majorBidi"/>
          <w:b/>
          <w:bCs/>
          <w:color w:val="auto"/>
          <w:sz w:val="24"/>
          <w:szCs w:val="24"/>
        </w:rPr>
        <w:t xml:space="preserve"> in mature mouse ovary: A Golgi-Cox staining approach</w:t>
      </w:r>
    </w:p>
    <w:p w:rsidR="002D2201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b/>
          <w:bCs/>
          <w:sz w:val="24"/>
          <w:szCs w:val="24"/>
        </w:rPr>
      </w:pPr>
    </w:p>
    <w:p w:rsidR="002D2201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b/>
          <w:bCs/>
          <w:sz w:val="24"/>
          <w:szCs w:val="24"/>
        </w:rPr>
      </w:pPr>
      <w:r>
        <w:rPr>
          <w:rStyle w:val="tlid-translation"/>
          <w:rFonts w:asciiTheme="majorBidi" w:hAnsiTheme="majorBidi"/>
          <w:b/>
          <w:bCs/>
          <w:sz w:val="24"/>
          <w:szCs w:val="24"/>
        </w:rPr>
        <w:t>Running title:</w:t>
      </w:r>
      <w:r w:rsidRPr="00CD2FFB">
        <w:t xml:space="preserve"> </w:t>
      </w:r>
      <w:r w:rsidRPr="00CD2FFB">
        <w:rPr>
          <w:rFonts w:asciiTheme="majorBidi" w:hAnsiTheme="majorBidi" w:cstheme="majorBidi"/>
        </w:rPr>
        <w:t>3D imaging</w:t>
      </w:r>
      <w:r>
        <w:t xml:space="preserve"> of </w:t>
      </w:r>
      <w:proofErr w:type="spellStart"/>
      <w:r w:rsidRPr="00CD2FFB">
        <w:rPr>
          <w:rStyle w:val="tlid-translation"/>
          <w:rFonts w:asciiTheme="majorBidi" w:hAnsiTheme="majorBidi"/>
          <w:sz w:val="24"/>
          <w:szCs w:val="24"/>
        </w:rPr>
        <w:t>gangliogenesis</w:t>
      </w:r>
      <w:proofErr w:type="spellEnd"/>
      <w:r w:rsidRPr="00CD2FFB">
        <w:rPr>
          <w:rStyle w:val="tlid-translation"/>
          <w:rFonts w:asciiTheme="majorBidi" w:hAnsiTheme="majorBidi"/>
          <w:sz w:val="24"/>
          <w:szCs w:val="24"/>
        </w:rPr>
        <w:t xml:space="preserve"> in ovary</w:t>
      </w: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b/>
          <w:bCs/>
          <w:sz w:val="24"/>
          <w:szCs w:val="24"/>
        </w:rPr>
      </w:pP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Mohammad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Ebrahim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Asadi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Zarch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a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*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Alireza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Afshar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b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*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Farhad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Rahmanifar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c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*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Mohammad Reza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Jafarzadeh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Shirazi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a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†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</w:t>
      </w:r>
      <w:proofErr w:type="spellStart"/>
      <w:r w:rsidRPr="004A34F3">
        <w:rPr>
          <w:rFonts w:asciiTheme="majorBidi" w:hAnsiTheme="majorBidi" w:cstheme="majorBidi"/>
          <w:sz w:val="24"/>
          <w:szCs w:val="24"/>
        </w:rPr>
        <w:t>Mandana</w:t>
      </w:r>
      <w:proofErr w:type="spellEnd"/>
      <w:r w:rsidRPr="004A34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34F3">
        <w:rPr>
          <w:rFonts w:asciiTheme="majorBidi" w:hAnsiTheme="majorBidi" w:cstheme="majorBidi"/>
          <w:sz w:val="24"/>
          <w:szCs w:val="24"/>
        </w:rPr>
        <w:t>Baghban</w:t>
      </w:r>
      <w:r>
        <w:rPr>
          <w:rFonts w:asciiTheme="majorBidi" w:hAnsiTheme="majorBidi" w:cstheme="majorBidi"/>
          <w:sz w:val="24"/>
          <w:szCs w:val="24"/>
          <w:vertAlign w:val="superscript"/>
        </w:rPr>
        <w:t>d</w:t>
      </w:r>
      <w:proofErr w:type="spellEnd"/>
      <w:r w:rsidRPr="004A34F3">
        <w:rPr>
          <w:rFonts w:asciiTheme="majorBidi" w:hAnsiTheme="majorBidi" w:cstheme="majorBidi"/>
          <w:sz w:val="24"/>
          <w:szCs w:val="24"/>
        </w:rPr>
        <w:t xml:space="preserve">, 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Mohammad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Dadpasand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a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Farzad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Mohammad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Rezazadeh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a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Arezoo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Khoradmehr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b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Hossein </w:t>
      </w:r>
      <w:proofErr w:type="spellStart"/>
      <w:proofErr w:type="gramStart"/>
      <w:r w:rsidRPr="008B4BB9">
        <w:rPr>
          <w:rStyle w:val="tlid-translation"/>
          <w:rFonts w:asciiTheme="majorBidi" w:hAnsiTheme="majorBidi"/>
          <w:sz w:val="24"/>
          <w:szCs w:val="24"/>
        </w:rPr>
        <w:t>Baharvand</w:t>
      </w:r>
      <w:r>
        <w:rPr>
          <w:rStyle w:val="tlid-translation"/>
          <w:rFonts w:asciiTheme="majorBidi" w:hAnsiTheme="majorBidi"/>
          <w:sz w:val="24"/>
          <w:szCs w:val="24"/>
          <w:vertAlign w:val="superscript"/>
        </w:rPr>
        <w:t>e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,</w:t>
      </w:r>
      <w:r>
        <w:rPr>
          <w:rStyle w:val="tlid-translation"/>
          <w:rFonts w:asciiTheme="majorBidi" w:hAnsiTheme="majorBidi"/>
          <w:sz w:val="24"/>
          <w:szCs w:val="24"/>
          <w:vertAlign w:val="superscript"/>
        </w:rPr>
        <w:t>f</w:t>
      </w:r>
      <w:proofErr w:type="spellEnd"/>
      <w:proofErr w:type="gram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, Amin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Tamadon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b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>†</w:t>
      </w: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 xml:space="preserve">a </w:t>
      </w:r>
      <w:r w:rsidRPr="008B4BB9">
        <w:rPr>
          <w:rStyle w:val="tlid-translation"/>
          <w:rFonts w:asciiTheme="majorBidi" w:hAnsiTheme="majorBidi"/>
          <w:sz w:val="24"/>
          <w:szCs w:val="24"/>
        </w:rPr>
        <w:t>Department of Animal Sciences, College of Agriculture, Shiraz University, Shiraz, Iran</w:t>
      </w: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 xml:space="preserve">b </w:t>
      </w:r>
      <w:r w:rsidRPr="008B4BB9">
        <w:rPr>
          <w:rStyle w:val="tlid-translation"/>
          <w:rFonts w:asciiTheme="majorBidi" w:hAnsiTheme="majorBidi"/>
          <w:sz w:val="24"/>
          <w:szCs w:val="24"/>
        </w:rPr>
        <w:t>The Persian Gulf Marine Biotechnology Research Center, The Persian Gulf Biomedical Sciences Research Institute, Bushehr University of Medical Sciences, Bushehr, Iran</w:t>
      </w:r>
    </w:p>
    <w:p w:rsidR="002D2201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 xml:space="preserve">c </w:t>
      </w:r>
      <w:r w:rsidRPr="008B4BB9">
        <w:rPr>
          <w:rStyle w:val="tlid-translation"/>
          <w:rFonts w:asciiTheme="majorBidi" w:hAnsiTheme="majorBidi"/>
          <w:sz w:val="24"/>
          <w:szCs w:val="24"/>
        </w:rPr>
        <w:t>Department of Basic Sciences, School of Veterinary Medicine, Shiraz University, Shiraz, Iran</w:t>
      </w: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>
        <w:rPr>
          <w:rStyle w:val="tlid-translation"/>
          <w:rFonts w:asciiTheme="majorBidi" w:hAnsiTheme="majorBidi"/>
          <w:sz w:val="24"/>
          <w:szCs w:val="24"/>
          <w:vertAlign w:val="superscript"/>
        </w:rPr>
        <w:t>d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 xml:space="preserve"> </w:t>
      </w:r>
      <w:r w:rsidRPr="004A34F3">
        <w:rPr>
          <w:rFonts w:asciiTheme="majorBidi" w:hAnsiTheme="majorBidi" w:cstheme="majorBidi"/>
          <w:sz w:val="24"/>
          <w:szCs w:val="24"/>
        </w:rPr>
        <w:t>Department of Obstetrics and Gynecology, School of Medicine, Shiraz University of Medical Sciences, Shiraz, Iran</w:t>
      </w: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>
        <w:rPr>
          <w:rStyle w:val="tlid-translation"/>
          <w:rFonts w:asciiTheme="majorBidi" w:hAnsiTheme="majorBidi"/>
          <w:sz w:val="24"/>
          <w:szCs w:val="24"/>
          <w:vertAlign w:val="superscript"/>
        </w:rPr>
        <w:t>e</w:t>
      </w:r>
      <w:r w:rsidRPr="008B4BB9">
        <w:rPr>
          <w:rStyle w:val="tlid-translation"/>
          <w:rFonts w:asciiTheme="majorBidi" w:hAnsiTheme="majorBidi"/>
          <w:sz w:val="24"/>
          <w:szCs w:val="24"/>
          <w:vertAlign w:val="superscript"/>
        </w:rPr>
        <w:t xml:space="preserve"> 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Department of Stem Cells and Developmental Biology, Cell Science Research Center, </w:t>
      </w:r>
      <w:proofErr w:type="spellStart"/>
      <w:r w:rsidRPr="008B4BB9">
        <w:rPr>
          <w:rStyle w:val="tlid-translation"/>
          <w:rFonts w:asciiTheme="majorBidi" w:hAnsiTheme="majorBidi"/>
          <w:sz w:val="24"/>
          <w:szCs w:val="24"/>
        </w:rPr>
        <w:t>Royan</w:t>
      </w:r>
      <w:proofErr w:type="spellEnd"/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Institute for Stem Cell Biology and Technology, ACECR, Tehran, Iran</w:t>
      </w:r>
    </w:p>
    <w:p w:rsidR="002D2201" w:rsidRPr="008B4BB9" w:rsidRDefault="002D2201" w:rsidP="002D2201">
      <w:pPr>
        <w:spacing w:after="0" w:line="240" w:lineRule="auto"/>
        <w:jc w:val="both"/>
        <w:rPr>
          <w:rStyle w:val="tlid-translation"/>
          <w:rFonts w:asciiTheme="majorBidi" w:hAnsiTheme="majorBidi"/>
          <w:sz w:val="24"/>
          <w:szCs w:val="24"/>
        </w:rPr>
      </w:pPr>
      <w:r>
        <w:rPr>
          <w:rStyle w:val="tlid-translation"/>
          <w:rFonts w:asciiTheme="majorBidi" w:hAnsiTheme="majorBidi"/>
          <w:sz w:val="24"/>
          <w:szCs w:val="24"/>
          <w:vertAlign w:val="superscript"/>
        </w:rPr>
        <w:t>f</w:t>
      </w:r>
      <w:r w:rsidRPr="008B4BB9">
        <w:rPr>
          <w:rStyle w:val="tlid-translation"/>
          <w:rFonts w:asciiTheme="majorBidi" w:hAnsiTheme="majorBidi"/>
          <w:sz w:val="24"/>
          <w:szCs w:val="24"/>
        </w:rPr>
        <w:t xml:space="preserve"> Department of Developmental Biology, University of Science and Culture, Tehran, Iran</w:t>
      </w:r>
    </w:p>
    <w:p w:rsidR="002D2201" w:rsidRDefault="002D2201" w:rsidP="004C6C1D">
      <w:pPr>
        <w:pStyle w:val="Heading1"/>
        <w:spacing w:before="0" w:line="240" w:lineRule="auto"/>
        <w:jc w:val="both"/>
        <w:rPr>
          <w:rFonts w:asciiTheme="majorBidi" w:eastAsiaTheme="minorHAnsi" w:hAnsiTheme="majorBidi"/>
          <w:b/>
          <w:bCs/>
          <w:color w:val="auto"/>
          <w:sz w:val="24"/>
          <w:szCs w:val="24"/>
        </w:rPr>
      </w:pPr>
    </w:p>
    <w:p w:rsidR="004C6C1D" w:rsidRPr="008B4BB9" w:rsidRDefault="004C6C1D" w:rsidP="004C6C1D">
      <w:pPr>
        <w:pStyle w:val="Heading1"/>
        <w:spacing w:before="0" w:line="240" w:lineRule="auto"/>
        <w:jc w:val="both"/>
        <w:rPr>
          <w:rFonts w:asciiTheme="majorBidi" w:eastAsiaTheme="minorHAnsi" w:hAnsiTheme="majorBidi"/>
          <w:b/>
          <w:bCs/>
          <w:color w:val="auto"/>
          <w:sz w:val="24"/>
          <w:szCs w:val="24"/>
        </w:rPr>
      </w:pPr>
      <w:r w:rsidRPr="008B4BB9">
        <w:rPr>
          <w:rFonts w:asciiTheme="majorBidi" w:eastAsiaTheme="minorHAnsi" w:hAnsiTheme="majorBidi"/>
          <w:b/>
          <w:bCs/>
          <w:color w:val="auto"/>
          <w:sz w:val="24"/>
          <w:szCs w:val="24"/>
        </w:rPr>
        <w:t>Supplementary Figure</w:t>
      </w:r>
    </w:p>
    <w:p w:rsidR="004C6C1D" w:rsidRPr="008B4BB9" w:rsidRDefault="00A63B48" w:rsidP="004C6C1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A63B48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939155" cy="2777490"/>
            <wp:effectExtent l="0" t="0" r="4445" b="3810"/>
            <wp:wrapTopAndBottom/>
            <wp:docPr id="1" name="Picture 1" descr="G:\Projects\Jafarzadeh\Written article\Asadi Ovary neurons\Should be sent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ojects\Jafarzadeh\Written article\Asadi Ovary neurons\Should be sent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6C1D" w:rsidRPr="008B4BB9" w:rsidRDefault="004C6C1D" w:rsidP="004C6C1D">
      <w:pPr>
        <w:pStyle w:val="Heading2"/>
        <w:spacing w:before="0" w:line="240" w:lineRule="auto"/>
        <w:jc w:val="both"/>
        <w:rPr>
          <w:rFonts w:asciiTheme="majorBidi" w:eastAsiaTheme="minorHAnsi" w:hAnsiTheme="majorBidi"/>
          <w:color w:val="auto"/>
          <w:sz w:val="24"/>
          <w:szCs w:val="24"/>
        </w:rPr>
      </w:pPr>
      <w:r w:rsidRPr="008B4BB9">
        <w:rPr>
          <w:rFonts w:asciiTheme="majorBidi" w:eastAsiaTheme="minorHAnsi" w:hAnsiTheme="majorBidi"/>
          <w:color w:val="auto"/>
          <w:sz w:val="24"/>
          <w:szCs w:val="24"/>
        </w:rPr>
        <w:t>Fig. S1. Two-dimensional analysis of ovarian structures and ganglia in Golgi Cox staining.</w:t>
      </w:r>
    </w:p>
    <w:p w:rsidR="00B24028" w:rsidRPr="00BF79D0" w:rsidRDefault="004C6C1D" w:rsidP="00BF79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B4BB9">
        <w:rPr>
          <w:rFonts w:asciiTheme="majorBidi" w:hAnsiTheme="majorBidi" w:cstheme="majorBidi"/>
          <w:sz w:val="24"/>
          <w:szCs w:val="24"/>
        </w:rPr>
        <w:t xml:space="preserve">A) Steps of measuring the diameter and area of the ovarian follicle with “line” and “Oval” tools in </w:t>
      </w:r>
      <w:proofErr w:type="spellStart"/>
      <w:r w:rsidRPr="008B4BB9">
        <w:rPr>
          <w:rFonts w:asciiTheme="majorBidi" w:hAnsiTheme="majorBidi" w:cstheme="majorBidi"/>
          <w:sz w:val="24"/>
          <w:szCs w:val="24"/>
        </w:rPr>
        <w:t>ImageJ</w:t>
      </w:r>
      <w:proofErr w:type="spellEnd"/>
      <w:r w:rsidRPr="008B4BB9">
        <w:rPr>
          <w:rFonts w:asciiTheme="majorBidi" w:hAnsiTheme="majorBidi" w:cstheme="majorBidi"/>
          <w:sz w:val="24"/>
          <w:szCs w:val="24"/>
        </w:rPr>
        <w:t xml:space="preserve">. B) Segmentation of ganglia in the ovary to count and measure areas of ganglia with </w:t>
      </w:r>
      <w:proofErr w:type="spellStart"/>
      <w:r w:rsidRPr="008B4BB9">
        <w:rPr>
          <w:rFonts w:asciiTheme="majorBidi" w:hAnsiTheme="majorBidi" w:cstheme="majorBidi"/>
          <w:sz w:val="24"/>
          <w:szCs w:val="24"/>
        </w:rPr>
        <w:t>ImageJ</w:t>
      </w:r>
      <w:proofErr w:type="spellEnd"/>
      <w:r w:rsidRPr="008B4BB9">
        <w:rPr>
          <w:rFonts w:asciiTheme="majorBidi" w:hAnsiTheme="majorBidi" w:cstheme="majorBidi"/>
          <w:sz w:val="24"/>
          <w:szCs w:val="24"/>
        </w:rPr>
        <w:t xml:space="preserve"> “threshold” and “analyze particle” algorithms.</w:t>
      </w:r>
    </w:p>
    <w:sectPr w:rsidR="00B24028" w:rsidRPr="00BF79D0" w:rsidSect="004C6C1D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C2" w:rsidRDefault="006C25C2" w:rsidP="004C6C1D">
      <w:pPr>
        <w:spacing w:after="0" w:line="240" w:lineRule="auto"/>
      </w:pPr>
      <w:r>
        <w:separator/>
      </w:r>
    </w:p>
  </w:endnote>
  <w:endnote w:type="continuationSeparator" w:id="0">
    <w:p w:rsidR="006C25C2" w:rsidRDefault="006C25C2" w:rsidP="004C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335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426A" w:rsidRDefault="0092426A">
        <w:pPr>
          <w:pStyle w:val="Footer"/>
          <w:jc w:val="center"/>
        </w:pPr>
        <w:r w:rsidRPr="0092426A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2426A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92426A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A63B48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92426A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465F3D" w:rsidRPr="00943256" w:rsidRDefault="006C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C2" w:rsidRDefault="006C25C2" w:rsidP="004C6C1D">
      <w:pPr>
        <w:spacing w:after="0" w:line="240" w:lineRule="auto"/>
      </w:pPr>
      <w:r>
        <w:separator/>
      </w:r>
    </w:p>
  </w:footnote>
  <w:footnote w:type="continuationSeparator" w:id="0">
    <w:p w:rsidR="006C25C2" w:rsidRDefault="006C25C2" w:rsidP="004C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axtdrdk2vxezevtzgpa29x5wpp5d02rxr0&quot;&gt;Asadi&lt;record-ids&gt;&lt;item&gt;28&lt;/item&gt;&lt;item&gt;201&lt;/item&gt;&lt;/record-ids&gt;&lt;/item&gt;&lt;/Libraries&gt;"/>
  </w:docVars>
  <w:rsids>
    <w:rsidRoot w:val="004C6C1D"/>
    <w:rsid w:val="00015460"/>
    <w:rsid w:val="00272294"/>
    <w:rsid w:val="002D2201"/>
    <w:rsid w:val="003C0226"/>
    <w:rsid w:val="004C6C1D"/>
    <w:rsid w:val="006C25C2"/>
    <w:rsid w:val="0092426A"/>
    <w:rsid w:val="009C44C2"/>
    <w:rsid w:val="00A63B48"/>
    <w:rsid w:val="00B24028"/>
    <w:rsid w:val="00BA3169"/>
    <w:rsid w:val="00BF5E80"/>
    <w:rsid w:val="00BF79D0"/>
    <w:rsid w:val="00E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642794-8AD1-4D14-9EE7-BADC04C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1D"/>
  </w:style>
  <w:style w:type="paragraph" w:styleId="Heading1">
    <w:name w:val="heading 1"/>
    <w:basedOn w:val="Normal"/>
    <w:next w:val="Normal"/>
    <w:link w:val="Heading1Char"/>
    <w:uiPriority w:val="9"/>
    <w:qFormat/>
    <w:rsid w:val="004C6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6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lid-translation">
    <w:name w:val="tlid-translation"/>
    <w:basedOn w:val="DefaultParagraphFont"/>
    <w:rsid w:val="004C6C1D"/>
  </w:style>
  <w:style w:type="paragraph" w:customStyle="1" w:styleId="Default">
    <w:name w:val="Default"/>
    <w:rsid w:val="004C6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C1D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4C6C1D"/>
    <w:pPr>
      <w:spacing w:line="240" w:lineRule="auto"/>
    </w:pPr>
    <w:rPr>
      <w:rFonts w:ascii="Calibri" w:eastAsia="Calibri" w:hAnsi="Calibri" w:cs="Calibri"/>
      <w:noProof/>
      <w:szCs w:val="24"/>
      <w:lang w:bidi="fa-IR"/>
    </w:rPr>
  </w:style>
  <w:style w:type="character" w:customStyle="1" w:styleId="EndNoteBibliographyChar">
    <w:name w:val="EndNote Bibliography Char"/>
    <w:link w:val="EndNoteBibliography"/>
    <w:rsid w:val="004C6C1D"/>
    <w:rPr>
      <w:rFonts w:ascii="Calibri" w:eastAsia="Calibri" w:hAnsi="Calibri" w:cs="Calibri"/>
      <w:noProof/>
      <w:szCs w:val="24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6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6C1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C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C1D"/>
  </w:style>
  <w:style w:type="paragraph" w:styleId="Footer">
    <w:name w:val="footer"/>
    <w:basedOn w:val="Normal"/>
    <w:link w:val="FooterChar"/>
    <w:uiPriority w:val="99"/>
    <w:unhideWhenUsed/>
    <w:rsid w:val="004C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C1D"/>
  </w:style>
  <w:style w:type="paragraph" w:customStyle="1" w:styleId="EndNoteBibliographyTitle">
    <w:name w:val="EndNote Bibliography Title"/>
    <w:basedOn w:val="Normal"/>
    <w:link w:val="EndNoteBibliographyTitleChar"/>
    <w:rsid w:val="004C6C1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6C1D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rsid w:val="004C6C1D"/>
    <w:rPr>
      <w:color w:val="0563C1" w:themeColor="hyperlink"/>
      <w:u w:val="single"/>
    </w:rPr>
  </w:style>
  <w:style w:type="paragraph" w:customStyle="1" w:styleId="Style1">
    <w:name w:val="Style1"/>
    <w:basedOn w:val="Heading1"/>
    <w:link w:val="Style1Char"/>
    <w:qFormat/>
    <w:rsid w:val="004C6C1D"/>
    <w:pPr>
      <w:spacing w:line="240" w:lineRule="auto"/>
      <w:jc w:val="both"/>
    </w:pPr>
    <w:rPr>
      <w:rFonts w:asciiTheme="majorBidi" w:hAnsiTheme="majorBidi"/>
      <w:b/>
      <w:bCs/>
      <w:sz w:val="24"/>
      <w:szCs w:val="24"/>
    </w:rPr>
  </w:style>
  <w:style w:type="character" w:customStyle="1" w:styleId="Style1Char">
    <w:name w:val="Style1 Char"/>
    <w:basedOn w:val="Heading1Char"/>
    <w:link w:val="Style1"/>
    <w:rsid w:val="004C6C1D"/>
    <w:rPr>
      <w:rFonts w:asciiTheme="majorBidi" w:eastAsiaTheme="majorEastAsia" w:hAnsiTheme="majorBidi" w:cstheme="majorBidi"/>
      <w:b/>
      <w:bCs/>
      <w:color w:val="2E74B5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C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C1D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4C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Tamadon</dc:creator>
  <cp:keywords/>
  <dc:description/>
  <cp:lastModifiedBy>Amin Tamadon</cp:lastModifiedBy>
  <cp:revision>5</cp:revision>
  <dcterms:created xsi:type="dcterms:W3CDTF">2020-11-24T13:02:00Z</dcterms:created>
  <dcterms:modified xsi:type="dcterms:W3CDTF">2020-11-24T13:48:00Z</dcterms:modified>
</cp:coreProperties>
</file>