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2E61F" w14:textId="77777777" w:rsidR="009A521F" w:rsidRPr="00187D66" w:rsidRDefault="009A521F" w:rsidP="009A521F">
      <w:pPr>
        <w:pStyle w:val="font-claude-response-body"/>
        <w:spacing w:line="480" w:lineRule="auto"/>
        <w:ind w:left="360"/>
        <w:jc w:val="both"/>
        <w:rPr>
          <w:rFonts w:ascii="Arial" w:hAnsi="Arial" w:cs="Arial"/>
          <w:lang w:val="en-US"/>
        </w:rPr>
      </w:pPr>
      <w:r w:rsidRPr="00187D66">
        <w:rPr>
          <w:rStyle w:val="animatingyu34g10"/>
          <w:rFonts w:ascii="Arial" w:hAnsi="Arial" w:cs="Arial"/>
          <w:b/>
          <w:bCs/>
          <w:lang w:val="en-US"/>
        </w:rPr>
        <w:t>Supplementary Figure 1. Relationship between Average Nucleotide Identity (ANI) and shared genome fraction among the genomes analysed.</w:t>
      </w:r>
      <w:r w:rsidRPr="00187D66">
        <w:rPr>
          <w:rStyle w:val="animatingyu34g10"/>
          <w:rFonts w:ascii="Arial" w:hAnsi="Arial" w:cs="Arial"/>
          <w:lang w:val="en-US"/>
        </w:rPr>
        <w:t xml:space="preserve"> Each point represents a pairwise comparison. Panels show results obtained for different genomic compartments: (A) whole genome, (B) chromosome I, (C) chromosome II, and (D) plasmids. The x-axis represents ANI (%) and the y-axis the shared genome fraction (%). </w:t>
      </w:r>
    </w:p>
    <w:p w14:paraId="0AD32185" w14:textId="77777777" w:rsidR="009A521F" w:rsidRPr="00187D66" w:rsidRDefault="009A521F" w:rsidP="009A521F">
      <w:pPr>
        <w:pStyle w:val="font-claude-response-body"/>
        <w:spacing w:line="480" w:lineRule="auto"/>
        <w:ind w:left="360"/>
        <w:jc w:val="both"/>
        <w:rPr>
          <w:rStyle w:val="animatingyu34g10"/>
          <w:rFonts w:ascii="Arial" w:hAnsi="Arial" w:cs="Arial"/>
          <w:lang w:val="en-US"/>
        </w:rPr>
      </w:pPr>
      <w:r w:rsidRPr="00187D66">
        <w:rPr>
          <w:rStyle w:val="animatingyu34g10"/>
          <w:rFonts w:ascii="Arial" w:hAnsi="Arial" w:cs="Arial"/>
          <w:b/>
          <w:bCs/>
          <w:lang w:val="en-US"/>
        </w:rPr>
        <w:t>Supplementary Figure 2. Principal component analysis of codon usage across replicons.</w:t>
      </w:r>
      <w:r w:rsidRPr="00187D66">
        <w:rPr>
          <w:rStyle w:val="animatingyu34g10"/>
          <w:rFonts w:ascii="Arial" w:hAnsi="Arial" w:cs="Arial"/>
          <w:lang w:val="en-US"/>
        </w:rPr>
        <w:t xml:space="preserve"> Principal component analysis (PCA) based on relative synonymous codon usage (RSCU) values calculated from all predicted protein-coding sequences of each replicon. </w:t>
      </w:r>
    </w:p>
    <w:p w14:paraId="60B9A5E9" w14:textId="77777777" w:rsidR="009A521F" w:rsidRPr="00187D66" w:rsidRDefault="009A521F" w:rsidP="009A521F">
      <w:pPr>
        <w:pStyle w:val="font-claude-response-body"/>
        <w:spacing w:line="480" w:lineRule="auto"/>
        <w:ind w:left="360"/>
        <w:jc w:val="both"/>
        <w:rPr>
          <w:rStyle w:val="animatingyu34g10"/>
          <w:rFonts w:ascii="Arial" w:hAnsi="Arial" w:cs="Arial"/>
          <w:lang w:val="en-US"/>
        </w:rPr>
      </w:pPr>
      <w:r w:rsidRPr="00187D66">
        <w:rPr>
          <w:rStyle w:val="animatingyu34g10"/>
          <w:rFonts w:ascii="Arial" w:hAnsi="Arial" w:cs="Arial"/>
          <w:b/>
          <w:bCs/>
          <w:lang w:val="en-US"/>
        </w:rPr>
        <w:t>Supplementary Figure 3. Distribution of predicted signal peptide-containing proteins between replicons.</w:t>
      </w:r>
      <w:r w:rsidRPr="00187D66">
        <w:rPr>
          <w:rStyle w:val="animatingyu34g10"/>
          <w:rFonts w:ascii="Arial" w:hAnsi="Arial" w:cs="Arial"/>
          <w:lang w:val="en-US"/>
        </w:rPr>
        <w:t xml:space="preserve"> Relative abundance of proteins predicted to contain Sec-dependent signal peptides (SP), lipoprotein signal peptides (LIPO), type IV pilin signal peptides (PILIN), twin-arginine translocation signal peptides (TAT), and Tat-dependent lipoprotein signal peptides (TATLIPO) in ChrI and ChrII, predicted with SignalP 6.0. Values are expressed as the percentage of proteins assigned to each category relative to the total number of proteins encoded by each replicon. Boxplots show the distribution across genomes and points represent individual strains. </w:t>
      </w:r>
    </w:p>
    <w:p w14:paraId="4D1EB722" w14:textId="77777777" w:rsidR="009A521F" w:rsidRPr="00187D66" w:rsidRDefault="009A521F" w:rsidP="009A521F">
      <w:pPr>
        <w:pStyle w:val="font-claude-response-body"/>
        <w:spacing w:line="480" w:lineRule="auto"/>
        <w:ind w:left="360"/>
        <w:jc w:val="both"/>
        <w:rPr>
          <w:rFonts w:ascii="Arial" w:hAnsi="Arial" w:cs="Arial"/>
          <w:lang w:val="en-US"/>
        </w:rPr>
      </w:pPr>
      <w:r w:rsidRPr="00187D66">
        <w:rPr>
          <w:rStyle w:val="animatingyu34g10"/>
          <w:rFonts w:ascii="Arial" w:hAnsi="Arial" w:cs="Arial"/>
          <w:b/>
          <w:bCs/>
          <w:lang w:val="en-US"/>
        </w:rPr>
        <w:t>Supplementary Figure 4. Distribution of quorum-sensing and c-di-GMP signalling components between chromosome I and chromosome II.</w:t>
      </w:r>
      <w:r w:rsidRPr="00187D66">
        <w:rPr>
          <w:rStyle w:val="animatingyu34g10"/>
          <w:rFonts w:ascii="Arial" w:hAnsi="Arial" w:cs="Arial"/>
          <w:lang w:val="en-US"/>
        </w:rPr>
        <w:t xml:space="preserve"> (A) Quorum-sensing regulatory network showing the chromosomal location of genes involved in autoinducer biosynthesis, signal detection, signal integration, and regulatory output. (B) Distribution of genes associated with c-</w:t>
      </w:r>
      <w:r w:rsidRPr="00187D66">
        <w:rPr>
          <w:rStyle w:val="animatingyu34g10"/>
          <w:rFonts w:ascii="Arial" w:hAnsi="Arial" w:cs="Arial"/>
          <w:lang w:val="en-US"/>
        </w:rPr>
        <w:lastRenderedPageBreak/>
        <w:t xml:space="preserve">di-GMP signalling and biofilm-related functions, including diguanylate cyclases (DGCs), phosphodiesterases (PDEs), and components of the MSHA type IV pilus. Dark blue indicates genes located in the chromosome I core genome, teal indicates genes located in the chromosome II core genome, and hatched boxes indicate flexible genes detected on either replicon depending on the strain. </w:t>
      </w:r>
    </w:p>
    <w:p w14:paraId="2E6464E0" w14:textId="77777777" w:rsidR="009A521F" w:rsidRPr="00187D66" w:rsidRDefault="009A521F" w:rsidP="009A521F">
      <w:pPr>
        <w:pStyle w:val="font-claude-response-body"/>
        <w:spacing w:line="480" w:lineRule="auto"/>
        <w:ind w:left="360"/>
        <w:jc w:val="both"/>
        <w:rPr>
          <w:rFonts w:ascii="Arial" w:hAnsi="Arial" w:cs="Arial"/>
          <w:lang w:val="en-US"/>
        </w:rPr>
      </w:pPr>
      <w:r w:rsidRPr="00187D66">
        <w:rPr>
          <w:rStyle w:val="animatingyu34g10"/>
          <w:rFonts w:ascii="Arial" w:hAnsi="Arial" w:cs="Arial"/>
          <w:b/>
          <w:bCs/>
          <w:lang w:val="en-US"/>
        </w:rPr>
        <w:t xml:space="preserve">Supplementary Figure 5. Relative increase in the </w:t>
      </w:r>
      <w:r w:rsidRPr="00187D66">
        <w:rPr>
          <w:rFonts w:ascii="Arial" w:hAnsi="Arial" w:cs="Arial"/>
          <w:b/>
          <w:bCs/>
          <w:lang w:val="en-US"/>
        </w:rPr>
        <w:t>fraction of each replicon with detectable transcription</w:t>
      </w:r>
      <w:r w:rsidRPr="00187D66">
        <w:rPr>
          <w:rStyle w:val="animatingyu34g10"/>
          <w:rFonts w:ascii="Arial" w:hAnsi="Arial" w:cs="Arial"/>
          <w:b/>
          <w:bCs/>
          <w:lang w:val="en-US"/>
        </w:rPr>
        <w:t xml:space="preserve"> during coculture.</w:t>
      </w:r>
      <w:r w:rsidRPr="00187D66">
        <w:rPr>
          <w:rStyle w:val="animatingyu34g10"/>
          <w:rFonts w:ascii="Arial" w:hAnsi="Arial" w:cs="Arial"/>
          <w:lang w:val="en-US"/>
        </w:rPr>
        <w:t xml:space="preserve"> Fold change in the proportion of covered genomic positions (sequencing depth &gt; 0) in ChrI and ChrII in cocultures relative to monocultures at 20°C and 28°C. Values were calculated from RNA-seq depth profiles as the ratio between the proportion of covered positions in mixed and pure cultures. Points represent biological replicates and boxplots indicate the distribution of replicate values. </w:t>
      </w:r>
    </w:p>
    <w:p w14:paraId="5C7EB0D4" w14:textId="77777777" w:rsidR="009A521F" w:rsidRPr="00187D66" w:rsidRDefault="009A521F" w:rsidP="009A521F">
      <w:pPr>
        <w:pStyle w:val="font-claude-response-body"/>
        <w:spacing w:line="480" w:lineRule="auto"/>
        <w:ind w:left="360"/>
        <w:jc w:val="both"/>
        <w:rPr>
          <w:rFonts w:ascii="Arial" w:hAnsi="Arial" w:cs="Arial"/>
          <w:lang w:val="en-US"/>
        </w:rPr>
      </w:pPr>
      <w:r w:rsidRPr="00187D66">
        <w:rPr>
          <w:rStyle w:val="animatingyu34g10"/>
          <w:rFonts w:ascii="Arial" w:hAnsi="Arial" w:cs="Arial"/>
          <w:b/>
          <w:bCs/>
          <w:lang w:val="en-US"/>
        </w:rPr>
        <w:t>Supplementary Figure 6. Distribution of major defence-system categories between chromosomes.</w:t>
      </w:r>
      <w:r w:rsidRPr="00187D66">
        <w:rPr>
          <w:rStyle w:val="animatingyu34g10"/>
          <w:rFonts w:ascii="Arial" w:hAnsi="Arial" w:cs="Arial"/>
          <w:lang w:val="en-US"/>
        </w:rPr>
        <w:t xml:space="preserve"> Density of the most abundant defence-system categories identified with PADLOC in ChrI and ChrII, normalised by chromosome size. Boxes represent interquartile ranges, horizontal lines indicate medians, and points correspond to individual genomes. PDCs represent putative defence clusters lacking functional classification.</w:t>
      </w:r>
    </w:p>
    <w:p w14:paraId="03528B7D" w14:textId="77777777" w:rsidR="009A521F" w:rsidRPr="00187D66" w:rsidRDefault="009A521F" w:rsidP="009A521F">
      <w:pPr>
        <w:pStyle w:val="font-claude-response-body"/>
        <w:spacing w:line="480" w:lineRule="auto"/>
        <w:ind w:left="360"/>
        <w:jc w:val="both"/>
        <w:rPr>
          <w:rStyle w:val="animatingyu34g10"/>
          <w:rFonts w:ascii="Arial" w:hAnsi="Arial" w:cs="Arial"/>
          <w:lang w:val="en-US"/>
        </w:rPr>
      </w:pPr>
      <w:r w:rsidRPr="00187D66">
        <w:rPr>
          <w:rStyle w:val="animatingyu34g10"/>
          <w:rFonts w:ascii="Arial" w:hAnsi="Arial" w:cs="Arial"/>
          <w:b/>
          <w:bCs/>
          <w:lang w:val="en-US"/>
        </w:rPr>
        <w:t xml:space="preserve">Supplementary Figure 7. </w:t>
      </w:r>
      <w:r w:rsidRPr="00187D66">
        <w:rPr>
          <w:rFonts w:ascii="Arial" w:hAnsi="Arial" w:cs="Arial"/>
          <w:b/>
          <w:bCs/>
          <w:lang w:val="en-US"/>
        </w:rPr>
        <w:t xml:space="preserve">Distribution of inferred homologous recombination interval lengths in </w:t>
      </w:r>
      <w:r w:rsidRPr="00187D66">
        <w:rPr>
          <w:rFonts w:ascii="Arial" w:hAnsi="Arial" w:cs="Arial"/>
          <w:b/>
          <w:bCs/>
          <w:i/>
          <w:iCs/>
          <w:lang w:val="en-US"/>
        </w:rPr>
        <w:t>Vibrio coralliilyticus</w:t>
      </w:r>
      <w:r w:rsidRPr="00187D66">
        <w:rPr>
          <w:rFonts w:ascii="Arial" w:hAnsi="Arial" w:cs="Arial"/>
          <w:b/>
          <w:bCs/>
          <w:lang w:val="en-US"/>
        </w:rPr>
        <w:t xml:space="preserve">. </w:t>
      </w:r>
      <w:r w:rsidRPr="00187D66">
        <w:rPr>
          <w:rFonts w:ascii="Arial" w:hAnsi="Arial" w:cs="Arial"/>
          <w:lang w:val="en-US"/>
        </w:rPr>
        <w:t>Histograms of recombinant interval lengths inferred by ClonalFrameML for ChrI (A) and ChrII (B). Dashed vertical lines indicate the median interval length.</w:t>
      </w:r>
    </w:p>
    <w:p w14:paraId="10BDDF0E" w14:textId="77777777" w:rsidR="009A521F" w:rsidRPr="00187D66" w:rsidRDefault="009A521F" w:rsidP="009A521F">
      <w:pPr>
        <w:pStyle w:val="font-claude-response-body"/>
        <w:spacing w:line="480" w:lineRule="auto"/>
        <w:ind w:left="360"/>
        <w:jc w:val="both"/>
        <w:rPr>
          <w:rStyle w:val="animatingyu34g10"/>
          <w:rFonts w:ascii="Arial" w:hAnsi="Arial" w:cs="Arial"/>
          <w:b/>
          <w:bCs/>
          <w:lang w:val="en-US"/>
        </w:rPr>
      </w:pPr>
    </w:p>
    <w:p w14:paraId="5F22C8BE" w14:textId="77777777" w:rsidR="009A521F" w:rsidRPr="00187D66" w:rsidRDefault="009A521F" w:rsidP="009A521F">
      <w:pPr>
        <w:pStyle w:val="font-claude-response-body"/>
        <w:spacing w:line="480" w:lineRule="auto"/>
        <w:ind w:left="360"/>
        <w:jc w:val="both"/>
        <w:rPr>
          <w:rFonts w:ascii="Arial" w:hAnsi="Arial" w:cs="Arial"/>
          <w:lang w:val="en-US"/>
        </w:rPr>
      </w:pPr>
      <w:r w:rsidRPr="00187D66">
        <w:rPr>
          <w:rStyle w:val="animatingyu34g10"/>
          <w:rFonts w:ascii="Arial" w:hAnsi="Arial" w:cs="Arial"/>
          <w:b/>
          <w:bCs/>
          <w:lang w:val="en-US"/>
        </w:rPr>
        <w:t>Supplementary Figure 8. Relationship between chromosomal and plasmid-associated transposase families in isolates carrying Type2 megaplasmids.</w:t>
      </w:r>
      <w:r w:rsidRPr="00187D66">
        <w:rPr>
          <w:rStyle w:val="animatingyu34g10"/>
          <w:rFonts w:ascii="Arial" w:hAnsi="Arial" w:cs="Arial"/>
          <w:lang w:val="en-US"/>
        </w:rPr>
        <w:t xml:space="preserve"> Stacked bars show the number of non-redundant chromosomal transposase families (clustered at 90% identity and 70% coverage) detected in ChrI and ChrII of each isolate carrying a Type2 plasmid. Transposase families were classified according to whether they were also detected in the plasmid carried by the same strain (</w:t>
      </w:r>
      <w:r w:rsidRPr="00187D66">
        <w:rPr>
          <w:rStyle w:val="animatingyu34g10"/>
          <w:rFonts w:ascii="Arial" w:hAnsi="Arial" w:cs="Arial"/>
          <w:i/>
          <w:iCs/>
          <w:lang w:val="en-US"/>
        </w:rPr>
        <w:t>Own plasmid family</w:t>
      </w:r>
      <w:r w:rsidRPr="00187D66">
        <w:rPr>
          <w:rStyle w:val="animatingyu34g10"/>
          <w:rFonts w:ascii="Arial" w:hAnsi="Arial" w:cs="Arial"/>
          <w:lang w:val="en-US"/>
        </w:rPr>
        <w:t>), detected only in Type2 plasmids from other strains (</w:t>
      </w:r>
      <w:r w:rsidRPr="00187D66">
        <w:rPr>
          <w:rStyle w:val="animatingyu34g10"/>
          <w:rFonts w:ascii="Arial" w:hAnsi="Arial" w:cs="Arial"/>
          <w:i/>
          <w:iCs/>
          <w:lang w:val="en-US"/>
        </w:rPr>
        <w:t>Other plasmid families</w:t>
      </w:r>
      <w:r w:rsidRPr="00187D66">
        <w:rPr>
          <w:rStyle w:val="animatingyu34g10"/>
          <w:rFonts w:ascii="Arial" w:hAnsi="Arial" w:cs="Arial"/>
          <w:lang w:val="en-US"/>
        </w:rPr>
        <w:t>), or not detected in any Type2 plasmid analysed (</w:t>
      </w:r>
      <w:r w:rsidRPr="00187D66">
        <w:rPr>
          <w:rStyle w:val="animatingyu34g10"/>
          <w:rFonts w:ascii="Arial" w:hAnsi="Arial" w:cs="Arial"/>
          <w:i/>
          <w:iCs/>
          <w:lang w:val="en-US"/>
        </w:rPr>
        <w:t>No plasmid hit</w:t>
      </w:r>
      <w:r w:rsidRPr="00187D66">
        <w:rPr>
          <w:rStyle w:val="animatingyu34g10"/>
          <w:rFonts w:ascii="Arial" w:hAnsi="Arial" w:cs="Arial"/>
          <w:lang w:val="en-US"/>
        </w:rPr>
        <w:t>).</w:t>
      </w:r>
    </w:p>
    <w:p w14:paraId="547C1BC1" w14:textId="77777777" w:rsidR="009A521F" w:rsidRPr="009C1F25" w:rsidRDefault="009A521F" w:rsidP="009A521F">
      <w:pPr>
        <w:spacing w:line="480" w:lineRule="auto"/>
        <w:ind w:left="360"/>
        <w:jc w:val="both"/>
        <w:rPr>
          <w:rFonts w:ascii="Arial" w:hAnsi="Arial" w:cs="Arial"/>
          <w:b/>
          <w:sz w:val="24"/>
          <w:szCs w:val="24"/>
          <w:lang w:val="en-US"/>
        </w:rPr>
      </w:pPr>
      <w:r w:rsidRPr="009C1F25">
        <w:rPr>
          <w:rFonts w:ascii="Arial" w:hAnsi="Arial" w:cs="Arial"/>
          <w:b/>
          <w:bCs/>
          <w:sz w:val="24"/>
          <w:szCs w:val="24"/>
          <w:lang w:val="en-US"/>
        </w:rPr>
        <w:t>Supplementary Figure 9.</w:t>
      </w:r>
      <w:r w:rsidRPr="009C1F25">
        <w:rPr>
          <w:rFonts w:ascii="Arial" w:hAnsi="Arial" w:cs="Arial"/>
          <w:sz w:val="24"/>
          <w:szCs w:val="24"/>
          <w:lang w:val="en-US"/>
        </w:rPr>
        <w:t xml:space="preserve"> </w:t>
      </w:r>
      <w:r w:rsidRPr="009C1F25">
        <w:rPr>
          <w:rFonts w:ascii="Arial" w:hAnsi="Arial" w:cs="Arial"/>
          <w:b/>
          <w:bCs/>
          <w:sz w:val="24"/>
          <w:szCs w:val="24"/>
          <w:lang w:val="en-US"/>
        </w:rPr>
        <w:t xml:space="preserve">Phylogenomic relationships among </w:t>
      </w:r>
      <w:r w:rsidRPr="009C1F25">
        <w:rPr>
          <w:rFonts w:ascii="Arial" w:hAnsi="Arial" w:cs="Arial"/>
          <w:b/>
          <w:bCs/>
          <w:i/>
          <w:iCs/>
          <w:sz w:val="24"/>
          <w:szCs w:val="24"/>
          <w:lang w:val="en-US"/>
        </w:rPr>
        <w:t>Vibrio coralliilyticus</w:t>
      </w:r>
      <w:r w:rsidRPr="009C1F25">
        <w:rPr>
          <w:rFonts w:ascii="Arial" w:hAnsi="Arial" w:cs="Arial"/>
          <w:b/>
          <w:bCs/>
          <w:sz w:val="24"/>
          <w:szCs w:val="24"/>
          <w:lang w:val="en-US"/>
        </w:rPr>
        <w:t xml:space="preserve"> isolates.</w:t>
      </w:r>
      <w:r w:rsidRPr="009C1F25">
        <w:rPr>
          <w:rFonts w:ascii="Arial" w:hAnsi="Arial" w:cs="Arial"/>
          <w:sz w:val="24"/>
          <w:szCs w:val="24"/>
          <w:lang w:val="en-US"/>
        </w:rPr>
        <w:t xml:space="preserve"> Genome-based phylogenomic tree inferred using the Type (Strain) Genome Server (TYGS) from the 27 complete </w:t>
      </w:r>
      <w:r w:rsidRPr="009C1F25">
        <w:rPr>
          <w:rFonts w:ascii="Arial" w:hAnsi="Arial" w:cs="Arial"/>
          <w:i/>
          <w:iCs/>
          <w:sz w:val="24"/>
          <w:szCs w:val="24"/>
          <w:lang w:val="en-US"/>
        </w:rPr>
        <w:t>V. coralliilyticus</w:t>
      </w:r>
      <w:r w:rsidRPr="009C1F25">
        <w:rPr>
          <w:rFonts w:ascii="Arial" w:hAnsi="Arial" w:cs="Arial"/>
          <w:sz w:val="24"/>
          <w:szCs w:val="24"/>
          <w:lang w:val="en-US"/>
        </w:rPr>
        <w:t xml:space="preserve"> genomes analysed in this study. </w:t>
      </w:r>
      <w:r w:rsidRPr="009C1F25">
        <w:rPr>
          <w:rFonts w:ascii="Arial" w:hAnsi="Arial" w:cs="Arial"/>
          <w:i/>
          <w:sz w:val="24"/>
          <w:szCs w:val="24"/>
          <w:lang w:val="en-US"/>
        </w:rPr>
        <w:t>V. neptunius</w:t>
      </w:r>
      <w:r w:rsidRPr="009C1F25">
        <w:rPr>
          <w:rFonts w:ascii="Arial" w:hAnsi="Arial" w:cs="Arial"/>
          <w:sz w:val="24"/>
          <w:szCs w:val="24"/>
          <w:lang w:val="en-US"/>
        </w:rPr>
        <w:t xml:space="preserve"> KCTC 12702 was included for comparison. </w:t>
      </w:r>
      <w:r w:rsidRPr="009C1F25">
        <w:rPr>
          <w:rFonts w:ascii="Arial" w:hAnsi="Arial" w:cs="Arial"/>
          <w:i/>
          <w:iCs/>
          <w:sz w:val="24"/>
          <w:szCs w:val="24"/>
          <w:lang w:val="en-US"/>
        </w:rPr>
        <w:t>Vibrio vulnificus</w:t>
      </w:r>
      <w:r w:rsidRPr="009C1F25">
        <w:rPr>
          <w:rFonts w:ascii="Arial" w:hAnsi="Arial" w:cs="Arial"/>
          <w:sz w:val="24"/>
          <w:szCs w:val="24"/>
          <w:lang w:val="en-US"/>
        </w:rPr>
        <w:t xml:space="preserve"> NBRC 15645 was used as the outgroup. Isolate names are colour-coded according to plasmid lineage: Type1 (purple), Type2 (magenta), and no plasmid detected (black).</w:t>
      </w:r>
      <w:r w:rsidRPr="009C1F25">
        <w:rPr>
          <w:rFonts w:ascii="Arial" w:hAnsi="Arial" w:cs="Arial"/>
          <w:b/>
          <w:sz w:val="24"/>
          <w:szCs w:val="24"/>
          <w:lang w:val="en-US"/>
        </w:rPr>
        <w:br w:type="page"/>
      </w:r>
    </w:p>
    <w:p w14:paraId="2D2A2C3D" w14:textId="77777777" w:rsidR="00F553FF" w:rsidRDefault="00F553FF"/>
    <w:sectPr w:rsidR="00F553FF" w:rsidSect="009A521F">
      <w:footerReference w:type="default" r:id="rId4"/>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463399"/>
      <w:docPartObj>
        <w:docPartGallery w:val="Page Numbers (Bottom of Page)"/>
        <w:docPartUnique/>
      </w:docPartObj>
    </w:sdtPr>
    <w:sdtContent>
      <w:p w14:paraId="3841A92F" w14:textId="77777777" w:rsidR="009A521F" w:rsidRDefault="009A521F">
        <w:pPr>
          <w:pStyle w:val="Footer"/>
          <w:jc w:val="center"/>
        </w:pPr>
        <w:r>
          <w:fldChar w:fldCharType="begin"/>
        </w:r>
        <w:r>
          <w:instrText>PAGE   \* MERGEFORMAT</w:instrText>
        </w:r>
        <w:r>
          <w:fldChar w:fldCharType="separate"/>
        </w:r>
        <w:r>
          <w:rPr>
            <w:noProof/>
          </w:rPr>
          <w:t>29</w:t>
        </w:r>
        <w:r>
          <w:fldChar w:fldCharType="end"/>
        </w:r>
      </w:p>
    </w:sdtContent>
  </w:sdt>
  <w:p w14:paraId="4A044365" w14:textId="77777777" w:rsidR="009A521F" w:rsidRDefault="009A521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1F"/>
    <w:rsid w:val="003C2EF4"/>
    <w:rsid w:val="00446799"/>
    <w:rsid w:val="00471820"/>
    <w:rsid w:val="006A7E07"/>
    <w:rsid w:val="00701021"/>
    <w:rsid w:val="00866E40"/>
    <w:rsid w:val="00892138"/>
    <w:rsid w:val="009A521F"/>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757A"/>
  <w15:chartTrackingRefBased/>
  <w15:docId w15:val="{79BF3977-A3F2-4E6D-B8EF-2D243F84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21F"/>
    <w:pPr>
      <w:spacing w:line="259" w:lineRule="auto"/>
    </w:pPr>
    <w:rPr>
      <w:sz w:val="22"/>
      <w:szCs w:val="22"/>
      <w:lang w:val="es-ES"/>
    </w:rPr>
  </w:style>
  <w:style w:type="paragraph" w:styleId="Heading1">
    <w:name w:val="heading 1"/>
    <w:basedOn w:val="Normal"/>
    <w:next w:val="Normal"/>
    <w:link w:val="Heading1Char"/>
    <w:uiPriority w:val="9"/>
    <w:qFormat/>
    <w:rsid w:val="009A521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9A521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A521F"/>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A521F"/>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9A521F"/>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9A521F"/>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9A521F"/>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9A521F"/>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9A521F"/>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21F"/>
    <w:rPr>
      <w:rFonts w:eastAsiaTheme="majorEastAsia" w:cstheme="majorBidi"/>
      <w:color w:val="272727" w:themeColor="text1" w:themeTint="D8"/>
    </w:rPr>
  </w:style>
  <w:style w:type="paragraph" w:styleId="Title">
    <w:name w:val="Title"/>
    <w:basedOn w:val="Normal"/>
    <w:next w:val="Normal"/>
    <w:link w:val="TitleChar"/>
    <w:uiPriority w:val="10"/>
    <w:qFormat/>
    <w:rsid w:val="009A521F"/>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A5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21F"/>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A5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21F"/>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9A521F"/>
    <w:rPr>
      <w:i/>
      <w:iCs/>
      <w:color w:val="404040" w:themeColor="text1" w:themeTint="BF"/>
    </w:rPr>
  </w:style>
  <w:style w:type="paragraph" w:styleId="ListParagraph">
    <w:name w:val="List Paragraph"/>
    <w:basedOn w:val="Normal"/>
    <w:uiPriority w:val="34"/>
    <w:qFormat/>
    <w:rsid w:val="009A521F"/>
    <w:pPr>
      <w:spacing w:line="278" w:lineRule="auto"/>
      <w:ind w:left="720"/>
      <w:contextualSpacing/>
    </w:pPr>
    <w:rPr>
      <w:sz w:val="24"/>
      <w:szCs w:val="24"/>
      <w:lang w:val="en-US"/>
    </w:rPr>
  </w:style>
  <w:style w:type="character" w:styleId="IntenseEmphasis">
    <w:name w:val="Intense Emphasis"/>
    <w:basedOn w:val="DefaultParagraphFont"/>
    <w:uiPriority w:val="21"/>
    <w:qFormat/>
    <w:rsid w:val="009A521F"/>
    <w:rPr>
      <w:i/>
      <w:iCs/>
      <w:color w:val="0F4761" w:themeColor="accent1" w:themeShade="BF"/>
    </w:rPr>
  </w:style>
  <w:style w:type="paragraph" w:styleId="IntenseQuote">
    <w:name w:val="Intense Quote"/>
    <w:basedOn w:val="Normal"/>
    <w:next w:val="Normal"/>
    <w:link w:val="IntenseQuoteChar"/>
    <w:uiPriority w:val="30"/>
    <w:qFormat/>
    <w:rsid w:val="009A521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9A521F"/>
    <w:rPr>
      <w:i/>
      <w:iCs/>
      <w:color w:val="0F4761" w:themeColor="accent1" w:themeShade="BF"/>
    </w:rPr>
  </w:style>
  <w:style w:type="character" w:styleId="IntenseReference">
    <w:name w:val="Intense Reference"/>
    <w:basedOn w:val="DefaultParagraphFont"/>
    <w:uiPriority w:val="32"/>
    <w:qFormat/>
    <w:rsid w:val="009A521F"/>
    <w:rPr>
      <w:b/>
      <w:bCs/>
      <w:smallCaps/>
      <w:color w:val="0F4761" w:themeColor="accent1" w:themeShade="BF"/>
      <w:spacing w:val="5"/>
    </w:rPr>
  </w:style>
  <w:style w:type="paragraph" w:styleId="Footer">
    <w:name w:val="footer"/>
    <w:basedOn w:val="Normal"/>
    <w:link w:val="FooterChar"/>
    <w:uiPriority w:val="99"/>
    <w:unhideWhenUsed/>
    <w:rsid w:val="009A521F"/>
    <w:pPr>
      <w:tabs>
        <w:tab w:val="center" w:pos="4252"/>
        <w:tab w:val="right" w:pos="8504"/>
      </w:tabs>
      <w:spacing w:after="0" w:line="240" w:lineRule="auto"/>
    </w:pPr>
  </w:style>
  <w:style w:type="character" w:customStyle="1" w:styleId="FooterChar">
    <w:name w:val="Footer Char"/>
    <w:basedOn w:val="DefaultParagraphFont"/>
    <w:link w:val="Footer"/>
    <w:uiPriority w:val="99"/>
    <w:rsid w:val="009A521F"/>
    <w:rPr>
      <w:sz w:val="22"/>
      <w:szCs w:val="22"/>
      <w:lang w:val="es-ES"/>
    </w:rPr>
  </w:style>
  <w:style w:type="paragraph" w:customStyle="1" w:styleId="font-claude-response-body">
    <w:name w:val="font-claude-response-body"/>
    <w:basedOn w:val="Normal"/>
    <w:rsid w:val="009A521F"/>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animatingyu34g10">
    <w:name w:val="_animating_yu34g_10"/>
    <w:basedOn w:val="DefaultParagraphFont"/>
    <w:rsid w:val="009A521F"/>
  </w:style>
  <w:style w:type="character" w:styleId="LineNumber">
    <w:name w:val="line number"/>
    <w:basedOn w:val="DefaultParagraphFont"/>
    <w:uiPriority w:val="99"/>
    <w:semiHidden/>
    <w:unhideWhenUsed/>
    <w:rsid w:val="009A5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3698</Characters>
  <Application>Microsoft Office Word</Application>
  <DocSecurity>0</DocSecurity>
  <Lines>30</Lines>
  <Paragraphs>8</Paragraphs>
  <ScaleCrop>false</ScaleCrop>
  <Company>Springer Nature</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2026-11-02T06:50:00Z</dcterms:created>
  <dcterms:modified xsi:type="dcterms:W3CDTF">2026-11-02T06:50:00Z</dcterms:modified>
</cp:coreProperties>
</file>