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5DF732" w14:textId="2D37F88F" w:rsidR="00CC4974" w:rsidRPr="00572ADC" w:rsidRDefault="00CC4974" w:rsidP="00572ADC">
      <w:pPr>
        <w:spacing w:after="0" w:line="480" w:lineRule="auto"/>
        <w:jc w:val="both"/>
        <w:rPr>
          <w:rFonts w:ascii="Lucida Bright" w:hAnsi="Lucida Bright"/>
          <w:sz w:val="20"/>
          <w:szCs w:val="20"/>
        </w:rPr>
      </w:pPr>
      <w:r w:rsidRPr="00572ADC">
        <w:rPr>
          <w:rFonts w:ascii="Lucida Bright" w:hAnsi="Lucida Bright"/>
          <w:b/>
          <w:bCs/>
          <w:sz w:val="20"/>
          <w:szCs w:val="20"/>
        </w:rPr>
        <w:t xml:space="preserve">Additional File 1. </w:t>
      </w:r>
      <w:r w:rsidRPr="00572ADC">
        <w:rPr>
          <w:rFonts w:ascii="Lucida Bright" w:hAnsi="Lucida Bright"/>
          <w:sz w:val="20"/>
          <w:szCs w:val="20"/>
        </w:rPr>
        <w:t>Summary of included studies.</w:t>
      </w:r>
    </w:p>
    <w:tbl>
      <w:tblPr>
        <w:tblStyle w:val="TableGrid"/>
        <w:tblW w:w="5000" w:type="pct"/>
        <w:tblLook w:val="04A0" w:firstRow="1" w:lastRow="0" w:firstColumn="1" w:lastColumn="0" w:noHBand="0" w:noVBand="1"/>
      </w:tblPr>
      <w:tblGrid>
        <w:gridCol w:w="1737"/>
        <w:gridCol w:w="2423"/>
        <w:gridCol w:w="2928"/>
        <w:gridCol w:w="2158"/>
        <w:gridCol w:w="4712"/>
      </w:tblGrid>
      <w:tr w:rsidR="00CC4974" w:rsidRPr="00572ADC" w14:paraId="6249DFD5" w14:textId="77777777" w:rsidTr="002C0B44">
        <w:trPr>
          <w:tblHeader/>
        </w:trPr>
        <w:tc>
          <w:tcPr>
            <w:tcW w:w="622" w:type="pct"/>
            <w:tcBorders>
              <w:top w:val="single" w:sz="12" w:space="0" w:color="auto"/>
              <w:left w:val="nil"/>
              <w:bottom w:val="single" w:sz="12" w:space="0" w:color="auto"/>
              <w:right w:val="nil"/>
            </w:tcBorders>
            <w:shd w:val="clear" w:color="auto" w:fill="auto"/>
          </w:tcPr>
          <w:p w14:paraId="63E11D7E" w14:textId="77777777" w:rsidR="00CC4974" w:rsidRPr="00572ADC" w:rsidRDefault="00CC4974" w:rsidP="00572ADC">
            <w:pPr>
              <w:spacing w:line="480" w:lineRule="auto"/>
              <w:rPr>
                <w:rFonts w:ascii="Lucida Bright" w:hAnsi="Lucida Bright"/>
                <w:b/>
                <w:bCs/>
                <w:sz w:val="20"/>
                <w:szCs w:val="20"/>
              </w:rPr>
            </w:pPr>
            <w:r w:rsidRPr="00572ADC">
              <w:rPr>
                <w:rFonts w:ascii="Lucida Bright" w:hAnsi="Lucida Bright"/>
                <w:b/>
                <w:bCs/>
                <w:sz w:val="20"/>
                <w:szCs w:val="20"/>
              </w:rPr>
              <w:t>Article</w:t>
            </w:r>
          </w:p>
        </w:tc>
        <w:tc>
          <w:tcPr>
            <w:tcW w:w="868" w:type="pct"/>
            <w:tcBorders>
              <w:top w:val="single" w:sz="12" w:space="0" w:color="auto"/>
              <w:left w:val="nil"/>
              <w:bottom w:val="single" w:sz="12" w:space="0" w:color="auto"/>
              <w:right w:val="nil"/>
            </w:tcBorders>
            <w:shd w:val="clear" w:color="auto" w:fill="auto"/>
          </w:tcPr>
          <w:p w14:paraId="4E354CEE" w14:textId="77777777" w:rsidR="00CC4974" w:rsidRPr="00572ADC" w:rsidRDefault="00CC4974" w:rsidP="00572ADC">
            <w:pPr>
              <w:spacing w:line="480" w:lineRule="auto"/>
              <w:rPr>
                <w:rFonts w:ascii="Lucida Bright" w:hAnsi="Lucida Bright"/>
                <w:b/>
                <w:bCs/>
                <w:sz w:val="20"/>
                <w:szCs w:val="20"/>
              </w:rPr>
            </w:pPr>
            <w:r w:rsidRPr="00572ADC">
              <w:rPr>
                <w:rFonts w:ascii="Lucida Bright" w:hAnsi="Lucida Bright"/>
                <w:b/>
                <w:bCs/>
                <w:sz w:val="20"/>
                <w:szCs w:val="20"/>
              </w:rPr>
              <w:t>Design &amp; Participants</w:t>
            </w:r>
          </w:p>
        </w:tc>
        <w:tc>
          <w:tcPr>
            <w:tcW w:w="1049" w:type="pct"/>
            <w:tcBorders>
              <w:top w:val="single" w:sz="12" w:space="0" w:color="auto"/>
              <w:left w:val="nil"/>
              <w:bottom w:val="single" w:sz="12" w:space="0" w:color="auto"/>
              <w:right w:val="nil"/>
            </w:tcBorders>
            <w:shd w:val="clear" w:color="auto" w:fill="auto"/>
          </w:tcPr>
          <w:p w14:paraId="6DD51E59" w14:textId="77777777" w:rsidR="00CC4974" w:rsidRPr="00572ADC" w:rsidRDefault="00CC4974" w:rsidP="00572ADC">
            <w:pPr>
              <w:spacing w:line="480" w:lineRule="auto"/>
              <w:rPr>
                <w:rFonts w:ascii="Lucida Bright" w:hAnsi="Lucida Bright"/>
                <w:b/>
                <w:bCs/>
                <w:sz w:val="20"/>
                <w:szCs w:val="20"/>
              </w:rPr>
            </w:pPr>
            <w:r w:rsidRPr="00572ADC">
              <w:rPr>
                <w:rFonts w:ascii="Lucida Bright" w:hAnsi="Lucida Bright"/>
                <w:b/>
                <w:bCs/>
                <w:sz w:val="20"/>
                <w:szCs w:val="20"/>
              </w:rPr>
              <w:t>Aim/Objective</w:t>
            </w:r>
          </w:p>
        </w:tc>
        <w:tc>
          <w:tcPr>
            <w:tcW w:w="773" w:type="pct"/>
            <w:tcBorders>
              <w:top w:val="single" w:sz="12" w:space="0" w:color="auto"/>
              <w:left w:val="nil"/>
              <w:bottom w:val="single" w:sz="12" w:space="0" w:color="auto"/>
              <w:right w:val="nil"/>
            </w:tcBorders>
            <w:shd w:val="clear" w:color="auto" w:fill="auto"/>
          </w:tcPr>
          <w:p w14:paraId="23FA3F02" w14:textId="77777777" w:rsidR="00CC4974" w:rsidRPr="00572ADC" w:rsidRDefault="00CC4974" w:rsidP="00572ADC">
            <w:pPr>
              <w:spacing w:line="480" w:lineRule="auto"/>
              <w:rPr>
                <w:rFonts w:ascii="Lucida Bright" w:hAnsi="Lucida Bright"/>
                <w:b/>
                <w:bCs/>
                <w:sz w:val="20"/>
                <w:szCs w:val="20"/>
              </w:rPr>
            </w:pPr>
            <w:r w:rsidRPr="00572ADC">
              <w:rPr>
                <w:rFonts w:ascii="Lucida Bright" w:hAnsi="Lucida Bright"/>
                <w:b/>
                <w:bCs/>
                <w:sz w:val="20"/>
                <w:szCs w:val="20"/>
              </w:rPr>
              <w:t>Outcome Measures</w:t>
            </w:r>
          </w:p>
        </w:tc>
        <w:tc>
          <w:tcPr>
            <w:tcW w:w="1688" w:type="pct"/>
            <w:tcBorders>
              <w:top w:val="single" w:sz="12" w:space="0" w:color="auto"/>
              <w:left w:val="nil"/>
              <w:bottom w:val="single" w:sz="12" w:space="0" w:color="auto"/>
              <w:right w:val="nil"/>
            </w:tcBorders>
            <w:shd w:val="clear" w:color="auto" w:fill="auto"/>
          </w:tcPr>
          <w:p w14:paraId="5250012C" w14:textId="77777777" w:rsidR="00CC4974" w:rsidRPr="00572ADC" w:rsidRDefault="00CC4974" w:rsidP="00572ADC">
            <w:pPr>
              <w:spacing w:line="480" w:lineRule="auto"/>
              <w:rPr>
                <w:rFonts w:ascii="Lucida Bright" w:hAnsi="Lucida Bright"/>
                <w:b/>
                <w:bCs/>
                <w:sz w:val="20"/>
                <w:szCs w:val="20"/>
              </w:rPr>
            </w:pPr>
            <w:r w:rsidRPr="00572ADC">
              <w:rPr>
                <w:rFonts w:ascii="Lucida Bright" w:hAnsi="Lucida Bright"/>
                <w:b/>
                <w:bCs/>
                <w:sz w:val="20"/>
                <w:szCs w:val="20"/>
              </w:rPr>
              <w:t>Results</w:t>
            </w:r>
          </w:p>
        </w:tc>
      </w:tr>
      <w:tr w:rsidR="00CC4974" w:rsidRPr="00572ADC" w14:paraId="10A2BF38" w14:textId="77777777" w:rsidTr="002C0B44">
        <w:tc>
          <w:tcPr>
            <w:tcW w:w="622" w:type="pct"/>
            <w:tcBorders>
              <w:top w:val="single" w:sz="12" w:space="0" w:color="auto"/>
              <w:left w:val="nil"/>
            </w:tcBorders>
          </w:tcPr>
          <w:p w14:paraId="471CC8F8"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210947604"/>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Con15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(Connolly, et al., 2015)</w:t>
                </w:r>
                <w:r w:rsidR="00CC4974" w:rsidRPr="00572ADC">
                  <w:rPr>
                    <w:rFonts w:ascii="Lucida Bright" w:hAnsi="Lucida Bright"/>
                    <w:sz w:val="20"/>
                    <w:szCs w:val="20"/>
                  </w:rPr>
                  <w:fldChar w:fldCharType="end"/>
                </w:r>
              </w:sdtContent>
            </w:sdt>
          </w:p>
          <w:p w14:paraId="36569CB9" w14:textId="77777777" w:rsidR="00CC4974" w:rsidRPr="00572ADC" w:rsidRDefault="00CC4974" w:rsidP="00572ADC">
            <w:pPr>
              <w:spacing w:line="480" w:lineRule="auto"/>
              <w:rPr>
                <w:rFonts w:ascii="Lucida Bright" w:hAnsi="Lucida Bright"/>
                <w:sz w:val="20"/>
                <w:szCs w:val="20"/>
              </w:rPr>
            </w:pPr>
          </w:p>
        </w:tc>
        <w:tc>
          <w:tcPr>
            <w:tcW w:w="868" w:type="pct"/>
            <w:tcBorders>
              <w:top w:val="single" w:sz="12" w:space="0" w:color="auto"/>
            </w:tcBorders>
          </w:tcPr>
          <w:p w14:paraId="33C73BC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Systematic Review</w:t>
            </w:r>
          </w:p>
          <w:p w14:paraId="7D4C06B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483</w:t>
            </w:r>
          </w:p>
        </w:tc>
        <w:tc>
          <w:tcPr>
            <w:tcW w:w="1049" w:type="pct"/>
            <w:tcBorders>
              <w:top w:val="single" w:sz="12" w:space="0" w:color="auto"/>
            </w:tcBorders>
          </w:tcPr>
          <w:p w14:paraId="68AAB61B"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assess the effectiveness of exercise rehabilitation programs, initiated after ICU discharge, for functional exercise capacity and HRQOL in adult ICU survivors who had been mechanically ventilated for &gt;24hrs.</w:t>
            </w:r>
          </w:p>
        </w:tc>
        <w:tc>
          <w:tcPr>
            <w:tcW w:w="773" w:type="pct"/>
            <w:tcBorders>
              <w:top w:val="single" w:sz="12" w:space="0" w:color="auto"/>
            </w:tcBorders>
          </w:tcPr>
          <w:p w14:paraId="78190DF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-Functional exercise capacity</w:t>
            </w:r>
          </w:p>
          <w:p w14:paraId="743A772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-HRQOL</w:t>
            </w:r>
          </w:p>
        </w:tc>
        <w:tc>
          <w:tcPr>
            <w:tcW w:w="1688" w:type="pct"/>
            <w:tcBorders>
              <w:top w:val="single" w:sz="12" w:space="0" w:color="auto"/>
              <w:right w:val="nil"/>
            </w:tcBorders>
          </w:tcPr>
          <w:p w14:paraId="01F90D20" w14:textId="77777777" w:rsidR="00CC4974" w:rsidRPr="00572ADC" w:rsidRDefault="00CC4974" w:rsidP="00572ADC">
            <w:pPr>
              <w:spacing w:line="480" w:lineRule="auto"/>
              <w:rPr>
                <w:rFonts w:ascii="Lucida Bright" w:hAnsi="Lucida Bright"/>
                <w:sz w:val="20"/>
                <w:szCs w:val="20"/>
              </w:rPr>
            </w:pPr>
            <w:proofErr w:type="gramStart"/>
            <w:r w:rsidRPr="00572ADC">
              <w:rPr>
                <w:rFonts w:ascii="Lucida Bright" w:hAnsi="Lucida Bright"/>
                <w:sz w:val="20"/>
                <w:szCs w:val="20"/>
              </w:rPr>
              <w:t>n(</w:t>
            </w:r>
            <w:proofErr w:type="gramEnd"/>
            <w:r w:rsidRPr="00572ADC">
              <w:rPr>
                <w:rFonts w:ascii="Lucida Bright" w:hAnsi="Lucida Bright"/>
                <w:sz w:val="20"/>
                <w:szCs w:val="20"/>
              </w:rPr>
              <w:t>included studies) = 6</w:t>
            </w:r>
          </w:p>
          <w:p w14:paraId="4A7939E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-Three out of six trials reported positive results in functional exercise capacity (very low-quality evidence). </w:t>
            </w:r>
          </w:p>
          <w:p w14:paraId="27AF0C04"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-No improvement in HRQOL reported were reported (very low-quality evidence). </w:t>
            </w:r>
          </w:p>
          <w:p w14:paraId="016CCFA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-Overall, individual study findings were inconsistent, &amp; the quality of evidence was low.</w:t>
            </w:r>
          </w:p>
          <w:p w14:paraId="4667A14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-Therefore, the study was inconclusive – authors were unable to determine an overall effect on functional exercise capacity, or health-related quality of life, of an exercise-based intervention initiated a</w:t>
            </w:r>
            <w:r w:rsidRPr="00572ADC">
              <w:rPr>
                <w:rFonts w:ascii="Lucida Bright" w:hAnsi="Lucida Bright" w:cs="Cambria"/>
                <w:sz w:val="20"/>
                <w:szCs w:val="20"/>
              </w:rPr>
              <w:t>f</w:t>
            </w:r>
            <w:r w:rsidRPr="00572ADC">
              <w:rPr>
                <w:rFonts w:ascii="Lucida Bright" w:hAnsi="Lucida Bright"/>
                <w:sz w:val="20"/>
                <w:szCs w:val="20"/>
              </w:rPr>
              <w:t>ter ICU discharge for survivors of critical illness.</w:t>
            </w:r>
          </w:p>
        </w:tc>
      </w:tr>
      <w:tr w:rsidR="00CC4974" w:rsidRPr="00572ADC" w14:paraId="1D59CC68" w14:textId="77777777" w:rsidTr="002C0B44">
        <w:tc>
          <w:tcPr>
            <w:tcW w:w="622" w:type="pct"/>
            <w:tcBorders>
              <w:left w:val="nil"/>
            </w:tcBorders>
          </w:tcPr>
          <w:p w14:paraId="4E8E7C8B"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693213945"/>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Meh14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(Mehlhorn, et al., 2014)</w:t>
                </w:r>
                <w:r w:rsidR="00CC4974" w:rsidRPr="00572ADC">
                  <w:rPr>
                    <w:rFonts w:ascii="Lucida Bright" w:hAnsi="Lucida Bright"/>
                    <w:sz w:val="20"/>
                    <w:szCs w:val="20"/>
                  </w:rPr>
                  <w:fldChar w:fldCharType="end"/>
                </w:r>
              </w:sdtContent>
            </w:sdt>
          </w:p>
          <w:p w14:paraId="4B4CB8FC" w14:textId="77777777" w:rsidR="00CC4974" w:rsidRPr="00572ADC" w:rsidRDefault="00CC4974" w:rsidP="00572ADC">
            <w:pPr>
              <w:spacing w:line="480" w:lineRule="auto"/>
              <w:rPr>
                <w:rFonts w:ascii="Lucida Bright" w:hAnsi="Lucida Bright"/>
                <w:sz w:val="20"/>
                <w:szCs w:val="20"/>
              </w:rPr>
            </w:pPr>
          </w:p>
        </w:tc>
        <w:tc>
          <w:tcPr>
            <w:tcW w:w="868" w:type="pct"/>
          </w:tcPr>
          <w:p w14:paraId="5961893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Systematic Review</w:t>
            </w:r>
          </w:p>
          <w:p w14:paraId="0DDAE65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2510</w:t>
            </w:r>
          </w:p>
        </w:tc>
        <w:tc>
          <w:tcPr>
            <w:tcW w:w="1049" w:type="pct"/>
          </w:tcPr>
          <w:p w14:paraId="21C46BA2"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assess the effectiveness of rehabilitation interventions in adult post-ICU patients.</w:t>
            </w:r>
          </w:p>
        </w:tc>
        <w:tc>
          <w:tcPr>
            <w:tcW w:w="773" w:type="pct"/>
          </w:tcPr>
          <w:p w14:paraId="0761E44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-Physical symptoms</w:t>
            </w:r>
          </w:p>
          <w:p w14:paraId="517EEA4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-ADL function</w:t>
            </w:r>
          </w:p>
          <w:p w14:paraId="0CEF97D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-Mental health</w:t>
            </w:r>
          </w:p>
          <w:p w14:paraId="5EA1D7D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-HRQOL</w:t>
            </w:r>
          </w:p>
          <w:p w14:paraId="01E25C27"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-Cognitive function</w:t>
            </w:r>
          </w:p>
        </w:tc>
        <w:tc>
          <w:tcPr>
            <w:tcW w:w="1688" w:type="pct"/>
            <w:tcBorders>
              <w:right w:val="nil"/>
            </w:tcBorders>
          </w:tcPr>
          <w:p w14:paraId="63F6001C" w14:textId="77777777" w:rsidR="00CC4974" w:rsidRPr="00572ADC" w:rsidRDefault="00CC4974" w:rsidP="00572ADC">
            <w:pPr>
              <w:spacing w:line="480" w:lineRule="auto"/>
              <w:rPr>
                <w:rFonts w:ascii="Lucida Bright" w:hAnsi="Lucida Bright"/>
                <w:sz w:val="20"/>
                <w:szCs w:val="20"/>
              </w:rPr>
            </w:pPr>
            <w:proofErr w:type="gramStart"/>
            <w:r w:rsidRPr="00572ADC">
              <w:rPr>
                <w:rFonts w:ascii="Lucida Bright" w:hAnsi="Lucida Bright"/>
                <w:sz w:val="20"/>
                <w:szCs w:val="20"/>
              </w:rPr>
              <w:t>n(</w:t>
            </w:r>
            <w:proofErr w:type="gramEnd"/>
            <w:r w:rsidRPr="00572ADC">
              <w:rPr>
                <w:rFonts w:ascii="Lucida Bright" w:hAnsi="Lucida Bright"/>
                <w:sz w:val="20"/>
                <w:szCs w:val="20"/>
              </w:rPr>
              <w:t>included studies) = 18</w:t>
            </w:r>
          </w:p>
          <w:p w14:paraId="6F6F180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-Authors concluded that interventions having substantial effects in post-ICU patients were rare.</w:t>
            </w:r>
          </w:p>
          <w:p w14:paraId="13F8A313"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-Four out of five studies that measured PTSD showed a positive relationship between using an ICU diary and reducing the symptoms and impacts of PTSD. </w:t>
            </w:r>
          </w:p>
          <w:p w14:paraId="4494D91B"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-For none of the other outcomes did more than one trial find a positive impact.</w:t>
            </w:r>
          </w:p>
        </w:tc>
      </w:tr>
      <w:tr w:rsidR="00CC4974" w:rsidRPr="00572ADC" w14:paraId="2E47B57F" w14:textId="77777777" w:rsidTr="002C0B44">
        <w:tc>
          <w:tcPr>
            <w:tcW w:w="622" w:type="pct"/>
            <w:tcBorders>
              <w:left w:val="nil"/>
            </w:tcBorders>
          </w:tcPr>
          <w:p w14:paraId="19038554"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906487660"/>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Meh15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(Mehrholz, et al., 2015)</w:t>
                </w:r>
                <w:r w:rsidR="00CC4974" w:rsidRPr="00572ADC">
                  <w:rPr>
                    <w:rFonts w:ascii="Lucida Bright" w:hAnsi="Lucida Bright"/>
                    <w:sz w:val="20"/>
                    <w:szCs w:val="20"/>
                  </w:rPr>
                  <w:fldChar w:fldCharType="end"/>
                </w:r>
              </w:sdtContent>
            </w:sdt>
          </w:p>
          <w:p w14:paraId="371EAF4C" w14:textId="77777777" w:rsidR="00CC4974" w:rsidRPr="00572ADC" w:rsidRDefault="00CC4974" w:rsidP="00572ADC">
            <w:pPr>
              <w:spacing w:line="480" w:lineRule="auto"/>
              <w:rPr>
                <w:rFonts w:ascii="Lucida Bright" w:hAnsi="Lucida Bright"/>
                <w:sz w:val="20"/>
                <w:szCs w:val="20"/>
              </w:rPr>
            </w:pPr>
          </w:p>
        </w:tc>
        <w:tc>
          <w:tcPr>
            <w:tcW w:w="868" w:type="pct"/>
          </w:tcPr>
          <w:p w14:paraId="2F37D0E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Systematic Review</w:t>
            </w:r>
          </w:p>
          <w:p w14:paraId="0B55DCAD"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0</w:t>
            </w:r>
          </w:p>
          <w:p w14:paraId="77FF9982" w14:textId="77777777" w:rsidR="00CC4974" w:rsidRPr="00572ADC" w:rsidRDefault="00CC4974" w:rsidP="00572ADC">
            <w:pPr>
              <w:spacing w:line="480" w:lineRule="auto"/>
              <w:rPr>
                <w:rFonts w:ascii="Lucida Bright" w:hAnsi="Lucida Bright"/>
                <w:sz w:val="20"/>
                <w:szCs w:val="20"/>
              </w:rPr>
            </w:pPr>
          </w:p>
        </w:tc>
        <w:tc>
          <w:tcPr>
            <w:tcW w:w="1049" w:type="pct"/>
          </w:tcPr>
          <w:p w14:paraId="23B1071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assess the effects of physical rehabilitation therapies &amp; interventions for people with CIP and CIM in improving ADLs such as walking, bathing, dressing and eating.</w:t>
            </w:r>
          </w:p>
          <w:p w14:paraId="5968CDF2"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Secondary, to determine the effects on muscle strength &amp; quality of life &amp; the adverse effects of physical rehabilitation.</w:t>
            </w:r>
          </w:p>
        </w:tc>
        <w:tc>
          <w:tcPr>
            <w:tcW w:w="773" w:type="pct"/>
          </w:tcPr>
          <w:p w14:paraId="24B1B4A7"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-ADL performance</w:t>
            </w:r>
          </w:p>
        </w:tc>
        <w:tc>
          <w:tcPr>
            <w:tcW w:w="1688" w:type="pct"/>
            <w:tcBorders>
              <w:right w:val="nil"/>
            </w:tcBorders>
          </w:tcPr>
          <w:p w14:paraId="506C282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-Despite the search strategy retrieving 3587 references, no studies met the inclusion criteria for the review. </w:t>
            </w:r>
          </w:p>
          <w:p w14:paraId="604E71C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-As such, the authors concluded that there are no published RCTs or quasi-RCTs that examine whether physical rehabilitation interventions improve ADLs for people with CIP and CIM.</w:t>
            </w:r>
          </w:p>
          <w:p w14:paraId="3C6FF646" w14:textId="77777777" w:rsidR="00CC4974" w:rsidRPr="00572ADC" w:rsidRDefault="00CC4974" w:rsidP="00572ADC">
            <w:pPr>
              <w:spacing w:line="480" w:lineRule="auto"/>
              <w:rPr>
                <w:rFonts w:ascii="Lucida Bright" w:hAnsi="Lucida Bright"/>
                <w:sz w:val="20"/>
                <w:szCs w:val="20"/>
              </w:rPr>
            </w:pPr>
          </w:p>
        </w:tc>
      </w:tr>
      <w:tr w:rsidR="00CC4974" w:rsidRPr="00572ADC" w14:paraId="0B093B84" w14:textId="77777777" w:rsidTr="002C0B44">
        <w:tc>
          <w:tcPr>
            <w:tcW w:w="622" w:type="pct"/>
            <w:tcBorders>
              <w:left w:val="nil"/>
            </w:tcBorders>
          </w:tcPr>
          <w:p w14:paraId="100A895B"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980985837"/>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Oht18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(Ohtake, et al., 2018)</w:t>
                </w:r>
                <w:r w:rsidR="00CC4974" w:rsidRPr="00572ADC">
                  <w:rPr>
                    <w:rFonts w:ascii="Lucida Bright" w:hAnsi="Lucida Bright"/>
                    <w:sz w:val="20"/>
                    <w:szCs w:val="20"/>
                  </w:rPr>
                  <w:fldChar w:fldCharType="end"/>
                </w:r>
              </w:sdtContent>
            </w:sdt>
          </w:p>
          <w:p w14:paraId="7F440EB8" w14:textId="77777777" w:rsidR="00CC4974" w:rsidRPr="00572ADC" w:rsidRDefault="00CC4974" w:rsidP="00572ADC">
            <w:pPr>
              <w:spacing w:line="480" w:lineRule="auto"/>
              <w:rPr>
                <w:rFonts w:ascii="Lucida Bright" w:hAnsi="Lucida Bright"/>
                <w:sz w:val="20"/>
                <w:szCs w:val="20"/>
              </w:rPr>
            </w:pPr>
          </w:p>
        </w:tc>
        <w:tc>
          <w:tcPr>
            <w:tcW w:w="868" w:type="pct"/>
          </w:tcPr>
          <w:p w14:paraId="70F59E8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Systematic Review</w:t>
            </w:r>
          </w:p>
          <w:p w14:paraId="19D09537"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1450</w:t>
            </w:r>
          </w:p>
        </w:tc>
        <w:tc>
          <w:tcPr>
            <w:tcW w:w="1049" w:type="pct"/>
          </w:tcPr>
          <w:p w14:paraId="71F91A8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identify the scope and magnitude of physical problems associated with PICS during the first year after critical illness, using the ICF framework.</w:t>
            </w:r>
          </w:p>
        </w:tc>
        <w:tc>
          <w:tcPr>
            <w:tcW w:w="773" w:type="pct"/>
          </w:tcPr>
          <w:p w14:paraId="7C7C563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-Physical outcomes categorised using the ICF framework – </w:t>
            </w:r>
            <w:proofErr w:type="gramStart"/>
            <w:r w:rsidRPr="00572ADC">
              <w:rPr>
                <w:rFonts w:ascii="Lucida Bright" w:hAnsi="Lucida Bright"/>
                <w:sz w:val="20"/>
                <w:szCs w:val="20"/>
              </w:rPr>
              <w:t>i.e.</w:t>
            </w:r>
            <w:proofErr w:type="gramEnd"/>
            <w:r w:rsidRPr="00572ADC">
              <w:rPr>
                <w:rFonts w:ascii="Lucida Bright" w:hAnsi="Lucida Bright"/>
                <w:sz w:val="20"/>
                <w:szCs w:val="20"/>
              </w:rPr>
              <w:t xml:space="preserve"> body functions &amp; structures, activity limitations, &amp; participation restrictions.</w:t>
            </w:r>
          </w:p>
        </w:tc>
        <w:tc>
          <w:tcPr>
            <w:tcW w:w="1688" w:type="pct"/>
            <w:tcBorders>
              <w:right w:val="nil"/>
            </w:tcBorders>
          </w:tcPr>
          <w:p w14:paraId="49041814" w14:textId="77777777" w:rsidR="00CC4974" w:rsidRPr="00572ADC" w:rsidRDefault="00CC4974" w:rsidP="00572ADC">
            <w:pPr>
              <w:spacing w:line="480" w:lineRule="auto"/>
              <w:rPr>
                <w:rFonts w:ascii="Lucida Bright" w:hAnsi="Lucida Bright"/>
                <w:sz w:val="20"/>
                <w:szCs w:val="20"/>
              </w:rPr>
            </w:pPr>
            <w:proofErr w:type="gramStart"/>
            <w:r w:rsidRPr="00572ADC">
              <w:rPr>
                <w:rFonts w:ascii="Lucida Bright" w:hAnsi="Lucida Bright"/>
                <w:sz w:val="20"/>
                <w:szCs w:val="20"/>
              </w:rPr>
              <w:t>n(</w:t>
            </w:r>
            <w:proofErr w:type="gramEnd"/>
            <w:r w:rsidRPr="00572ADC">
              <w:rPr>
                <w:rFonts w:ascii="Lucida Bright" w:hAnsi="Lucida Bright"/>
                <w:sz w:val="20"/>
                <w:szCs w:val="20"/>
              </w:rPr>
              <w:t>included studies) = 15</w:t>
            </w:r>
          </w:p>
          <w:p w14:paraId="3D1C959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-During the first year following critical illness, individuals with PICS experienced physical impairments in all 3 domains of the ICF.</w:t>
            </w:r>
          </w:p>
          <w:p w14:paraId="0CA402B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-Moderate quality evidence was found to describe the scope and magnitude of physical problems associated with PICS. </w:t>
            </w:r>
          </w:p>
        </w:tc>
      </w:tr>
      <w:tr w:rsidR="00CC4974" w:rsidRPr="00572ADC" w14:paraId="31BE2507" w14:textId="77777777" w:rsidTr="002C0B44">
        <w:tc>
          <w:tcPr>
            <w:tcW w:w="622" w:type="pct"/>
            <w:tcBorders>
              <w:left w:val="nil"/>
            </w:tcBorders>
          </w:tcPr>
          <w:p w14:paraId="7C3CF54A"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60470205"/>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Sch182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 xml:space="preserve">(Schofield-Robinson, Lewis, Smith, McPeake, &amp; </w:t>
                </w:r>
                <w:r w:rsidR="00CC4974" w:rsidRPr="00572ADC">
                  <w:rPr>
                    <w:rFonts w:ascii="Lucida Bright" w:hAnsi="Lucida Bright"/>
                    <w:noProof/>
                    <w:sz w:val="20"/>
                    <w:szCs w:val="20"/>
                  </w:rPr>
                  <w:lastRenderedPageBreak/>
                  <w:t>Alderson, 2018)</w:t>
                </w:r>
                <w:r w:rsidR="00CC4974" w:rsidRPr="00572ADC">
                  <w:rPr>
                    <w:rFonts w:ascii="Lucida Bright" w:hAnsi="Lucida Bright"/>
                    <w:sz w:val="20"/>
                    <w:szCs w:val="20"/>
                  </w:rPr>
                  <w:fldChar w:fldCharType="end"/>
                </w:r>
              </w:sdtContent>
            </w:sdt>
          </w:p>
          <w:p w14:paraId="499B1CE1" w14:textId="77777777" w:rsidR="00CC4974" w:rsidRPr="00572ADC" w:rsidRDefault="00CC4974" w:rsidP="00572ADC">
            <w:pPr>
              <w:spacing w:line="480" w:lineRule="auto"/>
              <w:rPr>
                <w:rFonts w:ascii="Lucida Bright" w:hAnsi="Lucida Bright"/>
                <w:sz w:val="20"/>
                <w:szCs w:val="20"/>
              </w:rPr>
            </w:pPr>
          </w:p>
        </w:tc>
        <w:tc>
          <w:tcPr>
            <w:tcW w:w="868" w:type="pct"/>
          </w:tcPr>
          <w:p w14:paraId="5EAFCD7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Systematic Review</w:t>
            </w:r>
          </w:p>
          <w:p w14:paraId="196A0D0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1707</w:t>
            </w:r>
          </w:p>
        </w:tc>
        <w:tc>
          <w:tcPr>
            <w:tcW w:w="1049" w:type="pct"/>
          </w:tcPr>
          <w:p w14:paraId="14825AE7"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assess the effectiveness of follow-up services for ICU survivors that aim to identify and address unmet </w:t>
            </w:r>
            <w:r w:rsidRPr="00572ADC">
              <w:rPr>
                <w:rFonts w:ascii="Lucida Bright" w:hAnsi="Lucida Bright"/>
                <w:sz w:val="20"/>
                <w:szCs w:val="20"/>
              </w:rPr>
              <w:lastRenderedPageBreak/>
              <w:t xml:space="preserve">health needs related to the ICU period. </w:t>
            </w:r>
          </w:p>
        </w:tc>
        <w:tc>
          <w:tcPr>
            <w:tcW w:w="773" w:type="pct"/>
          </w:tcPr>
          <w:p w14:paraId="67E5FA7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-HRQOL</w:t>
            </w:r>
          </w:p>
          <w:p w14:paraId="7CC6FAC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-All-cause mortality</w:t>
            </w:r>
          </w:p>
          <w:p w14:paraId="788E8F2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-Depression &amp; anxiety</w:t>
            </w:r>
          </w:p>
        </w:tc>
        <w:tc>
          <w:tcPr>
            <w:tcW w:w="1688" w:type="pct"/>
            <w:tcBorders>
              <w:right w:val="nil"/>
            </w:tcBorders>
          </w:tcPr>
          <w:p w14:paraId="1017EC99" w14:textId="77777777" w:rsidR="00CC4974" w:rsidRPr="00572ADC" w:rsidRDefault="00CC4974" w:rsidP="00572ADC">
            <w:pPr>
              <w:spacing w:line="480" w:lineRule="auto"/>
              <w:rPr>
                <w:rFonts w:ascii="Lucida Bright" w:hAnsi="Lucida Bright"/>
                <w:sz w:val="20"/>
                <w:szCs w:val="20"/>
              </w:rPr>
            </w:pPr>
            <w:proofErr w:type="gramStart"/>
            <w:r w:rsidRPr="00572ADC">
              <w:rPr>
                <w:rFonts w:ascii="Lucida Bright" w:hAnsi="Lucida Bright"/>
                <w:sz w:val="20"/>
                <w:szCs w:val="20"/>
              </w:rPr>
              <w:t>n(</w:t>
            </w:r>
            <w:proofErr w:type="gramEnd"/>
            <w:r w:rsidRPr="00572ADC">
              <w:rPr>
                <w:rFonts w:ascii="Lucida Bright" w:hAnsi="Lucida Bright"/>
                <w:sz w:val="20"/>
                <w:szCs w:val="20"/>
              </w:rPr>
              <w:t>included studies) = 5</w:t>
            </w:r>
          </w:p>
          <w:p w14:paraId="00DC5A1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Insufficient evidence from a limited number of studies was found to determine whether </w:t>
            </w:r>
            <w:r w:rsidRPr="00572ADC">
              <w:rPr>
                <w:rFonts w:ascii="Lucida Bright" w:hAnsi="Lucida Bright"/>
                <w:sz w:val="20"/>
                <w:szCs w:val="20"/>
              </w:rPr>
              <w:lastRenderedPageBreak/>
              <w:t>ICU follow-up services effectively identify and address ICU survivors’ unmet health needs.</w:t>
            </w:r>
          </w:p>
          <w:p w14:paraId="2077DF4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-Because of limited data, authors could not explore whether one design of follow-up service is preferable to another or whether a service is more effective for some people than others.</w:t>
            </w:r>
          </w:p>
        </w:tc>
      </w:tr>
      <w:tr w:rsidR="00CC4974" w:rsidRPr="00572ADC" w14:paraId="1FEF74FD" w14:textId="77777777" w:rsidTr="002C0B44">
        <w:tc>
          <w:tcPr>
            <w:tcW w:w="622" w:type="pct"/>
            <w:tcBorders>
              <w:left w:val="nil"/>
            </w:tcBorders>
          </w:tcPr>
          <w:p w14:paraId="669F4848"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822646064"/>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Tai19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(Taito, et al., 2019)</w:t>
                </w:r>
                <w:r w:rsidR="00CC4974" w:rsidRPr="00572ADC">
                  <w:rPr>
                    <w:rFonts w:ascii="Lucida Bright" w:hAnsi="Lucida Bright"/>
                    <w:sz w:val="20"/>
                    <w:szCs w:val="20"/>
                  </w:rPr>
                  <w:fldChar w:fldCharType="end"/>
                </w:r>
              </w:sdtContent>
            </w:sdt>
          </w:p>
          <w:p w14:paraId="07A4E656" w14:textId="77777777" w:rsidR="00CC4974" w:rsidRPr="00572ADC" w:rsidRDefault="00CC4974" w:rsidP="00572ADC">
            <w:pPr>
              <w:spacing w:line="480" w:lineRule="auto"/>
              <w:rPr>
                <w:rFonts w:ascii="Lucida Bright" w:hAnsi="Lucida Bright"/>
                <w:sz w:val="20"/>
                <w:szCs w:val="20"/>
              </w:rPr>
            </w:pPr>
          </w:p>
          <w:p w14:paraId="5C2529E3" w14:textId="77777777" w:rsidR="00CC4974" w:rsidRPr="00572ADC" w:rsidRDefault="00CC4974" w:rsidP="00572ADC">
            <w:pPr>
              <w:spacing w:line="480" w:lineRule="auto"/>
              <w:rPr>
                <w:rFonts w:ascii="Lucida Bright" w:hAnsi="Lucida Bright"/>
                <w:sz w:val="20"/>
                <w:szCs w:val="20"/>
              </w:rPr>
            </w:pPr>
          </w:p>
          <w:p w14:paraId="18C4CF98" w14:textId="77777777" w:rsidR="00CC4974" w:rsidRPr="00572ADC" w:rsidRDefault="00CC4974" w:rsidP="00572ADC">
            <w:pPr>
              <w:spacing w:line="480" w:lineRule="auto"/>
              <w:rPr>
                <w:rFonts w:ascii="Lucida Bright" w:hAnsi="Lucida Bright"/>
                <w:sz w:val="20"/>
                <w:szCs w:val="20"/>
              </w:rPr>
            </w:pPr>
          </w:p>
        </w:tc>
        <w:tc>
          <w:tcPr>
            <w:tcW w:w="868" w:type="pct"/>
          </w:tcPr>
          <w:p w14:paraId="515CC3C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Systematic Review</w:t>
            </w:r>
          </w:p>
          <w:p w14:paraId="6ED0512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1110</w:t>
            </w:r>
          </w:p>
        </w:tc>
        <w:tc>
          <w:tcPr>
            <w:tcW w:w="1049" w:type="pct"/>
          </w:tcPr>
          <w:p w14:paraId="48C75D6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determine whether enhanced physical rehabilitation following ICU discharge improves activities of daily living, QOL, and mortality among patients who received mechanical ventilation in the ICU.</w:t>
            </w:r>
          </w:p>
        </w:tc>
        <w:tc>
          <w:tcPr>
            <w:tcW w:w="773" w:type="pct"/>
          </w:tcPr>
          <w:p w14:paraId="23561BE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-HRQOL</w:t>
            </w:r>
          </w:p>
          <w:p w14:paraId="3978E8D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-ADL function</w:t>
            </w:r>
          </w:p>
          <w:p w14:paraId="6E8A943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-Mortality</w:t>
            </w:r>
          </w:p>
        </w:tc>
        <w:tc>
          <w:tcPr>
            <w:tcW w:w="1688" w:type="pct"/>
            <w:tcBorders>
              <w:right w:val="nil"/>
            </w:tcBorders>
          </w:tcPr>
          <w:p w14:paraId="55640C31" w14:textId="77777777" w:rsidR="00CC4974" w:rsidRPr="00572ADC" w:rsidRDefault="00CC4974" w:rsidP="00572ADC">
            <w:pPr>
              <w:spacing w:line="480" w:lineRule="auto"/>
              <w:rPr>
                <w:rFonts w:ascii="Lucida Bright" w:hAnsi="Lucida Bright"/>
                <w:sz w:val="20"/>
                <w:szCs w:val="20"/>
              </w:rPr>
            </w:pPr>
            <w:proofErr w:type="gramStart"/>
            <w:r w:rsidRPr="00572ADC">
              <w:rPr>
                <w:rFonts w:ascii="Lucida Bright" w:hAnsi="Lucida Bright"/>
                <w:sz w:val="20"/>
                <w:szCs w:val="20"/>
              </w:rPr>
              <w:t>n(</w:t>
            </w:r>
            <w:proofErr w:type="gramEnd"/>
            <w:r w:rsidRPr="00572ADC">
              <w:rPr>
                <w:rFonts w:ascii="Lucida Bright" w:hAnsi="Lucida Bright"/>
                <w:sz w:val="20"/>
                <w:szCs w:val="20"/>
              </w:rPr>
              <w:t>included studies) = 10</w:t>
            </w:r>
          </w:p>
          <w:p w14:paraId="7A349F52"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-Authors concluded that enhanced physical rehabilitation following ICU discharge might make little or no difference to HRQOL or mortality among patients who received mechanical ventilation in the ICU. </w:t>
            </w:r>
          </w:p>
          <w:p w14:paraId="4FD0FFB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-The certainty of evidence for HRQOL and mortality was moderate. ADL function was only measured in 1 trial. </w:t>
            </w:r>
          </w:p>
        </w:tc>
      </w:tr>
      <w:tr w:rsidR="00CC4974" w:rsidRPr="00572ADC" w14:paraId="7F92FA68" w14:textId="77777777" w:rsidTr="002C0B44">
        <w:tc>
          <w:tcPr>
            <w:tcW w:w="622" w:type="pct"/>
            <w:tcBorders>
              <w:left w:val="nil"/>
            </w:tcBorders>
          </w:tcPr>
          <w:p w14:paraId="4067CF66"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57598100"/>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McW16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 xml:space="preserve">(McWilliams, Benington, &amp; </w:t>
                </w:r>
                <w:r w:rsidR="00CC4974" w:rsidRPr="00572ADC">
                  <w:rPr>
                    <w:rFonts w:ascii="Lucida Bright" w:hAnsi="Lucida Bright"/>
                    <w:noProof/>
                    <w:sz w:val="20"/>
                    <w:szCs w:val="20"/>
                  </w:rPr>
                  <w:lastRenderedPageBreak/>
                  <w:t>Atkinson, 2016)</w:t>
                </w:r>
                <w:r w:rsidR="00CC4974" w:rsidRPr="00572ADC">
                  <w:rPr>
                    <w:rFonts w:ascii="Lucida Bright" w:hAnsi="Lucida Bright"/>
                    <w:sz w:val="20"/>
                    <w:szCs w:val="20"/>
                  </w:rPr>
                  <w:fldChar w:fldCharType="end"/>
                </w:r>
              </w:sdtContent>
            </w:sdt>
          </w:p>
          <w:p w14:paraId="698C4C73" w14:textId="77777777" w:rsidR="00CC4974" w:rsidRPr="00572ADC" w:rsidRDefault="00CC4974" w:rsidP="00572ADC">
            <w:pPr>
              <w:spacing w:line="480" w:lineRule="auto"/>
              <w:rPr>
                <w:rFonts w:ascii="Lucida Bright" w:hAnsi="Lucida Bright"/>
                <w:sz w:val="20"/>
                <w:szCs w:val="20"/>
              </w:rPr>
            </w:pPr>
          </w:p>
        </w:tc>
        <w:tc>
          <w:tcPr>
            <w:tcW w:w="868" w:type="pct"/>
          </w:tcPr>
          <w:p w14:paraId="465DD42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RCT</w:t>
            </w:r>
          </w:p>
          <w:p w14:paraId="18A0F074"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63</w:t>
            </w:r>
          </w:p>
        </w:tc>
        <w:tc>
          <w:tcPr>
            <w:tcW w:w="1049" w:type="pct"/>
          </w:tcPr>
          <w:p w14:paraId="7135578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assess the impact of an outpatient-based physical </w:t>
            </w:r>
            <w:r w:rsidRPr="00572ADC">
              <w:rPr>
                <w:rFonts w:ascii="Lucida Bright" w:hAnsi="Lucida Bright"/>
                <w:sz w:val="20"/>
                <w:szCs w:val="20"/>
              </w:rPr>
              <w:lastRenderedPageBreak/>
              <w:t>rehabilitation program for survivors of critical illness on exercise capacity &amp; HRQOL.</w:t>
            </w:r>
          </w:p>
        </w:tc>
        <w:tc>
          <w:tcPr>
            <w:tcW w:w="773" w:type="pct"/>
          </w:tcPr>
          <w:p w14:paraId="266B912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 xml:space="preserve">-Change in exercise capacity as </w:t>
            </w:r>
            <w:r w:rsidRPr="00572ADC">
              <w:rPr>
                <w:rFonts w:ascii="Lucida Bright" w:hAnsi="Lucida Bright"/>
                <w:sz w:val="20"/>
                <w:szCs w:val="20"/>
              </w:rPr>
              <w:lastRenderedPageBreak/>
              <w:t>measured by peak VO</w:t>
            </w:r>
            <w:r w:rsidRPr="00572ADC">
              <w:rPr>
                <w:rFonts w:ascii="Lucida Bright" w:hAnsi="Lucida Bright"/>
                <w:sz w:val="20"/>
                <w:szCs w:val="20"/>
                <w:vertAlign w:val="subscript"/>
              </w:rPr>
              <w:t>2</w:t>
            </w:r>
            <w:r w:rsidRPr="00572ADC">
              <w:rPr>
                <w:rFonts w:ascii="Lucida Bright" w:hAnsi="Lucida Bright"/>
                <w:sz w:val="20"/>
                <w:szCs w:val="20"/>
              </w:rPr>
              <w:t xml:space="preserve"> &amp; AT (assessed using CPET)</w:t>
            </w:r>
          </w:p>
          <w:p w14:paraId="07ACB7E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-HRQOL?</w:t>
            </w:r>
          </w:p>
        </w:tc>
        <w:tc>
          <w:tcPr>
            <w:tcW w:w="1688" w:type="pct"/>
            <w:tcBorders>
              <w:right w:val="nil"/>
            </w:tcBorders>
          </w:tcPr>
          <w:p w14:paraId="0816C80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 xml:space="preserve">-Treatment group (TG; n=30) participated in a 7-week outpatient rehabilitation program </w:t>
            </w:r>
            <w:r w:rsidRPr="00572ADC">
              <w:rPr>
                <w:rFonts w:ascii="Lucida Bright" w:hAnsi="Lucida Bright"/>
                <w:sz w:val="20"/>
                <w:szCs w:val="20"/>
              </w:rPr>
              <w:lastRenderedPageBreak/>
              <w:t>consisting of exercise (20mins, 3x/</w:t>
            </w:r>
            <w:proofErr w:type="spellStart"/>
            <w:r w:rsidRPr="00572ADC">
              <w:rPr>
                <w:rFonts w:ascii="Lucida Bright" w:hAnsi="Lucida Bright"/>
                <w:sz w:val="20"/>
                <w:szCs w:val="20"/>
              </w:rPr>
              <w:t>wk</w:t>
            </w:r>
            <w:proofErr w:type="spellEnd"/>
            <w:r w:rsidRPr="00572ADC">
              <w:rPr>
                <w:rFonts w:ascii="Lucida Bright" w:hAnsi="Lucida Bright"/>
                <w:sz w:val="20"/>
                <w:szCs w:val="20"/>
              </w:rPr>
              <w:t xml:space="preserve">) and education (6x1hr) under the supervision of a physiotherapy team. </w:t>
            </w:r>
          </w:p>
          <w:p w14:paraId="6D0431C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-Control group (CG; n=33) received standard care before hospital discharge, then no further services.</w:t>
            </w:r>
          </w:p>
          <w:p w14:paraId="54F6371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-Improvements in both peak VO2 and AT were seen in both TG and CG, but no significant difference between groups was evident.</w:t>
            </w:r>
          </w:p>
          <w:p w14:paraId="04AD711D"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-Significant improvements in HRQOL were seen in both groups for physical component summary scores (p=0.048) and mental component summary scores (p=0.017).</w:t>
            </w:r>
          </w:p>
          <w:p w14:paraId="0CD918A4"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-The authors concluded that a 7-wk outpatient-based exercise program improved HRQOL scores but not improved exercise capacity.</w:t>
            </w:r>
          </w:p>
        </w:tc>
      </w:tr>
      <w:tr w:rsidR="00CC4974" w:rsidRPr="00572ADC" w14:paraId="7ED361DB" w14:textId="77777777" w:rsidTr="002C0B44">
        <w:tc>
          <w:tcPr>
            <w:tcW w:w="622" w:type="pct"/>
            <w:tcBorders>
              <w:left w:val="nil"/>
            </w:tcBorders>
          </w:tcPr>
          <w:p w14:paraId="449D55C7"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615097542"/>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Pat17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(Patsaki, et al., 2017)</w:t>
                </w:r>
                <w:r w:rsidR="00CC4974" w:rsidRPr="00572ADC">
                  <w:rPr>
                    <w:rFonts w:ascii="Lucida Bright" w:hAnsi="Lucida Bright"/>
                    <w:sz w:val="20"/>
                    <w:szCs w:val="20"/>
                  </w:rPr>
                  <w:fldChar w:fldCharType="end"/>
                </w:r>
              </w:sdtContent>
            </w:sdt>
          </w:p>
          <w:p w14:paraId="62F07FA5" w14:textId="77777777" w:rsidR="00CC4974" w:rsidRPr="00572ADC" w:rsidRDefault="00CC4974" w:rsidP="00572ADC">
            <w:pPr>
              <w:spacing w:line="480" w:lineRule="auto"/>
              <w:rPr>
                <w:rFonts w:ascii="Lucida Bright" w:hAnsi="Lucida Bright"/>
                <w:sz w:val="20"/>
                <w:szCs w:val="20"/>
              </w:rPr>
            </w:pPr>
          </w:p>
        </w:tc>
        <w:tc>
          <w:tcPr>
            <w:tcW w:w="868" w:type="pct"/>
          </w:tcPr>
          <w:p w14:paraId="3F5DBA4D"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RCT</w:t>
            </w:r>
          </w:p>
          <w:p w14:paraId="09C1024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128</w:t>
            </w:r>
          </w:p>
        </w:tc>
        <w:tc>
          <w:tcPr>
            <w:tcW w:w="1049" w:type="pct"/>
          </w:tcPr>
          <w:p w14:paraId="4C8028C4"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investigate the effect of NMES and a physical rehabilitation program on muscle strength of ICU survivors at hospital discharge. </w:t>
            </w:r>
          </w:p>
          <w:p w14:paraId="6BA8C70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Secondary, to determine the effects of the intervention on functional status and hospital LOS.</w:t>
            </w:r>
          </w:p>
        </w:tc>
        <w:tc>
          <w:tcPr>
            <w:tcW w:w="773" w:type="pct"/>
          </w:tcPr>
          <w:p w14:paraId="44E88A52"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-Muscle strength (MRC score)</w:t>
            </w:r>
          </w:p>
          <w:p w14:paraId="280F54E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-Handgrip dynamometry</w:t>
            </w:r>
          </w:p>
        </w:tc>
        <w:tc>
          <w:tcPr>
            <w:tcW w:w="1688" w:type="pct"/>
            <w:tcBorders>
              <w:right w:val="nil"/>
            </w:tcBorders>
          </w:tcPr>
          <w:p w14:paraId="6F3968C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-NMES group (n=63) received daily NMES sessions (55mins) beginning from ICU discharge until hospital discharge + individualised rehabilitation program (5days/</w:t>
            </w:r>
            <w:proofErr w:type="spellStart"/>
            <w:r w:rsidRPr="00572ADC">
              <w:rPr>
                <w:rFonts w:ascii="Lucida Bright" w:hAnsi="Lucida Bright"/>
                <w:sz w:val="20"/>
                <w:szCs w:val="20"/>
              </w:rPr>
              <w:t>wk</w:t>
            </w:r>
            <w:proofErr w:type="spellEnd"/>
            <w:r w:rsidRPr="00572ADC">
              <w:rPr>
                <w:rFonts w:ascii="Lucida Bright" w:hAnsi="Lucida Bright"/>
                <w:sz w:val="20"/>
                <w:szCs w:val="20"/>
              </w:rPr>
              <w:t>).</w:t>
            </w:r>
          </w:p>
          <w:p w14:paraId="087576F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-Control group (n=65) received sham NMES + usual care.</w:t>
            </w:r>
          </w:p>
          <w:p w14:paraId="1D62493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-MRC, handgrip, functional status, and hospital length of stay did not differ significantly at hospital discharge between groups (p&gt;0.05). </w:t>
            </w:r>
          </w:p>
          <w:p w14:paraId="5E9E6D4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-Authors concluded that NMES and personalized physiotherapy in ICU survivors did not result in greater improvement of muscle strength &amp; functional status at hospital discharge. However, in patients with ICU-aw, NMES may be effective.</w:t>
            </w:r>
          </w:p>
        </w:tc>
      </w:tr>
      <w:tr w:rsidR="00CC4974" w:rsidRPr="00572ADC" w14:paraId="199BC8C3" w14:textId="77777777" w:rsidTr="002C0B44">
        <w:tc>
          <w:tcPr>
            <w:tcW w:w="622" w:type="pct"/>
            <w:tcBorders>
              <w:left w:val="nil"/>
            </w:tcBorders>
          </w:tcPr>
          <w:p w14:paraId="0E5E14AF"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626458883"/>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Ben12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(Benington, McWilliams, Eddleston, &amp; Atkinson, 2012)</w:t>
                </w:r>
                <w:r w:rsidR="00CC4974" w:rsidRPr="00572ADC">
                  <w:rPr>
                    <w:rFonts w:ascii="Lucida Bright" w:hAnsi="Lucida Bright"/>
                    <w:sz w:val="20"/>
                    <w:szCs w:val="20"/>
                  </w:rPr>
                  <w:fldChar w:fldCharType="end"/>
                </w:r>
              </w:sdtContent>
            </w:sdt>
          </w:p>
          <w:p w14:paraId="4A4C3672" w14:textId="77777777" w:rsidR="00CC4974" w:rsidRPr="00572ADC" w:rsidRDefault="00CC4974" w:rsidP="00572ADC">
            <w:pPr>
              <w:spacing w:line="480" w:lineRule="auto"/>
              <w:rPr>
                <w:rFonts w:ascii="Lucida Bright" w:hAnsi="Lucida Bright"/>
                <w:sz w:val="20"/>
                <w:szCs w:val="20"/>
              </w:rPr>
            </w:pPr>
          </w:p>
        </w:tc>
        <w:tc>
          <w:tcPr>
            <w:tcW w:w="868" w:type="pct"/>
          </w:tcPr>
          <w:p w14:paraId="68D1881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Cohort</w:t>
            </w:r>
          </w:p>
          <w:p w14:paraId="495E713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50</w:t>
            </w:r>
          </w:p>
        </w:tc>
        <w:tc>
          <w:tcPr>
            <w:tcW w:w="1049" w:type="pct"/>
          </w:tcPr>
          <w:p w14:paraId="4729E774"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determine the feasibility and safety of CPET as a tool for the objective assessment of exercise capacity in unselected adult general ICU survivors.</w:t>
            </w:r>
          </w:p>
          <w:p w14:paraId="2DA127E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help to further characterize the pathophysiology of any exercise limitation present in this patient population.</w:t>
            </w:r>
          </w:p>
        </w:tc>
        <w:tc>
          <w:tcPr>
            <w:tcW w:w="773" w:type="pct"/>
          </w:tcPr>
          <w:p w14:paraId="1A83BB4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-Exercise capacity (via CPET)</w:t>
            </w:r>
          </w:p>
          <w:p w14:paraId="4AB56DA3"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-HRQOL</w:t>
            </w:r>
          </w:p>
        </w:tc>
        <w:tc>
          <w:tcPr>
            <w:tcW w:w="1688" w:type="pct"/>
            <w:tcBorders>
              <w:right w:val="nil"/>
            </w:tcBorders>
          </w:tcPr>
          <w:p w14:paraId="2D3BD8F0" w14:textId="77777777" w:rsidR="00CC4974" w:rsidRPr="00572ADC" w:rsidRDefault="00CC4974" w:rsidP="00572ADC">
            <w:pPr>
              <w:autoSpaceDE w:val="0"/>
              <w:autoSpaceDN w:val="0"/>
              <w:adjustRightInd w:val="0"/>
              <w:spacing w:line="480" w:lineRule="auto"/>
              <w:rPr>
                <w:rFonts w:ascii="Lucida Bright" w:hAnsi="Lucida Bright" w:cs="AdvTT6120e2aa"/>
                <w:sz w:val="20"/>
                <w:szCs w:val="20"/>
              </w:rPr>
            </w:pPr>
            <w:r w:rsidRPr="00572ADC">
              <w:rPr>
                <w:rFonts w:ascii="Lucida Bright" w:hAnsi="Lucida Bright" w:cs="AdvTT6120e2aa"/>
                <w:sz w:val="20"/>
                <w:szCs w:val="20"/>
              </w:rPr>
              <w:t>-Patients ventilated for &gt;14 days had a significantly lower AT and peak VO2 than those ventilated for 5 to 14 days (AT: p=0.009; peak VO2: p=0.022).</w:t>
            </w:r>
          </w:p>
          <w:p w14:paraId="6BFE370B" w14:textId="77777777" w:rsidR="00CC4974" w:rsidRPr="00572ADC" w:rsidRDefault="00CC4974" w:rsidP="00572ADC">
            <w:pPr>
              <w:autoSpaceDE w:val="0"/>
              <w:autoSpaceDN w:val="0"/>
              <w:adjustRightInd w:val="0"/>
              <w:spacing w:line="480" w:lineRule="auto"/>
              <w:rPr>
                <w:rFonts w:ascii="Lucida Bright" w:hAnsi="Lucida Bright" w:cs="AdvTT6120e2aa"/>
                <w:sz w:val="20"/>
                <w:szCs w:val="20"/>
              </w:rPr>
            </w:pPr>
            <w:r w:rsidRPr="00572ADC">
              <w:rPr>
                <w:rFonts w:ascii="Lucida Bright" w:hAnsi="Lucida Bright" w:cs="AdvTT6120e2aa"/>
                <w:sz w:val="20"/>
                <w:szCs w:val="20"/>
              </w:rPr>
              <w:t xml:space="preserve">-There appeared to be no correlation between HRQOL and CPET performance. </w:t>
            </w:r>
          </w:p>
          <w:p w14:paraId="12928242"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-The authors concluded that a significant exercise limitation is evident in patients who have had a critical illness. The </w:t>
            </w:r>
            <w:proofErr w:type="spellStart"/>
            <w:r w:rsidRPr="00572ADC">
              <w:rPr>
                <w:rFonts w:ascii="Lucida Bright" w:hAnsi="Lucida Bright"/>
                <w:sz w:val="20"/>
                <w:szCs w:val="20"/>
              </w:rPr>
              <w:t>etiology</w:t>
            </w:r>
            <w:proofErr w:type="spellEnd"/>
            <w:r w:rsidRPr="00572ADC">
              <w:rPr>
                <w:rFonts w:ascii="Lucida Bright" w:hAnsi="Lucida Bright"/>
                <w:sz w:val="20"/>
                <w:szCs w:val="20"/>
              </w:rPr>
              <w:t xml:space="preserve"> of exercise limitation appears multifactorial, with general deconditioning and muscle weakness as major contributory factors. Early CPET appears a practical method of assessing exercise capacity in ICU survivors. Cardiopulmonary exercise testing could be used to select patients who may benefit most from a targeted physical rehabilitation </w:t>
            </w:r>
            <w:r w:rsidRPr="00572ADC">
              <w:rPr>
                <w:rFonts w:ascii="Lucida Bright" w:hAnsi="Lucida Bright"/>
                <w:sz w:val="20"/>
                <w:szCs w:val="20"/>
              </w:rPr>
              <w:lastRenderedPageBreak/>
              <w:t>program, aid in exercise prescription, and help assess intervention response.</w:t>
            </w:r>
          </w:p>
        </w:tc>
      </w:tr>
      <w:tr w:rsidR="00CC4974" w:rsidRPr="00572ADC" w14:paraId="7DED4A56" w14:textId="77777777" w:rsidTr="002C0B44">
        <w:tc>
          <w:tcPr>
            <w:tcW w:w="622" w:type="pct"/>
            <w:tcBorders>
              <w:left w:val="nil"/>
            </w:tcBorders>
          </w:tcPr>
          <w:p w14:paraId="0871AFD1"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068844171"/>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Cha18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(Chan, et al., 2018)</w:t>
                </w:r>
                <w:r w:rsidR="00CC4974" w:rsidRPr="00572ADC">
                  <w:rPr>
                    <w:rFonts w:ascii="Lucida Bright" w:hAnsi="Lucida Bright"/>
                    <w:sz w:val="20"/>
                    <w:szCs w:val="20"/>
                  </w:rPr>
                  <w:fldChar w:fldCharType="end"/>
                </w:r>
              </w:sdtContent>
            </w:sdt>
          </w:p>
          <w:p w14:paraId="0C72A9A3" w14:textId="77777777" w:rsidR="00CC4974" w:rsidRPr="00572ADC" w:rsidRDefault="00CC4974" w:rsidP="00572ADC">
            <w:pPr>
              <w:spacing w:line="480" w:lineRule="auto"/>
              <w:rPr>
                <w:rFonts w:ascii="Lucida Bright" w:hAnsi="Lucida Bright"/>
                <w:sz w:val="20"/>
                <w:szCs w:val="20"/>
              </w:rPr>
            </w:pPr>
          </w:p>
        </w:tc>
        <w:tc>
          <w:tcPr>
            <w:tcW w:w="868" w:type="pct"/>
          </w:tcPr>
          <w:p w14:paraId="25E29B5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Prospective Cohort</w:t>
            </w:r>
          </w:p>
          <w:p w14:paraId="016E639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=120</w:t>
            </w:r>
          </w:p>
        </w:tc>
        <w:tc>
          <w:tcPr>
            <w:tcW w:w="1049" w:type="pct"/>
          </w:tcPr>
          <w:p w14:paraId="02EFBC4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examine ICU survivors’ body composition in the year after acute respiratory distress syndrome (ARDS) &amp; to test associations of patient characteristics, hospital exposures, &amp; survivors’ strength &amp; physical functioning with whole body percent lean mass.</w:t>
            </w:r>
          </w:p>
        </w:tc>
        <w:tc>
          <w:tcPr>
            <w:tcW w:w="773" w:type="pct"/>
          </w:tcPr>
          <w:p w14:paraId="4215AAA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-Lean &amp; fat mass (via DEXA)</w:t>
            </w:r>
          </w:p>
        </w:tc>
        <w:tc>
          <w:tcPr>
            <w:tcW w:w="1688" w:type="pct"/>
            <w:tcBorders>
              <w:right w:val="nil"/>
            </w:tcBorders>
          </w:tcPr>
          <w:p w14:paraId="5440D857" w14:textId="77777777" w:rsidR="00CC4974" w:rsidRPr="00572ADC" w:rsidRDefault="00CC4974" w:rsidP="00572ADC">
            <w:pPr>
              <w:autoSpaceDE w:val="0"/>
              <w:autoSpaceDN w:val="0"/>
              <w:adjustRightInd w:val="0"/>
              <w:spacing w:line="480" w:lineRule="auto"/>
              <w:rPr>
                <w:rFonts w:ascii="Lucida Bright" w:hAnsi="Lucida Bright"/>
                <w:sz w:val="20"/>
                <w:szCs w:val="20"/>
              </w:rPr>
            </w:pPr>
            <w:r w:rsidRPr="00572ADC">
              <w:rPr>
                <w:rFonts w:ascii="Lucida Bright" w:hAnsi="Lucida Bright" w:cs="AkzidenzGroteskBE-Regular"/>
                <w:sz w:val="20"/>
                <w:szCs w:val="20"/>
              </w:rPr>
              <w:t>-</w:t>
            </w:r>
            <w:r w:rsidRPr="00572ADC">
              <w:rPr>
                <w:rFonts w:ascii="Lucida Bright" w:hAnsi="Lucida Bright"/>
                <w:sz w:val="20"/>
                <w:szCs w:val="20"/>
              </w:rPr>
              <w:t>In the first year after acute respiratory distress syndrome, patients gained fat mass and maintained lean mass. We found no association between whole body percent lean mass with commonly hypothesized hospital risk factors.</w:t>
            </w:r>
          </w:p>
          <w:p w14:paraId="56B86303" w14:textId="77777777" w:rsidR="00CC4974" w:rsidRPr="00572ADC" w:rsidRDefault="00CC4974" w:rsidP="00572ADC">
            <w:pPr>
              <w:autoSpaceDE w:val="0"/>
              <w:autoSpaceDN w:val="0"/>
              <w:adjustRightInd w:val="0"/>
              <w:spacing w:line="480" w:lineRule="auto"/>
              <w:rPr>
                <w:rFonts w:ascii="Lucida Bright" w:hAnsi="Lucida Bright" w:cs="AkzidenzGroteskBE-Regular"/>
                <w:sz w:val="20"/>
                <w:szCs w:val="20"/>
              </w:rPr>
            </w:pPr>
            <w:r w:rsidRPr="00572ADC">
              <w:rPr>
                <w:rFonts w:ascii="Lucida Bright" w:hAnsi="Lucida Bright" w:cs="AkzidenzGroteskBE-Regular"/>
                <w:sz w:val="20"/>
                <w:szCs w:val="20"/>
              </w:rPr>
              <w:t>-Greater whole body %lean mass was associated with younger age, male sex, and lower baseline body mass.</w:t>
            </w:r>
          </w:p>
          <w:p w14:paraId="7ABB4905" w14:textId="77777777" w:rsidR="00CC4974" w:rsidRPr="00572ADC" w:rsidRDefault="00CC4974" w:rsidP="00572ADC">
            <w:pPr>
              <w:spacing w:line="480" w:lineRule="auto"/>
              <w:rPr>
                <w:rFonts w:ascii="Lucida Bright" w:hAnsi="Lucida Bright" w:cs="AkzidenzGroteskBE-Regular"/>
                <w:sz w:val="20"/>
                <w:szCs w:val="20"/>
              </w:rPr>
            </w:pPr>
            <w:r w:rsidRPr="00572ADC">
              <w:rPr>
                <w:rFonts w:ascii="Lucida Bright" w:hAnsi="Lucida Bright" w:cs="AkzidenzGroteskBE-Regular"/>
                <w:sz w:val="20"/>
                <w:szCs w:val="20"/>
              </w:rPr>
              <w:t>-Greater %lean mass was also significantly associated with gait speed &amp; 6-minute walk distance, but not volitional strength or self-reported functional status.</w:t>
            </w:r>
          </w:p>
        </w:tc>
      </w:tr>
      <w:tr w:rsidR="00CC4974" w:rsidRPr="00572ADC" w14:paraId="29C4A817" w14:textId="77777777" w:rsidTr="002C0B44">
        <w:tc>
          <w:tcPr>
            <w:tcW w:w="622" w:type="pct"/>
            <w:tcBorders>
              <w:left w:val="nil"/>
            </w:tcBorders>
          </w:tcPr>
          <w:p w14:paraId="1349B976"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501202750"/>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Cha14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(Chao, et al., 2014)</w:t>
                </w:r>
                <w:r w:rsidR="00CC4974" w:rsidRPr="00572ADC">
                  <w:rPr>
                    <w:rFonts w:ascii="Lucida Bright" w:hAnsi="Lucida Bright"/>
                    <w:sz w:val="20"/>
                    <w:szCs w:val="20"/>
                  </w:rPr>
                  <w:fldChar w:fldCharType="end"/>
                </w:r>
              </w:sdtContent>
            </w:sdt>
          </w:p>
          <w:p w14:paraId="0E5C8CDB" w14:textId="77777777" w:rsidR="00CC4974" w:rsidRPr="00572ADC" w:rsidRDefault="00CC4974" w:rsidP="00572ADC">
            <w:pPr>
              <w:spacing w:line="480" w:lineRule="auto"/>
              <w:rPr>
                <w:rFonts w:ascii="Lucida Bright" w:hAnsi="Lucida Bright"/>
                <w:sz w:val="20"/>
                <w:szCs w:val="20"/>
              </w:rPr>
            </w:pPr>
          </w:p>
        </w:tc>
        <w:tc>
          <w:tcPr>
            <w:tcW w:w="868" w:type="pct"/>
          </w:tcPr>
          <w:p w14:paraId="0F946EC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Population-based Observational Cohort</w:t>
            </w:r>
          </w:p>
          <w:p w14:paraId="4C69704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n(participants)=15,535</w:t>
            </w:r>
          </w:p>
        </w:tc>
        <w:tc>
          <w:tcPr>
            <w:tcW w:w="1049" w:type="pct"/>
          </w:tcPr>
          <w:p w14:paraId="040513F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investigate the benefit of post-discharge rehabilitation on long-term </w:t>
            </w:r>
            <w:r w:rsidRPr="00572ADC">
              <w:rPr>
                <w:rFonts w:ascii="Lucida Bright" w:hAnsi="Lucida Bright"/>
                <w:sz w:val="20"/>
                <w:szCs w:val="20"/>
              </w:rPr>
              <w:lastRenderedPageBreak/>
              <w:t>mortality in sepsis survivors.</w:t>
            </w:r>
          </w:p>
        </w:tc>
        <w:tc>
          <w:tcPr>
            <w:tcW w:w="773" w:type="pct"/>
          </w:tcPr>
          <w:p w14:paraId="51DA7DE2"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-Mortality rates</w:t>
            </w:r>
          </w:p>
        </w:tc>
        <w:tc>
          <w:tcPr>
            <w:tcW w:w="1688" w:type="pct"/>
            <w:tcBorders>
              <w:right w:val="nil"/>
            </w:tcBorders>
          </w:tcPr>
          <w:p w14:paraId="461C1A92"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-Treatment group (TG) received rehabilitation within 90 days of hospital discharge – including 6x30-60min sessions across one </w:t>
            </w:r>
            <w:r w:rsidRPr="00572ADC">
              <w:rPr>
                <w:rFonts w:ascii="Lucida Bright" w:hAnsi="Lucida Bright"/>
                <w:sz w:val="20"/>
                <w:szCs w:val="20"/>
              </w:rPr>
              <w:lastRenderedPageBreak/>
              <w:t>month. Consisted of individualised programs to facilitate muscle strengthening, movement, ADL performance, cardiovascular capacity, and functional ability.</w:t>
            </w:r>
          </w:p>
          <w:p w14:paraId="3F343A37"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-Control group (CG) did not receive rehabilitation within 90-day of hospital discharge.</w:t>
            </w:r>
          </w:p>
          <w:p w14:paraId="51AA2E64"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-Compared with the CG, the TG had a significantly lower risk of 10-year mortality (adjusted hazard ratio, 0.94; 95%CI, 0.92–0.97; p&lt;0.001), with an absolute risk reduction of 1.4 per 100 person-years.</w:t>
            </w:r>
          </w:p>
          <w:p w14:paraId="08C28713"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-Improved survival was observed in the rehabilitation cohort among ill patients who had more comorbidities, required more prolonged mechanical ventilation, and had more prolonged ICU or hospital stays, but not </w:t>
            </w:r>
            <w:r w:rsidRPr="00572ADC">
              <w:rPr>
                <w:rFonts w:ascii="Lucida Bright" w:hAnsi="Lucida Bright"/>
                <w:sz w:val="20"/>
                <w:szCs w:val="20"/>
              </w:rPr>
              <w:lastRenderedPageBreak/>
              <w:t>among those with the opposite conditions (i.e., less ill patients).</w:t>
            </w:r>
          </w:p>
        </w:tc>
      </w:tr>
      <w:tr w:rsidR="00CC4974" w:rsidRPr="00572ADC" w14:paraId="26899C2B" w14:textId="77777777" w:rsidTr="002C0B44">
        <w:tc>
          <w:tcPr>
            <w:tcW w:w="622" w:type="pct"/>
            <w:tcBorders>
              <w:left w:val="nil"/>
            </w:tcBorders>
          </w:tcPr>
          <w:p w14:paraId="78713911"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839451353"/>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CRC17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(Chung, Yoo, Park, &amp; Ryu, 2017)</w:t>
                </w:r>
                <w:r w:rsidR="00CC4974" w:rsidRPr="00572ADC">
                  <w:rPr>
                    <w:rFonts w:ascii="Lucida Bright" w:hAnsi="Lucida Bright"/>
                    <w:sz w:val="20"/>
                    <w:szCs w:val="20"/>
                  </w:rPr>
                  <w:fldChar w:fldCharType="end"/>
                </w:r>
              </w:sdtContent>
            </w:sdt>
          </w:p>
          <w:p w14:paraId="2AA742A7" w14:textId="77777777" w:rsidR="00CC4974" w:rsidRPr="00572ADC" w:rsidRDefault="00CC4974" w:rsidP="00572ADC">
            <w:pPr>
              <w:spacing w:line="480" w:lineRule="auto"/>
              <w:rPr>
                <w:rFonts w:ascii="Lucida Bright" w:hAnsi="Lucida Bright"/>
                <w:sz w:val="20"/>
                <w:szCs w:val="20"/>
              </w:rPr>
            </w:pPr>
          </w:p>
        </w:tc>
        <w:tc>
          <w:tcPr>
            <w:tcW w:w="868" w:type="pct"/>
          </w:tcPr>
          <w:p w14:paraId="6DB4D5B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Retrospective Cohort</w:t>
            </w:r>
          </w:p>
          <w:p w14:paraId="4D77872D"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30</w:t>
            </w:r>
          </w:p>
        </w:tc>
        <w:tc>
          <w:tcPr>
            <w:tcW w:w="1049" w:type="pct"/>
          </w:tcPr>
          <w:p w14:paraId="7D899E17"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investigate the cognitive impairment and psychological distress of critically ill patients at discharge from the intensive care unit.</w:t>
            </w:r>
          </w:p>
        </w:tc>
        <w:tc>
          <w:tcPr>
            <w:tcW w:w="773" w:type="pct"/>
          </w:tcPr>
          <w:p w14:paraId="2382C2E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-Cognitive impairment</w:t>
            </w:r>
          </w:p>
          <w:p w14:paraId="6A7BFD2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-Depression</w:t>
            </w:r>
          </w:p>
          <w:p w14:paraId="31AB5D7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-PTSD</w:t>
            </w:r>
          </w:p>
        </w:tc>
        <w:tc>
          <w:tcPr>
            <w:tcW w:w="1688" w:type="pct"/>
            <w:tcBorders>
              <w:right w:val="nil"/>
            </w:tcBorders>
          </w:tcPr>
          <w:p w14:paraId="162E7794" w14:textId="77777777" w:rsidR="00CC4974" w:rsidRPr="00572ADC" w:rsidRDefault="00CC4974" w:rsidP="00572ADC">
            <w:pPr>
              <w:spacing w:line="480" w:lineRule="auto"/>
              <w:rPr>
                <w:rFonts w:ascii="Lucida Bright" w:hAnsi="Lucida Bright" w:cs="Minion Pro"/>
                <w:color w:val="000000"/>
                <w:sz w:val="20"/>
                <w:szCs w:val="20"/>
              </w:rPr>
            </w:pPr>
            <w:r w:rsidRPr="00572ADC">
              <w:rPr>
                <w:rFonts w:ascii="Lucida Bright" w:hAnsi="Lucida Bright"/>
                <w:sz w:val="20"/>
                <w:szCs w:val="20"/>
              </w:rPr>
              <w:t xml:space="preserve">-Upon discharge from the ICU, </w:t>
            </w:r>
            <w:r w:rsidRPr="00572ADC">
              <w:rPr>
                <w:rFonts w:ascii="Lucida Bright" w:hAnsi="Lucida Bright" w:cs="Minion Pro"/>
                <w:color w:val="000000"/>
                <w:sz w:val="20"/>
                <w:szCs w:val="20"/>
              </w:rPr>
              <w:t>43.3% screened positive for cognitive impairment, 60.0% exhibited depressive symptoms, &amp; 76.7% recalled one or more stressful in-ICU experience.</w:t>
            </w:r>
          </w:p>
          <w:p w14:paraId="0FAE2337" w14:textId="77777777" w:rsidR="00CC4974" w:rsidRPr="00572ADC" w:rsidRDefault="00CC4974" w:rsidP="00572ADC">
            <w:pPr>
              <w:spacing w:line="480" w:lineRule="auto"/>
              <w:rPr>
                <w:rFonts w:ascii="Lucida Bright" w:hAnsi="Lucida Bright" w:cs="Minion Pro"/>
                <w:color w:val="000000"/>
                <w:sz w:val="20"/>
                <w:szCs w:val="20"/>
              </w:rPr>
            </w:pPr>
            <w:r w:rsidRPr="00572ADC">
              <w:rPr>
                <w:rFonts w:ascii="Lucida Bright" w:hAnsi="Lucida Bright" w:cs="Minion Pro"/>
                <w:color w:val="000000"/>
                <w:sz w:val="20"/>
                <w:szCs w:val="20"/>
              </w:rPr>
              <w:t>-Female patients (88.9%) were more likely to feel depressed at ICU dis</w:t>
            </w:r>
            <w:r w:rsidRPr="00572ADC">
              <w:rPr>
                <w:rFonts w:ascii="Lucida Bright" w:hAnsi="Lucida Bright" w:cs="Minion Pro"/>
                <w:color w:val="000000"/>
                <w:sz w:val="20"/>
                <w:szCs w:val="20"/>
              </w:rPr>
              <w:softHyphen/>
              <w:t>charge, compared to male patients (47.6%) (</w:t>
            </w:r>
            <w:r w:rsidRPr="00572ADC">
              <w:rPr>
                <w:rFonts w:ascii="Cambria" w:hAnsi="Cambria" w:cs="Cambria"/>
                <w:color w:val="000000"/>
                <w:sz w:val="20"/>
                <w:szCs w:val="20"/>
              </w:rPr>
              <w:t>χ</w:t>
            </w:r>
            <w:r w:rsidRPr="00572ADC">
              <w:rPr>
                <w:rFonts w:ascii="Lucida Bright" w:hAnsi="Lucida Bright" w:cs="Minion Pro"/>
                <w:color w:val="000000"/>
                <w:position w:val="4"/>
                <w:sz w:val="20"/>
                <w:szCs w:val="20"/>
                <w:vertAlign w:val="superscript"/>
              </w:rPr>
              <w:t>2</w:t>
            </w:r>
            <w:r w:rsidRPr="00572ADC">
              <w:rPr>
                <w:rFonts w:ascii="Lucida Bright" w:hAnsi="Lucida Bright" w:cs="Minion Pro"/>
                <w:color w:val="000000"/>
                <w:sz w:val="20"/>
                <w:szCs w:val="20"/>
              </w:rPr>
              <w:t>=4.47, p=0.03).</w:t>
            </w:r>
          </w:p>
        </w:tc>
      </w:tr>
      <w:tr w:rsidR="00CC4974" w:rsidRPr="00572ADC" w14:paraId="549BFCE8" w14:textId="77777777" w:rsidTr="002C0B44">
        <w:tc>
          <w:tcPr>
            <w:tcW w:w="622" w:type="pct"/>
            <w:tcBorders>
              <w:left w:val="nil"/>
            </w:tcBorders>
          </w:tcPr>
          <w:p w14:paraId="0838F764"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769388227"/>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Dev19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(Devine, et al., 2019)</w:t>
                </w:r>
                <w:r w:rsidR="00CC4974" w:rsidRPr="00572ADC">
                  <w:rPr>
                    <w:rFonts w:ascii="Lucida Bright" w:hAnsi="Lucida Bright"/>
                    <w:sz w:val="20"/>
                    <w:szCs w:val="20"/>
                  </w:rPr>
                  <w:fldChar w:fldCharType="end"/>
                </w:r>
              </w:sdtContent>
            </w:sdt>
          </w:p>
          <w:p w14:paraId="0C775BAC" w14:textId="77777777" w:rsidR="00CC4974" w:rsidRPr="00572ADC" w:rsidRDefault="00CC4974" w:rsidP="00572ADC">
            <w:pPr>
              <w:spacing w:line="480" w:lineRule="auto"/>
              <w:rPr>
                <w:rFonts w:ascii="Lucida Bright" w:hAnsi="Lucida Bright"/>
                <w:sz w:val="20"/>
                <w:szCs w:val="20"/>
              </w:rPr>
            </w:pPr>
          </w:p>
        </w:tc>
        <w:tc>
          <w:tcPr>
            <w:tcW w:w="868" w:type="pct"/>
          </w:tcPr>
          <w:p w14:paraId="5A048CA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Cohort</w:t>
            </w:r>
          </w:p>
          <w:p w14:paraId="7B93F0B3"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47</w:t>
            </w:r>
          </w:p>
        </w:tc>
        <w:tc>
          <w:tcPr>
            <w:tcW w:w="1049" w:type="pct"/>
          </w:tcPr>
          <w:p w14:paraId="7585F8A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assess the incidence, intensity, and location of chronic pain. </w:t>
            </w:r>
          </w:p>
          <w:p w14:paraId="2FA1727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explore the level of its interference with daily life and examine drugs required for its treatment. </w:t>
            </w:r>
          </w:p>
          <w:p w14:paraId="5FB2126E" w14:textId="77777777" w:rsidR="00CC4974" w:rsidRPr="00572ADC" w:rsidRDefault="00CC4974" w:rsidP="00572ADC">
            <w:pPr>
              <w:spacing w:line="480" w:lineRule="auto"/>
              <w:rPr>
                <w:rFonts w:ascii="Lucida Bright" w:hAnsi="Lucida Bright"/>
                <w:sz w:val="20"/>
                <w:szCs w:val="20"/>
              </w:rPr>
            </w:pPr>
          </w:p>
        </w:tc>
        <w:tc>
          <w:tcPr>
            <w:tcW w:w="773" w:type="pct"/>
          </w:tcPr>
          <w:p w14:paraId="4D79EAD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 xml:space="preserve">-Pain </w:t>
            </w:r>
          </w:p>
          <w:p w14:paraId="59321A22"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-Analgesics</w:t>
            </w:r>
          </w:p>
        </w:tc>
        <w:tc>
          <w:tcPr>
            <w:tcW w:w="1688" w:type="pct"/>
            <w:tcBorders>
              <w:right w:val="nil"/>
            </w:tcBorders>
          </w:tcPr>
          <w:p w14:paraId="72216BC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-66% (n=31) reported “new” chronic pain during the initial assessment (6-20 weeks post-hospital discharge).</w:t>
            </w:r>
          </w:p>
          <w:p w14:paraId="072FD06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-The shoulder joint was most frequently affected (39%).</w:t>
            </w:r>
          </w:p>
          <w:p w14:paraId="505B2B6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-The authors concluded that chronic pain is associated with morbidity in intensive care </w:t>
            </w:r>
            <w:r w:rsidRPr="00572ADC">
              <w:rPr>
                <w:rFonts w:ascii="Lucida Bright" w:hAnsi="Lucida Bright"/>
                <w:sz w:val="20"/>
                <w:szCs w:val="20"/>
              </w:rPr>
              <w:lastRenderedPageBreak/>
              <w:t xml:space="preserve">unit survivors. Pain interference </w:t>
            </w:r>
            <w:r w:rsidRPr="00572ADC">
              <w:rPr>
                <w:rFonts w:ascii="Lucida Bright" w:hAnsi="Lucida Bright" w:cs="TimesNewRomanPSMT"/>
                <w:sz w:val="20"/>
                <w:szCs w:val="20"/>
              </w:rPr>
              <w:t>(</w:t>
            </w:r>
            <w:r w:rsidRPr="00572ADC">
              <w:rPr>
                <w:rFonts w:ascii="Lucida Bright" w:hAnsi="Lucida Bright" w:cs="TimesNewRomanPS-ItalicMT"/>
                <w:i/>
                <w:iCs/>
                <w:sz w:val="20"/>
                <w:szCs w:val="20"/>
              </w:rPr>
              <w:t xml:space="preserve">p </w:t>
            </w:r>
            <w:r w:rsidRPr="00572ADC">
              <w:rPr>
                <w:rFonts w:ascii="Lucida Bright" w:hAnsi="Lucida Bright" w:cs="TimesNewRomanPSMT"/>
                <w:sz w:val="20"/>
                <w:szCs w:val="20"/>
              </w:rPr>
              <w:t>= 0.04)</w:t>
            </w:r>
            <w:r w:rsidRPr="00572ADC">
              <w:rPr>
                <w:rFonts w:ascii="Lucida Bright" w:hAnsi="Lucida Bright"/>
                <w:sz w:val="20"/>
                <w:szCs w:val="20"/>
              </w:rPr>
              <w:t>, but not pain intensity (</w:t>
            </w:r>
            <w:r w:rsidRPr="00572ADC">
              <w:rPr>
                <w:rFonts w:ascii="Lucida Bright" w:hAnsi="Lucida Bright"/>
                <w:i/>
                <w:iCs/>
                <w:sz w:val="20"/>
                <w:szCs w:val="20"/>
              </w:rPr>
              <w:t xml:space="preserve">p </w:t>
            </w:r>
            <w:r w:rsidRPr="00572ADC">
              <w:rPr>
                <w:rFonts w:ascii="Lucida Bright" w:hAnsi="Lucida Bright"/>
                <w:sz w:val="20"/>
                <w:szCs w:val="20"/>
              </w:rPr>
              <w:t>= 0.66), improved significantly in the first year after discharge.</w:t>
            </w:r>
          </w:p>
        </w:tc>
      </w:tr>
      <w:tr w:rsidR="00CC4974" w:rsidRPr="00572ADC" w14:paraId="7D33B27A" w14:textId="77777777" w:rsidTr="002C0B44">
        <w:tc>
          <w:tcPr>
            <w:tcW w:w="622" w:type="pct"/>
            <w:tcBorders>
              <w:left w:val="nil"/>
            </w:tcBorders>
          </w:tcPr>
          <w:p w14:paraId="7F4233DB"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885591261"/>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Egg20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(Eggman, et al., 2020)</w:t>
                </w:r>
                <w:r w:rsidR="00CC4974" w:rsidRPr="00572ADC">
                  <w:rPr>
                    <w:rFonts w:ascii="Lucida Bright" w:hAnsi="Lucida Bright"/>
                    <w:sz w:val="20"/>
                    <w:szCs w:val="20"/>
                  </w:rPr>
                  <w:fldChar w:fldCharType="end"/>
                </w:r>
              </w:sdtContent>
            </w:sdt>
          </w:p>
          <w:p w14:paraId="29CC681F" w14:textId="77777777" w:rsidR="00CC4974" w:rsidRPr="00572ADC" w:rsidRDefault="00CC4974" w:rsidP="00572ADC">
            <w:pPr>
              <w:spacing w:line="480" w:lineRule="auto"/>
              <w:rPr>
                <w:rFonts w:ascii="Lucida Bright" w:hAnsi="Lucida Bright"/>
                <w:sz w:val="20"/>
                <w:szCs w:val="20"/>
              </w:rPr>
            </w:pPr>
          </w:p>
        </w:tc>
        <w:tc>
          <w:tcPr>
            <w:tcW w:w="868" w:type="pct"/>
          </w:tcPr>
          <w:p w14:paraId="21C3480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Cohort</w:t>
            </w:r>
          </w:p>
          <w:p w14:paraId="5BAE009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83</w:t>
            </w:r>
          </w:p>
        </w:tc>
        <w:tc>
          <w:tcPr>
            <w:tcW w:w="1049" w:type="pct"/>
          </w:tcPr>
          <w:p w14:paraId="3D5888F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investigate functional outcomes at hospital discharge &amp; HRQOL after 6-months in critically ill patients with severe, moderate, or no ICU-aw at ICU discharge. </w:t>
            </w:r>
          </w:p>
          <w:p w14:paraId="088BB18B"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Secondly, to explore the role of early risk factors for reduced muscle strength at ICU discharge in mechanically ventilated, critically ill patients.</w:t>
            </w:r>
          </w:p>
        </w:tc>
        <w:tc>
          <w:tcPr>
            <w:tcW w:w="773" w:type="pct"/>
          </w:tcPr>
          <w:p w14:paraId="7226E95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-Muscle strength (MRC-SS)</w:t>
            </w:r>
          </w:p>
          <w:p w14:paraId="59D302F3"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-6MWT</w:t>
            </w:r>
          </w:p>
          <w:p w14:paraId="0F251BCB"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-FIM</w:t>
            </w:r>
          </w:p>
        </w:tc>
        <w:tc>
          <w:tcPr>
            <w:tcW w:w="1688" w:type="pct"/>
            <w:tcBorders>
              <w:right w:val="nil"/>
            </w:tcBorders>
          </w:tcPr>
          <w:p w14:paraId="1DA7E35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-The authors conclude that weakness at ICU discharge was associated with short-term functional disability (6MWT: p=0.013; FIM: p=0.001) &amp; prolonged hospital LOS (p=0.008), but not with quality of life, which was equivalent to the values for patients without ICU-aw within six months. </w:t>
            </w:r>
          </w:p>
          <w:p w14:paraId="4CCA052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cs="Helvetica"/>
                <w:sz w:val="20"/>
                <w:szCs w:val="20"/>
              </w:rPr>
              <w:t>-In-bed immobilisation was the most significant factor associated with weakness at ICU discharge (p&lt;0.001), suggesting i</w:t>
            </w:r>
            <w:r w:rsidRPr="00572ADC">
              <w:rPr>
                <w:rFonts w:ascii="Lucida Bright" w:hAnsi="Lucida Bright"/>
                <w:sz w:val="20"/>
                <w:szCs w:val="20"/>
              </w:rPr>
              <w:t>mmobilisation may be a modifiable risk factor to prevent ICU-aw.</w:t>
            </w:r>
          </w:p>
        </w:tc>
      </w:tr>
      <w:tr w:rsidR="00CC4974" w:rsidRPr="00572ADC" w14:paraId="1E723D0D" w14:textId="77777777" w:rsidTr="002C0B44">
        <w:tc>
          <w:tcPr>
            <w:tcW w:w="622" w:type="pct"/>
            <w:tcBorders>
              <w:left w:val="nil"/>
            </w:tcBorders>
          </w:tcPr>
          <w:p w14:paraId="4352FD50"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255434544"/>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Far16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(Farley, Eastwood, &amp; Bellomo, 2016)</w:t>
                </w:r>
                <w:r w:rsidR="00CC4974" w:rsidRPr="00572ADC">
                  <w:rPr>
                    <w:rFonts w:ascii="Lucida Bright" w:hAnsi="Lucida Bright"/>
                    <w:sz w:val="20"/>
                    <w:szCs w:val="20"/>
                  </w:rPr>
                  <w:fldChar w:fldCharType="end"/>
                </w:r>
              </w:sdtContent>
            </w:sdt>
          </w:p>
          <w:p w14:paraId="61CCBDCD" w14:textId="77777777" w:rsidR="00CC4974" w:rsidRPr="00572ADC" w:rsidRDefault="00CC4974" w:rsidP="00572ADC">
            <w:pPr>
              <w:spacing w:line="480" w:lineRule="auto"/>
              <w:rPr>
                <w:rFonts w:ascii="Lucida Bright" w:hAnsi="Lucida Bright"/>
                <w:sz w:val="20"/>
                <w:szCs w:val="20"/>
              </w:rPr>
            </w:pPr>
          </w:p>
        </w:tc>
        <w:tc>
          <w:tcPr>
            <w:tcW w:w="868" w:type="pct"/>
          </w:tcPr>
          <w:p w14:paraId="069A5637"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Single-Centre Cohort</w:t>
            </w:r>
          </w:p>
          <w:p w14:paraId="69EA2F4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27</w:t>
            </w:r>
          </w:p>
        </w:tc>
        <w:tc>
          <w:tcPr>
            <w:tcW w:w="1049" w:type="pct"/>
          </w:tcPr>
          <w:p w14:paraId="5825AD6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determine the long-term (12-24mth) HRQOL of Australian survivors of prolonged mechanical ventilation in ICU. </w:t>
            </w:r>
          </w:p>
          <w:p w14:paraId="387B5CF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identify whether such patients would consider an ICU follow-up clinic as beneficial. </w:t>
            </w:r>
          </w:p>
        </w:tc>
        <w:tc>
          <w:tcPr>
            <w:tcW w:w="773" w:type="pct"/>
          </w:tcPr>
          <w:p w14:paraId="6FA9F07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-HRQOL</w:t>
            </w:r>
          </w:p>
          <w:p w14:paraId="657B717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-Anxiety &amp; depression</w:t>
            </w:r>
          </w:p>
        </w:tc>
        <w:tc>
          <w:tcPr>
            <w:tcW w:w="1688" w:type="pct"/>
            <w:tcBorders>
              <w:right w:val="nil"/>
            </w:tcBorders>
          </w:tcPr>
          <w:p w14:paraId="4BBD4A9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-52% of participants described markedly impaired HRQOL or in their psychological state. </w:t>
            </w:r>
          </w:p>
          <w:p w14:paraId="37E31A3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-The authors concluded that at long–term follow-up, </w:t>
            </w:r>
            <w:proofErr w:type="gramStart"/>
            <w:r w:rsidRPr="00572ADC">
              <w:rPr>
                <w:rFonts w:ascii="Lucida Bright" w:hAnsi="Lucida Bright"/>
                <w:sz w:val="20"/>
                <w:szCs w:val="20"/>
              </w:rPr>
              <w:t>the majority of</w:t>
            </w:r>
            <w:proofErr w:type="gramEnd"/>
            <w:r w:rsidRPr="00572ADC">
              <w:rPr>
                <w:rFonts w:ascii="Lucida Bright" w:hAnsi="Lucida Bright"/>
                <w:sz w:val="20"/>
                <w:szCs w:val="20"/>
              </w:rPr>
              <w:t xml:space="preserve"> survivors of prolonged mechanical ventilation reported impaired quality of life &amp; significant psychological symptoms. Most believed that a follow-up clinic would have been beneficial.</w:t>
            </w:r>
          </w:p>
        </w:tc>
      </w:tr>
      <w:tr w:rsidR="00CC4974" w:rsidRPr="00572ADC" w14:paraId="605693E2" w14:textId="77777777" w:rsidTr="002C0B44">
        <w:tc>
          <w:tcPr>
            <w:tcW w:w="622" w:type="pct"/>
            <w:tcBorders>
              <w:left w:val="nil"/>
            </w:tcBorders>
          </w:tcPr>
          <w:p w14:paraId="1F9CD99E"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460104925"/>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Ker19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(Kerckhoffs, et al., 2019)</w:t>
                </w:r>
                <w:r w:rsidR="00CC4974" w:rsidRPr="00572ADC">
                  <w:rPr>
                    <w:rFonts w:ascii="Lucida Bright" w:hAnsi="Lucida Bright"/>
                    <w:sz w:val="20"/>
                    <w:szCs w:val="20"/>
                  </w:rPr>
                  <w:fldChar w:fldCharType="end"/>
                </w:r>
              </w:sdtContent>
            </w:sdt>
          </w:p>
          <w:p w14:paraId="5F553739" w14:textId="77777777" w:rsidR="00CC4974" w:rsidRPr="00572ADC" w:rsidRDefault="00CC4974" w:rsidP="00572ADC">
            <w:pPr>
              <w:spacing w:line="480" w:lineRule="auto"/>
              <w:rPr>
                <w:rFonts w:ascii="Lucida Bright" w:hAnsi="Lucida Bright"/>
                <w:i/>
                <w:iCs/>
                <w:sz w:val="20"/>
                <w:szCs w:val="20"/>
              </w:rPr>
            </w:pPr>
          </w:p>
        </w:tc>
        <w:tc>
          <w:tcPr>
            <w:tcW w:w="868" w:type="pct"/>
          </w:tcPr>
          <w:p w14:paraId="633461B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Cohort </w:t>
            </w:r>
          </w:p>
          <w:p w14:paraId="6B95ABC7"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1453</w:t>
            </w:r>
          </w:p>
          <w:p w14:paraId="67EBEC9F" w14:textId="77777777" w:rsidR="00CC4974" w:rsidRPr="00572ADC" w:rsidRDefault="00CC4974" w:rsidP="00572ADC">
            <w:pPr>
              <w:spacing w:line="480" w:lineRule="auto"/>
              <w:rPr>
                <w:rFonts w:ascii="Lucida Bright" w:hAnsi="Lucida Bright"/>
                <w:sz w:val="20"/>
                <w:szCs w:val="20"/>
              </w:rPr>
            </w:pPr>
          </w:p>
        </w:tc>
        <w:tc>
          <w:tcPr>
            <w:tcW w:w="1049" w:type="pct"/>
          </w:tcPr>
          <w:p w14:paraId="60E18F5D"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investigate the effect of overall HRQOL and the components of PICS on the risk of a self-reported unacceptable outcome of ICU treatment.</w:t>
            </w:r>
          </w:p>
        </w:tc>
        <w:tc>
          <w:tcPr>
            <w:tcW w:w="773" w:type="pct"/>
          </w:tcPr>
          <w:p w14:paraId="4845C97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-HRQOL</w:t>
            </w:r>
          </w:p>
          <w:p w14:paraId="384DA1A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-ADL Performance (Barthel Index)</w:t>
            </w:r>
          </w:p>
          <w:p w14:paraId="154081C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-Cognition</w:t>
            </w:r>
          </w:p>
          <w:p w14:paraId="66C07D6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-Depression</w:t>
            </w:r>
          </w:p>
          <w:p w14:paraId="0197896D"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-PTSD</w:t>
            </w:r>
          </w:p>
        </w:tc>
        <w:tc>
          <w:tcPr>
            <w:tcW w:w="1688" w:type="pct"/>
            <w:tcBorders>
              <w:right w:val="nil"/>
            </w:tcBorders>
          </w:tcPr>
          <w:p w14:paraId="2D7FC622" w14:textId="77777777" w:rsidR="00CC4974" w:rsidRPr="00572ADC" w:rsidRDefault="00CC4974" w:rsidP="00572ADC">
            <w:pPr>
              <w:spacing w:line="480" w:lineRule="auto"/>
              <w:rPr>
                <w:rFonts w:ascii="Lucida Bright" w:hAnsi="Lucida Bright" w:cs="Lao UI"/>
                <w:sz w:val="20"/>
                <w:szCs w:val="20"/>
              </w:rPr>
            </w:pPr>
            <w:r w:rsidRPr="00572ADC">
              <w:rPr>
                <w:rFonts w:ascii="Lucida Bright" w:hAnsi="Lucida Bright" w:cs="Lao UI"/>
                <w:sz w:val="20"/>
                <w:szCs w:val="20"/>
              </w:rPr>
              <w:t xml:space="preserve">-74% agreed with the statement that their current condition is an acceptable outcome of ICU treatment, 22% responded neutral, and 5% disagreed with the statement. </w:t>
            </w:r>
          </w:p>
          <w:p w14:paraId="19E0CE49" w14:textId="77777777" w:rsidR="00CC4974" w:rsidRPr="00572ADC" w:rsidRDefault="00CC4974" w:rsidP="00572ADC">
            <w:pPr>
              <w:spacing w:line="480" w:lineRule="auto"/>
              <w:rPr>
                <w:rFonts w:ascii="Lucida Bright" w:hAnsi="Lucida Bright" w:cs="Lao UI"/>
                <w:sz w:val="20"/>
                <w:szCs w:val="20"/>
              </w:rPr>
            </w:pPr>
            <w:r w:rsidRPr="00572ADC">
              <w:rPr>
                <w:rFonts w:ascii="Lucida Bright" w:hAnsi="Lucida Bright" w:cs="Lao UI"/>
                <w:sz w:val="20"/>
                <w:szCs w:val="20"/>
              </w:rPr>
              <w:t xml:space="preserve">-When adjusted for demographic factors alone or both demographic and ICU factors, a lower EQ-5D index value, higher HADS score, and higher IES score were significantly </w:t>
            </w:r>
            <w:r w:rsidRPr="00572ADC">
              <w:rPr>
                <w:rFonts w:ascii="Lucida Bright" w:hAnsi="Lucida Bright" w:cs="Lao UI"/>
                <w:sz w:val="20"/>
                <w:szCs w:val="20"/>
              </w:rPr>
              <w:lastRenderedPageBreak/>
              <w:t>associated with a self-reported unacceptable outcome.</w:t>
            </w:r>
          </w:p>
        </w:tc>
      </w:tr>
      <w:tr w:rsidR="00CC4974" w:rsidRPr="00572ADC" w14:paraId="5D09112E" w14:textId="77777777" w:rsidTr="002C0B44">
        <w:tc>
          <w:tcPr>
            <w:tcW w:w="622" w:type="pct"/>
            <w:tcBorders>
              <w:left w:val="nil"/>
            </w:tcBorders>
          </w:tcPr>
          <w:p w14:paraId="747420A0"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291336985"/>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Kir18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(Kiriella, et al., 2018)</w:t>
                </w:r>
                <w:r w:rsidR="00CC4974" w:rsidRPr="00572ADC">
                  <w:rPr>
                    <w:rFonts w:ascii="Lucida Bright" w:hAnsi="Lucida Bright"/>
                    <w:sz w:val="20"/>
                    <w:szCs w:val="20"/>
                  </w:rPr>
                  <w:fldChar w:fldCharType="end"/>
                </w:r>
              </w:sdtContent>
            </w:sdt>
          </w:p>
          <w:p w14:paraId="26148247" w14:textId="77777777" w:rsidR="00CC4974" w:rsidRPr="00572ADC" w:rsidRDefault="00CC4974" w:rsidP="00572ADC">
            <w:pPr>
              <w:spacing w:line="480" w:lineRule="auto"/>
              <w:rPr>
                <w:rFonts w:ascii="Lucida Bright" w:hAnsi="Lucida Bright"/>
                <w:sz w:val="20"/>
                <w:szCs w:val="20"/>
              </w:rPr>
            </w:pPr>
          </w:p>
        </w:tc>
        <w:tc>
          <w:tcPr>
            <w:tcW w:w="868" w:type="pct"/>
          </w:tcPr>
          <w:p w14:paraId="7BD6A3D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Longitudinal Cohort </w:t>
            </w:r>
          </w:p>
          <w:p w14:paraId="7458B5A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3-months n(participants) = 24</w:t>
            </w:r>
          </w:p>
          <w:p w14:paraId="0A3E221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6-months n(participants) = 16</w:t>
            </w:r>
          </w:p>
        </w:tc>
        <w:tc>
          <w:tcPr>
            <w:tcW w:w="1049" w:type="pct"/>
          </w:tcPr>
          <w:p w14:paraId="0CAE6C0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quantify lower limb muscle function and mobility outcomes at 3- and 6-months after ICU discharge; compare results to age and sex-matched controls; and to identify associations between muscle strength and power with measures of gait and postural control in the post-ICU period.</w:t>
            </w:r>
          </w:p>
        </w:tc>
        <w:tc>
          <w:tcPr>
            <w:tcW w:w="773" w:type="pct"/>
          </w:tcPr>
          <w:p w14:paraId="1A740232"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-Muscle Strength (</w:t>
            </w:r>
            <w:proofErr w:type="spellStart"/>
            <w:r w:rsidRPr="00572ADC">
              <w:rPr>
                <w:rFonts w:ascii="Lucida Bright" w:hAnsi="Lucida Bright"/>
                <w:sz w:val="20"/>
                <w:szCs w:val="20"/>
              </w:rPr>
              <w:t>Biodex</w:t>
            </w:r>
            <w:proofErr w:type="spellEnd"/>
            <w:r w:rsidRPr="00572ADC">
              <w:rPr>
                <w:rFonts w:ascii="Lucida Bright" w:hAnsi="Lucida Bright"/>
                <w:sz w:val="20"/>
                <w:szCs w:val="20"/>
              </w:rPr>
              <w:t xml:space="preserve"> Dynamometer)</w:t>
            </w:r>
          </w:p>
          <w:p w14:paraId="6F84F8F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-Postural Control </w:t>
            </w:r>
          </w:p>
          <w:p w14:paraId="5B506D3B"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-Exercise Capacity (6MWT)</w:t>
            </w:r>
          </w:p>
        </w:tc>
        <w:tc>
          <w:tcPr>
            <w:tcW w:w="1688" w:type="pct"/>
            <w:tcBorders>
              <w:right w:val="nil"/>
            </w:tcBorders>
          </w:tcPr>
          <w:p w14:paraId="377B452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-Following discharge from the ICU, participants demonstrated impaired lower limb muscle strength and power, particularly of the distal leg muscles, compared to the control group. Only minimal changes in muscle function from 3 to 6 months after ICU discharge were noted. </w:t>
            </w:r>
          </w:p>
          <w:p w14:paraId="0F19B9E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-Indications of a “cautious gait” strategy were observed in the 3-month post-ICU group compared to the control group, but this was no longer present in the 6-month post-discharge group. Alterations in gait parameters were associated with leg muscle strength and power impairments with the 3-month post-ICU group.  </w:t>
            </w:r>
          </w:p>
          <w:p w14:paraId="68FD6B44"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-Static postural control was not impaired in individuals after ICU discharge and did not show a relationship with muscle function.</w:t>
            </w:r>
          </w:p>
        </w:tc>
      </w:tr>
      <w:tr w:rsidR="00CC4974" w:rsidRPr="00572ADC" w14:paraId="4355F199" w14:textId="77777777" w:rsidTr="002C0B44">
        <w:tc>
          <w:tcPr>
            <w:tcW w:w="622" w:type="pct"/>
            <w:tcBorders>
              <w:left w:val="nil"/>
            </w:tcBorders>
          </w:tcPr>
          <w:p w14:paraId="3FE4E6C1"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351081412"/>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Put20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(Puthucheary, et al., 2020)</w:t>
                </w:r>
                <w:r w:rsidR="00CC4974" w:rsidRPr="00572ADC">
                  <w:rPr>
                    <w:rFonts w:ascii="Lucida Bright" w:hAnsi="Lucida Bright"/>
                    <w:sz w:val="20"/>
                    <w:szCs w:val="20"/>
                  </w:rPr>
                  <w:fldChar w:fldCharType="end"/>
                </w:r>
              </w:sdtContent>
            </w:sdt>
          </w:p>
          <w:p w14:paraId="4B755A2C" w14:textId="77777777" w:rsidR="00CC4974" w:rsidRPr="00572ADC" w:rsidRDefault="00CC4974" w:rsidP="00572ADC">
            <w:pPr>
              <w:spacing w:line="480" w:lineRule="auto"/>
              <w:rPr>
                <w:rFonts w:ascii="Lucida Bright" w:hAnsi="Lucida Bright"/>
                <w:sz w:val="20"/>
                <w:szCs w:val="20"/>
              </w:rPr>
            </w:pPr>
          </w:p>
        </w:tc>
        <w:tc>
          <w:tcPr>
            <w:tcW w:w="868" w:type="pct"/>
          </w:tcPr>
          <w:p w14:paraId="70111E93"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Cohort</w:t>
            </w:r>
          </w:p>
          <w:p w14:paraId="5BCEF06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159</w:t>
            </w:r>
          </w:p>
        </w:tc>
        <w:tc>
          <w:tcPr>
            <w:tcW w:w="1049" w:type="pct"/>
          </w:tcPr>
          <w:p w14:paraId="2CE88032"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w:t>
            </w:r>
            <w:proofErr w:type="spellStart"/>
            <w:r w:rsidRPr="00572ADC">
              <w:rPr>
                <w:rFonts w:ascii="Lucida Bright" w:hAnsi="Lucida Bright"/>
                <w:sz w:val="20"/>
                <w:szCs w:val="20"/>
              </w:rPr>
              <w:t>i</w:t>
            </w:r>
            <w:proofErr w:type="spellEnd"/>
            <w:r w:rsidRPr="00572ADC">
              <w:rPr>
                <w:rFonts w:ascii="Lucida Bright" w:hAnsi="Lucida Bright"/>
                <w:sz w:val="20"/>
                <w:szCs w:val="20"/>
              </w:rPr>
              <w:t>) To examine the trajectories of functional recovery in critically ill patients.</w:t>
            </w:r>
          </w:p>
          <w:p w14:paraId="6E8AD88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(ii) To examine the distinguishing clinical characteristics between these cohorts.</w:t>
            </w:r>
          </w:p>
          <w:p w14:paraId="5FA18F2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(iii) To assess the differences in </w:t>
            </w:r>
            <w:proofErr w:type="spellStart"/>
            <w:r w:rsidRPr="00572ADC">
              <w:rPr>
                <w:rFonts w:ascii="Lucida Bright" w:hAnsi="Lucida Bright"/>
                <w:sz w:val="20"/>
                <w:szCs w:val="20"/>
              </w:rPr>
              <w:t>clinimetric</w:t>
            </w:r>
            <w:proofErr w:type="spellEnd"/>
            <w:r w:rsidRPr="00572ADC">
              <w:rPr>
                <w:rFonts w:ascii="Lucida Bright" w:hAnsi="Lucida Bright"/>
                <w:sz w:val="20"/>
                <w:szCs w:val="20"/>
              </w:rPr>
              <w:t xml:space="preserve"> properties of assessment tools of physical function between cohorts.</w:t>
            </w:r>
          </w:p>
        </w:tc>
        <w:tc>
          <w:tcPr>
            <w:tcW w:w="773" w:type="pct"/>
          </w:tcPr>
          <w:p w14:paraId="53FCC7F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-ADL Performance</w:t>
            </w:r>
          </w:p>
          <w:p w14:paraId="23904CE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-HRQOL</w:t>
            </w:r>
          </w:p>
        </w:tc>
        <w:tc>
          <w:tcPr>
            <w:tcW w:w="1688" w:type="pct"/>
            <w:tcBorders>
              <w:right w:val="nil"/>
            </w:tcBorders>
          </w:tcPr>
          <w:p w14:paraId="71E35BF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-Trajectory projection analysis identified two distinct sub-cohorts: one cohort exhibited a faster and more complete recovery trajectory defined as within one standard deviation of population norms (</w:t>
            </w:r>
            <w:r w:rsidRPr="00572ADC">
              <w:rPr>
                <w:rFonts w:ascii="Lucida Bright" w:hAnsi="Lucida Bright"/>
                <w:i/>
                <w:iCs/>
                <w:sz w:val="20"/>
                <w:szCs w:val="20"/>
              </w:rPr>
              <w:t>n</w:t>
            </w:r>
            <w:r w:rsidRPr="00572ADC">
              <w:rPr>
                <w:rFonts w:ascii="Lucida Bright" w:hAnsi="Lucida Bright"/>
                <w:sz w:val="20"/>
                <w:szCs w:val="20"/>
              </w:rPr>
              <w:t>=61). A second cohort exhibited more persistent functional impairment (</w:t>
            </w:r>
            <w:r w:rsidRPr="00572ADC">
              <w:rPr>
                <w:rFonts w:ascii="Lucida Bright" w:hAnsi="Lucida Bright"/>
                <w:i/>
                <w:iCs/>
                <w:sz w:val="20"/>
                <w:szCs w:val="20"/>
              </w:rPr>
              <w:t>n=</w:t>
            </w:r>
            <w:r w:rsidRPr="00572ADC">
              <w:rPr>
                <w:rFonts w:ascii="Lucida Bright" w:hAnsi="Lucida Bright"/>
                <w:sz w:val="20"/>
                <w:szCs w:val="20"/>
              </w:rPr>
              <w:t>76).</w:t>
            </w:r>
          </w:p>
          <w:p w14:paraId="3A4CCE7B"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-The complete recovery cohort was, on average, younger (</w:t>
            </w:r>
            <w:r w:rsidRPr="00572ADC">
              <w:rPr>
                <w:rFonts w:ascii="Lucida Bright" w:hAnsi="Lucida Bright"/>
                <w:i/>
                <w:iCs/>
                <w:sz w:val="20"/>
                <w:szCs w:val="20"/>
              </w:rPr>
              <w:t>p=</w:t>
            </w:r>
            <w:r w:rsidRPr="00572ADC">
              <w:rPr>
                <w:rFonts w:ascii="Lucida Bright" w:hAnsi="Lucida Bright"/>
                <w:sz w:val="20"/>
                <w:szCs w:val="20"/>
              </w:rPr>
              <w:t>0.002), with higher education levels (</w:t>
            </w:r>
            <w:r w:rsidRPr="00572ADC">
              <w:rPr>
                <w:rFonts w:ascii="Lucida Bright" w:hAnsi="Lucida Bright"/>
                <w:i/>
                <w:iCs/>
                <w:sz w:val="20"/>
                <w:szCs w:val="20"/>
              </w:rPr>
              <w:t>p=</w:t>
            </w:r>
            <w:r w:rsidRPr="00572ADC">
              <w:rPr>
                <w:rFonts w:ascii="Lucida Bright" w:hAnsi="Lucida Bright"/>
                <w:sz w:val="20"/>
                <w:szCs w:val="20"/>
              </w:rPr>
              <w:t>0.039), and had a lower BMI (</w:t>
            </w:r>
            <w:r w:rsidRPr="00572ADC">
              <w:rPr>
                <w:rFonts w:ascii="Lucida Bright" w:hAnsi="Lucida Bright"/>
                <w:i/>
                <w:iCs/>
                <w:sz w:val="20"/>
                <w:szCs w:val="20"/>
              </w:rPr>
              <w:t>p=</w:t>
            </w:r>
            <w:r w:rsidRPr="00572ADC">
              <w:rPr>
                <w:rFonts w:ascii="Lucida Bright" w:hAnsi="Lucida Bright"/>
                <w:sz w:val="20"/>
                <w:szCs w:val="20"/>
              </w:rPr>
              <w:t>0.006).</w:t>
            </w:r>
          </w:p>
          <w:p w14:paraId="2F9A08F2"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-A multivariable logistic regression analysis demonstrated age, education level, and the number of comorbidities as independent determinants of poor recovery.</w:t>
            </w:r>
          </w:p>
        </w:tc>
      </w:tr>
      <w:tr w:rsidR="00CC4974" w:rsidRPr="00572ADC" w14:paraId="2F57EC9D" w14:textId="77777777" w:rsidTr="002C0B44">
        <w:tc>
          <w:tcPr>
            <w:tcW w:w="622" w:type="pct"/>
            <w:tcBorders>
              <w:left w:val="nil"/>
            </w:tcBorders>
          </w:tcPr>
          <w:p w14:paraId="53225193"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455139270"/>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Sid191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(Sidiras, et al., 2019)</w:t>
                </w:r>
                <w:r w:rsidR="00CC4974" w:rsidRPr="00572ADC">
                  <w:rPr>
                    <w:rFonts w:ascii="Lucida Bright" w:hAnsi="Lucida Bright"/>
                    <w:sz w:val="20"/>
                    <w:szCs w:val="20"/>
                  </w:rPr>
                  <w:fldChar w:fldCharType="end"/>
                </w:r>
              </w:sdtContent>
            </w:sdt>
          </w:p>
          <w:p w14:paraId="66A049D2" w14:textId="77777777" w:rsidR="00CC4974" w:rsidRPr="00572ADC" w:rsidRDefault="00CC4974" w:rsidP="00572ADC">
            <w:pPr>
              <w:spacing w:line="480" w:lineRule="auto"/>
              <w:rPr>
                <w:rFonts w:ascii="Lucida Bright" w:hAnsi="Lucida Bright"/>
                <w:sz w:val="20"/>
                <w:szCs w:val="20"/>
              </w:rPr>
            </w:pPr>
          </w:p>
        </w:tc>
        <w:tc>
          <w:tcPr>
            <w:tcW w:w="868" w:type="pct"/>
          </w:tcPr>
          <w:p w14:paraId="2E3CD9D4" w14:textId="77777777" w:rsidR="00CC4974" w:rsidRPr="00572ADC" w:rsidRDefault="00CC4974" w:rsidP="00572ADC">
            <w:pPr>
              <w:spacing w:line="480" w:lineRule="auto"/>
              <w:rPr>
                <w:rFonts w:ascii="Lucida Bright" w:hAnsi="Lucida Bright"/>
                <w:i/>
                <w:iCs/>
                <w:sz w:val="20"/>
                <w:szCs w:val="20"/>
              </w:rPr>
            </w:pPr>
            <w:r w:rsidRPr="00572ADC">
              <w:rPr>
                <w:rFonts w:ascii="Lucida Bright" w:hAnsi="Lucida Bright"/>
                <w:sz w:val="20"/>
                <w:szCs w:val="20"/>
              </w:rPr>
              <w:t xml:space="preserve">Prospective Cohort – </w:t>
            </w:r>
            <w:r w:rsidRPr="00572ADC">
              <w:rPr>
                <w:rFonts w:ascii="Lucida Bright" w:hAnsi="Lucida Bright"/>
                <w:i/>
                <w:iCs/>
                <w:sz w:val="20"/>
                <w:szCs w:val="20"/>
              </w:rPr>
              <w:t>post-hoc analysis from RCT (</w:t>
            </w:r>
            <w:proofErr w:type="spellStart"/>
            <w:r w:rsidRPr="00572ADC">
              <w:rPr>
                <w:rFonts w:ascii="Lucida Bright" w:hAnsi="Lucida Bright"/>
                <w:i/>
                <w:iCs/>
                <w:sz w:val="20"/>
                <w:szCs w:val="20"/>
              </w:rPr>
              <w:t>Patsaki</w:t>
            </w:r>
            <w:proofErr w:type="spellEnd"/>
            <w:r w:rsidRPr="00572ADC">
              <w:rPr>
                <w:rFonts w:ascii="Lucida Bright" w:hAnsi="Lucida Bright"/>
                <w:i/>
                <w:iCs/>
                <w:sz w:val="20"/>
                <w:szCs w:val="20"/>
              </w:rPr>
              <w:t xml:space="preserve"> et al. 2017)</w:t>
            </w:r>
          </w:p>
          <w:p w14:paraId="6F7D5A0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128</w:t>
            </w:r>
          </w:p>
        </w:tc>
        <w:tc>
          <w:tcPr>
            <w:tcW w:w="1049" w:type="pct"/>
          </w:tcPr>
          <w:p w14:paraId="36F2B6D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assess QOL and functional ability of patients with ICU-acquired weakness, 6mths post-hospital discharge.</w:t>
            </w:r>
          </w:p>
        </w:tc>
        <w:tc>
          <w:tcPr>
            <w:tcW w:w="773" w:type="pct"/>
          </w:tcPr>
          <w:p w14:paraId="185D7E9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-Muscle strength (MRC score)</w:t>
            </w:r>
          </w:p>
          <w:p w14:paraId="55CF60CB"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-Handgrip dynamometry</w:t>
            </w:r>
          </w:p>
          <w:p w14:paraId="0FC12D1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-HRQOL</w:t>
            </w:r>
          </w:p>
          <w:p w14:paraId="00EB303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-Functional Status</w:t>
            </w:r>
          </w:p>
        </w:tc>
        <w:tc>
          <w:tcPr>
            <w:tcW w:w="1688" w:type="pct"/>
            <w:tcBorders>
              <w:right w:val="nil"/>
            </w:tcBorders>
          </w:tcPr>
          <w:p w14:paraId="59A62AB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-ICU-aw is associated with persistent deficiencies in functional ability and HRQOL leading to a prolonged period of recovery.</w:t>
            </w:r>
          </w:p>
          <w:p w14:paraId="56C17BC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-Patients with ICU-aw continued to have low MRC at hospital discharge (</w:t>
            </w:r>
            <w:r w:rsidRPr="00572ADC">
              <w:rPr>
                <w:rFonts w:ascii="Lucida Bright" w:hAnsi="Lucida Bright"/>
                <w:i/>
                <w:iCs/>
                <w:sz w:val="20"/>
                <w:szCs w:val="20"/>
              </w:rPr>
              <w:t>p&lt;</w:t>
            </w:r>
            <w:r w:rsidRPr="00572ADC">
              <w:rPr>
                <w:rFonts w:ascii="Lucida Bright" w:hAnsi="Lucida Bright"/>
                <w:sz w:val="20"/>
                <w:szCs w:val="20"/>
              </w:rPr>
              <w:t xml:space="preserve">0.05). </w:t>
            </w:r>
          </w:p>
          <w:p w14:paraId="57B7848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-Patients who developed ICU-aw had lower handgrip dynamometry at ICU, hospital discharge, and 6-months after (</w:t>
            </w:r>
            <w:r w:rsidRPr="00572ADC">
              <w:rPr>
                <w:rFonts w:ascii="Lucida Bright" w:hAnsi="Lucida Bright"/>
                <w:i/>
                <w:iCs/>
                <w:sz w:val="20"/>
                <w:szCs w:val="20"/>
              </w:rPr>
              <w:t>p&lt;</w:t>
            </w:r>
            <w:r w:rsidRPr="00572ADC">
              <w:rPr>
                <w:rFonts w:ascii="Lucida Bright" w:hAnsi="Lucida Bright"/>
                <w:sz w:val="20"/>
                <w:szCs w:val="20"/>
              </w:rPr>
              <w:t xml:space="preserve">0.05). </w:t>
            </w:r>
          </w:p>
          <w:p w14:paraId="3663D7BB"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-Patients with ICU-aw have significantly lower FIM scores at hospital discharge, 3- and 6-months post-hospital discharge (</w:t>
            </w:r>
            <w:r w:rsidRPr="00572ADC">
              <w:rPr>
                <w:rFonts w:ascii="Lucida Bright" w:hAnsi="Lucida Bright"/>
                <w:i/>
                <w:iCs/>
                <w:sz w:val="20"/>
                <w:szCs w:val="20"/>
              </w:rPr>
              <w:t>p&lt;</w:t>
            </w:r>
            <w:r w:rsidRPr="00572ADC">
              <w:rPr>
                <w:rFonts w:ascii="Lucida Bright" w:hAnsi="Lucida Bright"/>
                <w:sz w:val="20"/>
                <w:szCs w:val="20"/>
              </w:rPr>
              <w:t>0.05), and persistently lower HRQOL at 3- and 6-months post-hospital discharge (</w:t>
            </w:r>
            <w:r w:rsidRPr="00572ADC">
              <w:rPr>
                <w:rFonts w:ascii="Lucida Bright" w:hAnsi="Lucida Bright"/>
                <w:i/>
                <w:iCs/>
                <w:sz w:val="20"/>
                <w:szCs w:val="20"/>
              </w:rPr>
              <w:t>p&lt;</w:t>
            </w:r>
            <w:r w:rsidRPr="00572ADC">
              <w:rPr>
                <w:rFonts w:ascii="Lucida Bright" w:hAnsi="Lucida Bright"/>
                <w:sz w:val="20"/>
                <w:szCs w:val="20"/>
              </w:rPr>
              <w:t xml:space="preserve">0.05). </w:t>
            </w:r>
          </w:p>
        </w:tc>
      </w:tr>
      <w:tr w:rsidR="00CC4974" w:rsidRPr="00572ADC" w14:paraId="03CBB45D" w14:textId="77777777" w:rsidTr="002C0B44">
        <w:tc>
          <w:tcPr>
            <w:tcW w:w="622" w:type="pct"/>
            <w:tcBorders>
              <w:left w:val="nil"/>
            </w:tcBorders>
          </w:tcPr>
          <w:p w14:paraId="5B1D080B"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711025758"/>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Sum20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(Sumida, et al., 2020)</w:t>
                </w:r>
                <w:r w:rsidR="00CC4974" w:rsidRPr="00572ADC">
                  <w:rPr>
                    <w:rFonts w:ascii="Lucida Bright" w:hAnsi="Lucida Bright"/>
                    <w:sz w:val="20"/>
                    <w:szCs w:val="20"/>
                  </w:rPr>
                  <w:fldChar w:fldCharType="end"/>
                </w:r>
              </w:sdtContent>
            </w:sdt>
          </w:p>
          <w:p w14:paraId="03CA7301" w14:textId="77777777" w:rsidR="00CC4974" w:rsidRPr="00572ADC" w:rsidRDefault="00CC4974" w:rsidP="00572ADC">
            <w:pPr>
              <w:spacing w:line="480" w:lineRule="auto"/>
              <w:rPr>
                <w:rFonts w:ascii="Lucida Bright" w:hAnsi="Lucida Bright"/>
                <w:sz w:val="20"/>
                <w:szCs w:val="20"/>
              </w:rPr>
            </w:pPr>
          </w:p>
        </w:tc>
        <w:tc>
          <w:tcPr>
            <w:tcW w:w="868" w:type="pct"/>
          </w:tcPr>
          <w:p w14:paraId="08AA9B2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Observational Cohort</w:t>
            </w:r>
          </w:p>
          <w:p w14:paraId="140EB39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111</w:t>
            </w:r>
          </w:p>
        </w:tc>
        <w:tc>
          <w:tcPr>
            <w:tcW w:w="1049" w:type="pct"/>
          </w:tcPr>
          <w:p w14:paraId="130D20F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determine the predictors of cognitive function and the influences of multidisciplinary cardiac rehabilitation on cognitive </w:t>
            </w:r>
            <w:r w:rsidRPr="00572ADC">
              <w:rPr>
                <w:rFonts w:ascii="Lucida Bright" w:hAnsi="Lucida Bright"/>
                <w:sz w:val="20"/>
                <w:szCs w:val="20"/>
              </w:rPr>
              <w:lastRenderedPageBreak/>
              <w:t>function in post-cardiac intensive care (CIC) patients.</w:t>
            </w:r>
          </w:p>
        </w:tc>
        <w:tc>
          <w:tcPr>
            <w:tcW w:w="773" w:type="pct"/>
          </w:tcPr>
          <w:p w14:paraId="79B78863"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-Cognition (FIM)</w:t>
            </w:r>
          </w:p>
        </w:tc>
        <w:tc>
          <w:tcPr>
            <w:tcW w:w="1688" w:type="pct"/>
            <w:tcBorders>
              <w:right w:val="nil"/>
            </w:tcBorders>
          </w:tcPr>
          <w:p w14:paraId="10F82F2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-Patients were stratified into two groups based on the median FIM-Cognitive scores: impaired (</w:t>
            </w:r>
            <w:r w:rsidRPr="00572ADC">
              <w:rPr>
                <w:rFonts w:ascii="Lucida Bright" w:hAnsi="Lucida Bright"/>
                <w:i/>
                <w:iCs/>
                <w:sz w:val="20"/>
                <w:szCs w:val="20"/>
              </w:rPr>
              <w:t>n</w:t>
            </w:r>
            <w:r w:rsidRPr="00572ADC">
              <w:rPr>
                <w:rFonts w:ascii="Lucida Bright" w:hAnsi="Lucida Bright"/>
                <w:sz w:val="20"/>
                <w:szCs w:val="20"/>
              </w:rPr>
              <w:t>=56) and preserved cognition (</w:t>
            </w:r>
            <w:r w:rsidRPr="00572ADC">
              <w:rPr>
                <w:rFonts w:ascii="Lucida Bright" w:hAnsi="Lucida Bright"/>
                <w:i/>
                <w:iCs/>
                <w:sz w:val="20"/>
                <w:szCs w:val="20"/>
              </w:rPr>
              <w:t>n</w:t>
            </w:r>
            <w:r w:rsidRPr="00572ADC">
              <w:rPr>
                <w:rFonts w:ascii="Lucida Bright" w:hAnsi="Lucida Bright"/>
                <w:sz w:val="20"/>
                <w:szCs w:val="20"/>
              </w:rPr>
              <w:t>=55) groups.</w:t>
            </w:r>
          </w:p>
          <w:p w14:paraId="1C36E33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-Multiple logistic regression analysis identified age (</w:t>
            </w:r>
            <w:r w:rsidRPr="00572ADC">
              <w:rPr>
                <w:rFonts w:ascii="Lucida Bright" w:hAnsi="Lucida Bright"/>
                <w:i/>
                <w:iCs/>
                <w:sz w:val="20"/>
                <w:szCs w:val="20"/>
              </w:rPr>
              <w:t>p</w:t>
            </w:r>
            <w:r w:rsidRPr="00572ADC">
              <w:rPr>
                <w:rFonts w:ascii="Lucida Bright" w:hAnsi="Lucida Bright"/>
                <w:sz w:val="20"/>
                <w:szCs w:val="20"/>
              </w:rPr>
              <w:t xml:space="preserve">=0.042), Mini-Nutrition Assessment-Short Form (MNA-SF; </w:t>
            </w:r>
            <w:r w:rsidRPr="00572ADC">
              <w:rPr>
                <w:rFonts w:ascii="Lucida Bright" w:hAnsi="Lucida Bright"/>
                <w:i/>
                <w:iCs/>
                <w:sz w:val="20"/>
                <w:szCs w:val="20"/>
              </w:rPr>
              <w:t>p</w:t>
            </w:r>
            <w:r w:rsidRPr="00572ADC">
              <w:rPr>
                <w:rFonts w:ascii="Lucida Bright" w:hAnsi="Lucida Bright"/>
                <w:sz w:val="20"/>
                <w:szCs w:val="20"/>
              </w:rPr>
              <w:t>=0.017), and FIM-Physical scores (</w:t>
            </w:r>
            <w:r w:rsidRPr="00572ADC">
              <w:rPr>
                <w:rFonts w:ascii="Lucida Bright" w:hAnsi="Lucida Bright"/>
                <w:i/>
                <w:iCs/>
                <w:sz w:val="20"/>
                <w:szCs w:val="20"/>
              </w:rPr>
              <w:t>p</w:t>
            </w:r>
            <w:r w:rsidRPr="00572ADC">
              <w:rPr>
                <w:rFonts w:ascii="Lucida Bright" w:hAnsi="Lucida Bright"/>
                <w:sz w:val="20"/>
                <w:szCs w:val="20"/>
              </w:rPr>
              <w:t xml:space="preserve">=0.012) as significant and independent factors associated with impaired cognition. </w:t>
            </w:r>
          </w:p>
          <w:p w14:paraId="00B8416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-FIM-Cognitive and FIM-Physical scores significantly increased from admission to discharge (</w:t>
            </w:r>
            <w:r w:rsidRPr="00572ADC">
              <w:rPr>
                <w:rFonts w:ascii="Lucida Bright" w:hAnsi="Lucida Bright"/>
                <w:i/>
                <w:iCs/>
                <w:sz w:val="20"/>
                <w:szCs w:val="20"/>
              </w:rPr>
              <w:t>p</w:t>
            </w:r>
            <w:r w:rsidRPr="00572ADC">
              <w:rPr>
                <w:rFonts w:ascii="Lucida Bright" w:hAnsi="Lucida Bright"/>
                <w:sz w:val="20"/>
                <w:szCs w:val="20"/>
              </w:rPr>
              <w:t>&lt;0.001).</w:t>
            </w:r>
          </w:p>
          <w:p w14:paraId="37B0CBC7"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-On subgroup analysis within the impaired cognition group, increased FIM-Cognitive scores positively and significantly correlated with increased FIM-Physical scores (</w:t>
            </w:r>
            <w:r w:rsidRPr="00572ADC">
              <w:rPr>
                <w:rFonts w:ascii="Lucida Bright" w:hAnsi="Lucida Bright"/>
                <w:i/>
                <w:iCs/>
                <w:sz w:val="20"/>
                <w:szCs w:val="20"/>
              </w:rPr>
              <w:t>p</w:t>
            </w:r>
            <w:r w:rsidRPr="00572ADC">
              <w:rPr>
                <w:rFonts w:ascii="Lucida Bright" w:hAnsi="Lucida Bright"/>
                <w:sz w:val="20"/>
                <w:szCs w:val="20"/>
              </w:rPr>
              <w:t xml:space="preserve">=0.450; </w:t>
            </w:r>
            <w:r w:rsidRPr="00572ADC">
              <w:rPr>
                <w:rFonts w:ascii="Lucida Bright" w:hAnsi="Lucida Bright"/>
                <w:i/>
                <w:iCs/>
                <w:sz w:val="20"/>
                <w:szCs w:val="20"/>
              </w:rPr>
              <w:t>p</w:t>
            </w:r>
            <w:r w:rsidRPr="00572ADC">
              <w:rPr>
                <w:rFonts w:ascii="Lucida Bright" w:hAnsi="Lucida Bright"/>
                <w:sz w:val="20"/>
                <w:szCs w:val="20"/>
              </w:rPr>
              <w:t>=0.001).</w:t>
            </w:r>
          </w:p>
          <w:p w14:paraId="14866B3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-In conclusion, advanced age, low MNA-SF score, and FIM-Physical score were independent factors associated with impaired cognition in post-CIC patients. </w:t>
            </w:r>
            <w:r w:rsidRPr="00572ADC">
              <w:rPr>
                <w:rFonts w:ascii="Lucida Bright" w:hAnsi="Lucida Bright"/>
                <w:sz w:val="20"/>
                <w:szCs w:val="20"/>
              </w:rPr>
              <w:lastRenderedPageBreak/>
              <w:t xml:space="preserve">Multidisciplinary cardiac rehabilitation was shown to improve both physical and cognitive function. </w:t>
            </w:r>
          </w:p>
        </w:tc>
      </w:tr>
      <w:tr w:rsidR="00CC4974" w:rsidRPr="00572ADC" w14:paraId="5E5B7885" w14:textId="77777777" w:rsidTr="002C0B44">
        <w:tc>
          <w:tcPr>
            <w:tcW w:w="622" w:type="pct"/>
            <w:tcBorders>
              <w:left w:val="nil"/>
            </w:tcBorders>
          </w:tcPr>
          <w:p w14:paraId="38D2FAA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w:t>
            </w:r>
            <w:sdt>
              <w:sdtPr>
                <w:rPr>
                  <w:rFonts w:ascii="Lucida Bright" w:hAnsi="Lucida Bright"/>
                  <w:sz w:val="20"/>
                  <w:szCs w:val="20"/>
                </w:rPr>
                <w:id w:val="1550413069"/>
                <w:citation/>
              </w:sdtPr>
              <w:sdtEndPr/>
              <w:sdtContent>
                <w:r w:rsidRPr="00572ADC">
                  <w:rPr>
                    <w:rFonts w:ascii="Lucida Bright" w:hAnsi="Lucida Bright"/>
                    <w:sz w:val="20"/>
                    <w:szCs w:val="20"/>
                  </w:rPr>
                  <w:fldChar w:fldCharType="begin"/>
                </w:r>
                <w:r w:rsidRPr="00572ADC">
                  <w:rPr>
                    <w:rFonts w:ascii="Lucida Bright" w:hAnsi="Lucida Bright"/>
                    <w:sz w:val="20"/>
                    <w:szCs w:val="20"/>
                  </w:rPr>
                  <w:instrText xml:space="preserve"> CITATION Tho16 \l 3081 </w:instrText>
                </w:r>
                <w:r w:rsidRPr="00572ADC">
                  <w:rPr>
                    <w:rFonts w:ascii="Lucida Bright" w:hAnsi="Lucida Bright"/>
                    <w:sz w:val="20"/>
                    <w:szCs w:val="20"/>
                  </w:rPr>
                  <w:fldChar w:fldCharType="separate"/>
                </w:r>
                <w:r w:rsidRPr="00572ADC">
                  <w:rPr>
                    <w:rFonts w:ascii="Lucida Bright" w:hAnsi="Lucida Bright"/>
                    <w:noProof/>
                    <w:sz w:val="20"/>
                    <w:szCs w:val="20"/>
                  </w:rPr>
                  <w:t>(Thomas, Burridge, Pohl, Oechmichen, &amp; Mehrholz, 2016)</w:t>
                </w:r>
                <w:r w:rsidRPr="00572ADC">
                  <w:rPr>
                    <w:rFonts w:ascii="Lucida Bright" w:hAnsi="Lucida Bright"/>
                    <w:sz w:val="20"/>
                    <w:szCs w:val="20"/>
                  </w:rPr>
                  <w:fldChar w:fldCharType="end"/>
                </w:r>
              </w:sdtContent>
            </w:sdt>
          </w:p>
          <w:p w14:paraId="10E77CBE" w14:textId="77777777" w:rsidR="00CC4974" w:rsidRPr="00572ADC" w:rsidRDefault="00CC4974" w:rsidP="00572ADC">
            <w:pPr>
              <w:spacing w:line="480" w:lineRule="auto"/>
              <w:rPr>
                <w:rFonts w:ascii="Lucida Bright" w:hAnsi="Lucida Bright"/>
                <w:sz w:val="20"/>
                <w:szCs w:val="20"/>
              </w:rPr>
            </w:pPr>
          </w:p>
        </w:tc>
        <w:tc>
          <w:tcPr>
            <w:tcW w:w="868" w:type="pct"/>
          </w:tcPr>
          <w:p w14:paraId="1BA939D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Cohort </w:t>
            </w:r>
          </w:p>
          <w:p w14:paraId="461D15D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150</w:t>
            </w:r>
          </w:p>
          <w:p w14:paraId="64DBDB67" w14:textId="77777777" w:rsidR="00CC4974" w:rsidRPr="00572ADC" w:rsidRDefault="00CC4974" w:rsidP="00572ADC">
            <w:pPr>
              <w:spacing w:line="480" w:lineRule="auto"/>
              <w:rPr>
                <w:rFonts w:ascii="Lucida Bright" w:hAnsi="Lucida Bright"/>
                <w:i/>
                <w:iCs/>
                <w:sz w:val="20"/>
                <w:szCs w:val="20"/>
              </w:rPr>
            </w:pPr>
          </w:p>
        </w:tc>
        <w:tc>
          <w:tcPr>
            <w:tcW w:w="1049" w:type="pct"/>
          </w:tcPr>
          <w:p w14:paraId="617CF9C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describe the time course of recovery of sit-to-stand function in patients with ICU-acquired muscle weakness and to develop a multivariate risk factor model for recovery of sit-to-stand function.</w:t>
            </w:r>
          </w:p>
        </w:tc>
        <w:tc>
          <w:tcPr>
            <w:tcW w:w="773" w:type="pct"/>
          </w:tcPr>
          <w:p w14:paraId="128613D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-Sit-to-stand function</w:t>
            </w:r>
          </w:p>
        </w:tc>
        <w:tc>
          <w:tcPr>
            <w:tcW w:w="1688" w:type="pct"/>
            <w:tcBorders>
              <w:right w:val="nil"/>
            </w:tcBorders>
          </w:tcPr>
          <w:p w14:paraId="3CB3F7D2"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-Sit-to-stand function was achieved by a median of 56 days after rehabilitation onset and a median of 113 days after the onset of illness.</w:t>
            </w:r>
          </w:p>
          <w:p w14:paraId="5F370F8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-The final multivariate model for recovery of sit-to-stand function included 3 variables: age (95% CI 0.94–0.99), duration of ventilation (95% CI 0.98–1.00), and Functional Status Score for the Intensive Care Unit (FSS-ICU) (95% CI 1.08–1.16).</w:t>
            </w:r>
          </w:p>
        </w:tc>
      </w:tr>
      <w:tr w:rsidR="00CC4974" w:rsidRPr="00572ADC" w14:paraId="112026A3" w14:textId="77777777" w:rsidTr="002C0B44">
        <w:tc>
          <w:tcPr>
            <w:tcW w:w="622" w:type="pct"/>
            <w:tcBorders>
              <w:left w:val="nil"/>
            </w:tcBorders>
          </w:tcPr>
          <w:p w14:paraId="762B754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w:t>
            </w:r>
            <w:sdt>
              <w:sdtPr>
                <w:rPr>
                  <w:rFonts w:ascii="Lucida Bright" w:hAnsi="Lucida Bright"/>
                  <w:sz w:val="20"/>
                  <w:szCs w:val="20"/>
                </w:rPr>
                <w:id w:val="-1943758460"/>
                <w:citation/>
              </w:sdtPr>
              <w:sdtEndPr/>
              <w:sdtContent>
                <w:r w:rsidRPr="00572ADC">
                  <w:rPr>
                    <w:rFonts w:ascii="Lucida Bright" w:hAnsi="Lucida Bright"/>
                    <w:sz w:val="20"/>
                    <w:szCs w:val="20"/>
                  </w:rPr>
                  <w:fldChar w:fldCharType="begin"/>
                </w:r>
                <w:r w:rsidRPr="00572ADC">
                  <w:rPr>
                    <w:rFonts w:ascii="Lucida Bright" w:hAnsi="Lucida Bright"/>
                    <w:sz w:val="20"/>
                    <w:szCs w:val="20"/>
                  </w:rPr>
                  <w:instrText xml:space="preserve">CITATION Tho18 \t  \l 3081 </w:instrText>
                </w:r>
                <w:r w:rsidRPr="00572ADC">
                  <w:rPr>
                    <w:rFonts w:ascii="Lucida Bright" w:hAnsi="Lucida Bright"/>
                    <w:sz w:val="20"/>
                    <w:szCs w:val="20"/>
                  </w:rPr>
                  <w:fldChar w:fldCharType="separate"/>
                </w:r>
                <w:r w:rsidRPr="00572ADC">
                  <w:rPr>
                    <w:rFonts w:ascii="Lucida Bright" w:hAnsi="Lucida Bright"/>
                    <w:noProof/>
                    <w:sz w:val="20"/>
                    <w:szCs w:val="20"/>
                  </w:rPr>
                  <w:t>(Thomas &amp; Mehrholz, 2018)</w:t>
                </w:r>
                <w:r w:rsidRPr="00572ADC">
                  <w:rPr>
                    <w:rFonts w:ascii="Lucida Bright" w:hAnsi="Lucida Bright"/>
                    <w:sz w:val="20"/>
                    <w:szCs w:val="20"/>
                  </w:rPr>
                  <w:fldChar w:fldCharType="end"/>
                </w:r>
              </w:sdtContent>
            </w:sdt>
          </w:p>
          <w:p w14:paraId="7C3F4BBB" w14:textId="77777777" w:rsidR="00CC4974" w:rsidRPr="00572ADC" w:rsidRDefault="00CC4974" w:rsidP="00572ADC">
            <w:pPr>
              <w:spacing w:line="480" w:lineRule="auto"/>
              <w:rPr>
                <w:rFonts w:ascii="Lucida Bright" w:hAnsi="Lucida Bright"/>
                <w:sz w:val="20"/>
                <w:szCs w:val="20"/>
              </w:rPr>
            </w:pPr>
          </w:p>
        </w:tc>
        <w:tc>
          <w:tcPr>
            <w:tcW w:w="868" w:type="pct"/>
          </w:tcPr>
          <w:p w14:paraId="23493973"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Cohort</w:t>
            </w:r>
          </w:p>
          <w:p w14:paraId="4B2DB5A3"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150</w:t>
            </w:r>
          </w:p>
          <w:p w14:paraId="339E0548" w14:textId="77777777" w:rsidR="00CC4974" w:rsidRPr="00572ADC" w:rsidRDefault="00CC4974" w:rsidP="00572ADC">
            <w:pPr>
              <w:spacing w:line="480" w:lineRule="auto"/>
              <w:rPr>
                <w:rFonts w:ascii="Lucida Bright" w:hAnsi="Lucida Bright"/>
                <w:i/>
                <w:iCs/>
                <w:sz w:val="20"/>
                <w:szCs w:val="20"/>
              </w:rPr>
            </w:pPr>
          </w:p>
        </w:tc>
        <w:tc>
          <w:tcPr>
            <w:tcW w:w="1049" w:type="pct"/>
          </w:tcPr>
          <w:p w14:paraId="503D778B"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describe the follow-up results of a patient cohort with ICU-aw, and to identify predictors for health-related quality of </w:t>
            </w:r>
            <w:r w:rsidRPr="00572ADC">
              <w:rPr>
                <w:rFonts w:ascii="Lucida Bright" w:hAnsi="Lucida Bright"/>
                <w:sz w:val="20"/>
                <w:szCs w:val="20"/>
              </w:rPr>
              <w:lastRenderedPageBreak/>
              <w:t>life, participation, activities, and cognitive function in patients with ICU-aw after a prolonged ICU and post-ICU rehabilitation stay in Germany at 1-year follow-up.</w:t>
            </w:r>
          </w:p>
        </w:tc>
        <w:tc>
          <w:tcPr>
            <w:tcW w:w="773" w:type="pct"/>
          </w:tcPr>
          <w:p w14:paraId="611FE7E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-ADL Performance</w:t>
            </w:r>
          </w:p>
          <w:p w14:paraId="2010BC6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-Participation</w:t>
            </w:r>
          </w:p>
          <w:p w14:paraId="3D17637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-HRQOL</w:t>
            </w:r>
          </w:p>
          <w:p w14:paraId="4550066D"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-Cognition</w:t>
            </w:r>
          </w:p>
        </w:tc>
        <w:tc>
          <w:tcPr>
            <w:tcW w:w="1688" w:type="pct"/>
            <w:tcBorders>
              <w:right w:val="nil"/>
            </w:tcBorders>
          </w:tcPr>
          <w:p w14:paraId="2A136BE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-The best predictors for good HRQOL 1 year after discharge was the time to regaining walking ability (95% CI 0.93 to 0.99) and the mean MOCA score on admission to post-acute </w:t>
            </w:r>
            <w:r w:rsidRPr="00572ADC">
              <w:rPr>
                <w:rFonts w:ascii="Lucida Bright" w:hAnsi="Lucida Bright"/>
                <w:sz w:val="20"/>
                <w:szCs w:val="20"/>
              </w:rPr>
              <w:lastRenderedPageBreak/>
              <w:t>ICU and rehabilitation units (95% CI 1.02 to 1.52).</w:t>
            </w:r>
          </w:p>
          <w:p w14:paraId="461F2A6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-The best predictor for good participation one year after discharge was the MOCA sum score on admission to post-acute ICU and rehabilitation units (95% CI 0.72 to 1.00). </w:t>
            </w:r>
          </w:p>
          <w:p w14:paraId="34AA6EB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-The best predictor for good physical activity one year after discharge was the Apache sum score on admission to post-acute ICU and rehabilitation units (95% CI 0.89 to 3.13). </w:t>
            </w:r>
          </w:p>
          <w:p w14:paraId="096605ED"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-The best predictor for normal cognitive function one year after discharge was regaining walking function in rehabilitation (95% CI 0.49 to 13.69).</w:t>
            </w:r>
          </w:p>
          <w:p w14:paraId="29FE055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-Concluded that recovery of HRQOL, participation, physical activity, and basal cognitive function was still not complete 12 </w:t>
            </w:r>
            <w:r w:rsidRPr="00572ADC">
              <w:rPr>
                <w:rFonts w:ascii="Lucida Bright" w:hAnsi="Lucida Bright"/>
                <w:sz w:val="20"/>
                <w:szCs w:val="20"/>
              </w:rPr>
              <w:lastRenderedPageBreak/>
              <w:t>months after discharge from post-acute treatment.</w:t>
            </w:r>
          </w:p>
        </w:tc>
      </w:tr>
      <w:tr w:rsidR="00CC4974" w:rsidRPr="00572ADC" w14:paraId="7A4A60F3" w14:textId="77777777" w:rsidTr="002C0B44">
        <w:tc>
          <w:tcPr>
            <w:tcW w:w="622" w:type="pct"/>
            <w:tcBorders>
              <w:left w:val="nil"/>
            </w:tcBorders>
          </w:tcPr>
          <w:p w14:paraId="197705F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w:t>
            </w:r>
            <w:sdt>
              <w:sdtPr>
                <w:rPr>
                  <w:rFonts w:ascii="Lucida Bright" w:hAnsi="Lucida Bright"/>
                  <w:sz w:val="20"/>
                  <w:szCs w:val="20"/>
                </w:rPr>
                <w:id w:val="2027134835"/>
                <w:citation/>
              </w:sdtPr>
              <w:sdtEndPr/>
              <w:sdtContent>
                <w:r w:rsidRPr="00572ADC">
                  <w:rPr>
                    <w:rFonts w:ascii="Lucida Bright" w:hAnsi="Lucida Bright"/>
                    <w:sz w:val="20"/>
                    <w:szCs w:val="20"/>
                  </w:rPr>
                  <w:fldChar w:fldCharType="begin"/>
                </w:r>
                <w:r w:rsidRPr="00572ADC">
                  <w:rPr>
                    <w:rFonts w:ascii="Lucida Bright" w:hAnsi="Lucida Bright"/>
                    <w:sz w:val="20"/>
                    <w:szCs w:val="20"/>
                  </w:rPr>
                  <w:instrText xml:space="preserve"> CITATION Tho191 \l 3081 </w:instrText>
                </w:r>
                <w:r w:rsidRPr="00572ADC">
                  <w:rPr>
                    <w:rFonts w:ascii="Lucida Bright" w:hAnsi="Lucida Bright"/>
                    <w:sz w:val="20"/>
                    <w:szCs w:val="20"/>
                  </w:rPr>
                  <w:fldChar w:fldCharType="separate"/>
                </w:r>
                <w:r w:rsidRPr="00572ADC">
                  <w:rPr>
                    <w:rFonts w:ascii="Lucida Bright" w:hAnsi="Lucida Bright"/>
                    <w:noProof/>
                    <w:sz w:val="20"/>
                    <w:szCs w:val="20"/>
                  </w:rPr>
                  <w:t>(Thomas, Mehrholz, Bodechtel, &amp; Elsner, 2019)</w:t>
                </w:r>
                <w:r w:rsidRPr="00572ADC">
                  <w:rPr>
                    <w:rFonts w:ascii="Lucida Bright" w:hAnsi="Lucida Bright"/>
                    <w:sz w:val="20"/>
                    <w:szCs w:val="20"/>
                  </w:rPr>
                  <w:fldChar w:fldCharType="end"/>
                </w:r>
              </w:sdtContent>
            </w:sdt>
          </w:p>
          <w:p w14:paraId="062DC5C2" w14:textId="77777777" w:rsidR="00CC4974" w:rsidRPr="00572ADC" w:rsidRDefault="00CC4974" w:rsidP="00572ADC">
            <w:pPr>
              <w:spacing w:line="480" w:lineRule="auto"/>
              <w:rPr>
                <w:rFonts w:ascii="Lucida Bright" w:hAnsi="Lucida Bright"/>
                <w:sz w:val="20"/>
                <w:szCs w:val="20"/>
              </w:rPr>
            </w:pPr>
          </w:p>
        </w:tc>
        <w:tc>
          <w:tcPr>
            <w:tcW w:w="868" w:type="pct"/>
          </w:tcPr>
          <w:p w14:paraId="250846D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Cohort</w:t>
            </w:r>
          </w:p>
          <w:p w14:paraId="49929C1E"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150</w:t>
            </w:r>
          </w:p>
        </w:tc>
        <w:tc>
          <w:tcPr>
            <w:tcW w:w="1049" w:type="pct"/>
          </w:tcPr>
          <w:p w14:paraId="187C07F6"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To describe physiotherapeutic interventions used in the post-acute inpatient rehabilitation of chronic critically ill patients with ICU-aw, and to determine the influence of such interventions on patients’ ability to walk.</w:t>
            </w:r>
          </w:p>
        </w:tc>
        <w:tc>
          <w:tcPr>
            <w:tcW w:w="773" w:type="pct"/>
          </w:tcPr>
          <w:p w14:paraId="694A32C5"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-Walking ability</w:t>
            </w:r>
          </w:p>
        </w:tc>
        <w:tc>
          <w:tcPr>
            <w:tcW w:w="1688" w:type="pct"/>
            <w:tcBorders>
              <w:right w:val="nil"/>
            </w:tcBorders>
          </w:tcPr>
          <w:p w14:paraId="5E8A979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-In patients who regained walking ability, the most frequent interventions in the first 2-weeks of post-acute rehabilitation were practicing walking, sit-to-stand training, and balance training while sitting. </w:t>
            </w:r>
          </w:p>
          <w:p w14:paraId="05E57404"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-The most frequent interventions in those who did not regain walking ability were passive-assistive movements, sit-to-stand training, and balance training while sitting.</w:t>
            </w:r>
          </w:p>
          <w:p w14:paraId="4EA064DD"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-The time spent walking increased the chance of regaining walking ability (</w:t>
            </w:r>
            <w:r w:rsidRPr="00572ADC">
              <w:rPr>
                <w:rFonts w:ascii="Lucida Bright" w:hAnsi="Lucida Bright"/>
                <w:i/>
                <w:iCs/>
                <w:sz w:val="20"/>
                <w:szCs w:val="20"/>
              </w:rPr>
              <w:t>p</w:t>
            </w:r>
            <w:r w:rsidRPr="00572ADC">
              <w:rPr>
                <w:rFonts w:ascii="Lucida Bright" w:hAnsi="Lucida Bright"/>
                <w:sz w:val="20"/>
                <w:szCs w:val="20"/>
              </w:rPr>
              <w:t>&lt;0.0001)</w:t>
            </w:r>
          </w:p>
        </w:tc>
      </w:tr>
      <w:tr w:rsidR="00CC4974" w:rsidRPr="00572ADC" w14:paraId="53013058" w14:textId="77777777" w:rsidTr="002C0B44">
        <w:tc>
          <w:tcPr>
            <w:tcW w:w="622" w:type="pct"/>
            <w:tcBorders>
              <w:left w:val="nil"/>
              <w:bottom w:val="single" w:sz="4" w:space="0" w:color="auto"/>
            </w:tcBorders>
          </w:tcPr>
          <w:p w14:paraId="12765559"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1713758217"/>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Wat19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(Watanabe, et al., 2019)</w:t>
                </w:r>
                <w:r w:rsidR="00CC4974" w:rsidRPr="00572ADC">
                  <w:rPr>
                    <w:rFonts w:ascii="Lucida Bright" w:hAnsi="Lucida Bright"/>
                    <w:sz w:val="20"/>
                    <w:szCs w:val="20"/>
                  </w:rPr>
                  <w:fldChar w:fldCharType="end"/>
                </w:r>
              </w:sdtContent>
            </w:sdt>
          </w:p>
          <w:p w14:paraId="60B4EF9A" w14:textId="77777777" w:rsidR="00CC4974" w:rsidRPr="00572ADC" w:rsidRDefault="00CC4974" w:rsidP="00572ADC">
            <w:pPr>
              <w:spacing w:line="480" w:lineRule="auto"/>
              <w:rPr>
                <w:rFonts w:ascii="Lucida Bright" w:hAnsi="Lucida Bright"/>
                <w:sz w:val="20"/>
                <w:szCs w:val="20"/>
              </w:rPr>
            </w:pPr>
          </w:p>
        </w:tc>
        <w:tc>
          <w:tcPr>
            <w:tcW w:w="868" w:type="pct"/>
            <w:tcBorders>
              <w:bottom w:val="single" w:sz="4" w:space="0" w:color="auto"/>
            </w:tcBorders>
          </w:tcPr>
          <w:p w14:paraId="1858D09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Retrospective Exploratory Cohort</w:t>
            </w:r>
          </w:p>
          <w:p w14:paraId="2247356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n(participants) = 132</w:t>
            </w:r>
          </w:p>
        </w:tc>
        <w:tc>
          <w:tcPr>
            <w:tcW w:w="1049" w:type="pct"/>
            <w:tcBorders>
              <w:bottom w:val="single" w:sz="4" w:space="0" w:color="auto"/>
            </w:tcBorders>
            <w:shd w:val="clear" w:color="auto" w:fill="auto"/>
          </w:tcPr>
          <w:p w14:paraId="20D8969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determine the factors affecting gait independence at hospital discharge using a standardized early mobilization protocol </w:t>
            </w:r>
            <w:r w:rsidRPr="00572ADC">
              <w:rPr>
                <w:rFonts w:ascii="Lucida Bright" w:hAnsi="Lucida Bright"/>
                <w:sz w:val="20"/>
                <w:szCs w:val="20"/>
              </w:rPr>
              <w:lastRenderedPageBreak/>
              <w:t>utilised by participating hospitals.</w:t>
            </w:r>
          </w:p>
        </w:tc>
        <w:tc>
          <w:tcPr>
            <w:tcW w:w="773" w:type="pct"/>
            <w:tcBorders>
              <w:bottom w:val="single" w:sz="4" w:space="0" w:color="auto"/>
            </w:tcBorders>
          </w:tcPr>
          <w:p w14:paraId="3017225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-Walking ability</w:t>
            </w:r>
          </w:p>
        </w:tc>
        <w:tc>
          <w:tcPr>
            <w:tcW w:w="1688" w:type="pct"/>
            <w:tcBorders>
              <w:bottom w:val="single" w:sz="4" w:space="0" w:color="auto"/>
              <w:right w:val="nil"/>
            </w:tcBorders>
          </w:tcPr>
          <w:p w14:paraId="028C14A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-Multivariate analysis demonstrated a positive and significant correlation between age (</w:t>
            </w:r>
            <w:r w:rsidRPr="00572ADC">
              <w:rPr>
                <w:rFonts w:ascii="Lucida Bright" w:hAnsi="Lucida Bright"/>
                <w:i/>
                <w:iCs/>
                <w:sz w:val="20"/>
                <w:szCs w:val="20"/>
              </w:rPr>
              <w:t>p</w:t>
            </w:r>
            <w:r w:rsidRPr="00572ADC">
              <w:rPr>
                <w:rFonts w:ascii="Lucida Bright" w:hAnsi="Lucida Bright"/>
                <w:sz w:val="20"/>
                <w:szCs w:val="20"/>
              </w:rPr>
              <w:t>=0.014), MRC sum-score &lt;48 (</w:t>
            </w:r>
            <w:r w:rsidRPr="00572ADC">
              <w:rPr>
                <w:rFonts w:ascii="Lucida Bright" w:hAnsi="Lucida Bright"/>
                <w:i/>
                <w:iCs/>
                <w:sz w:val="20"/>
                <w:szCs w:val="20"/>
              </w:rPr>
              <w:t>p=</w:t>
            </w:r>
            <w:r w:rsidRPr="00572ADC">
              <w:rPr>
                <w:rFonts w:ascii="Lucida Bright" w:hAnsi="Lucida Bright"/>
                <w:sz w:val="20"/>
                <w:szCs w:val="20"/>
              </w:rPr>
              <w:t>0.021), and delirium with gait independence at discharge from ICU (</w:t>
            </w:r>
            <w:r w:rsidRPr="00572ADC">
              <w:rPr>
                <w:rFonts w:ascii="Lucida Bright" w:hAnsi="Lucida Bright"/>
                <w:i/>
                <w:iCs/>
                <w:sz w:val="20"/>
                <w:szCs w:val="20"/>
              </w:rPr>
              <w:t>p</w:t>
            </w:r>
            <w:r w:rsidRPr="00572ADC">
              <w:rPr>
                <w:rFonts w:ascii="Lucida Bright" w:hAnsi="Lucida Bright"/>
                <w:sz w:val="20"/>
                <w:szCs w:val="20"/>
              </w:rPr>
              <w:t xml:space="preserve">&lt;0.0001). </w:t>
            </w:r>
          </w:p>
        </w:tc>
      </w:tr>
      <w:tr w:rsidR="00CC4974" w:rsidRPr="00572ADC" w14:paraId="7816048E" w14:textId="77777777" w:rsidTr="002C0B44">
        <w:tc>
          <w:tcPr>
            <w:tcW w:w="622" w:type="pct"/>
            <w:tcBorders>
              <w:left w:val="nil"/>
              <w:bottom w:val="single" w:sz="12" w:space="0" w:color="auto"/>
            </w:tcBorders>
          </w:tcPr>
          <w:p w14:paraId="6FA88C77" w14:textId="77777777" w:rsidR="00CC4974" w:rsidRPr="00572ADC" w:rsidRDefault="00295E13" w:rsidP="00572ADC">
            <w:pPr>
              <w:spacing w:line="480" w:lineRule="auto"/>
              <w:rPr>
                <w:rFonts w:ascii="Lucida Bright" w:hAnsi="Lucida Bright"/>
                <w:sz w:val="20"/>
                <w:szCs w:val="20"/>
              </w:rPr>
            </w:pPr>
            <w:sdt>
              <w:sdtPr>
                <w:rPr>
                  <w:rFonts w:ascii="Lucida Bright" w:hAnsi="Lucida Bright"/>
                  <w:sz w:val="20"/>
                  <w:szCs w:val="20"/>
                </w:rPr>
                <w:id w:val="2077700384"/>
                <w:citation/>
              </w:sdtPr>
              <w:sdtEndPr/>
              <w:sdtContent>
                <w:r w:rsidR="00CC4974" w:rsidRPr="00572ADC">
                  <w:rPr>
                    <w:rFonts w:ascii="Lucida Bright" w:hAnsi="Lucida Bright"/>
                    <w:sz w:val="20"/>
                    <w:szCs w:val="20"/>
                  </w:rPr>
                  <w:fldChar w:fldCharType="begin"/>
                </w:r>
                <w:r w:rsidR="00CC4974" w:rsidRPr="00572ADC">
                  <w:rPr>
                    <w:rFonts w:ascii="Lucida Bright" w:hAnsi="Lucida Bright"/>
                    <w:sz w:val="20"/>
                    <w:szCs w:val="20"/>
                  </w:rPr>
                  <w:instrText xml:space="preserve"> CITATION Win18 \l 3081 </w:instrText>
                </w:r>
                <w:r w:rsidR="00CC4974" w:rsidRPr="00572ADC">
                  <w:rPr>
                    <w:rFonts w:ascii="Lucida Bright" w:hAnsi="Lucida Bright"/>
                    <w:sz w:val="20"/>
                    <w:szCs w:val="20"/>
                  </w:rPr>
                  <w:fldChar w:fldCharType="separate"/>
                </w:r>
                <w:r w:rsidR="00CC4974" w:rsidRPr="00572ADC">
                  <w:rPr>
                    <w:rFonts w:ascii="Lucida Bright" w:hAnsi="Lucida Bright"/>
                    <w:noProof/>
                    <w:sz w:val="20"/>
                    <w:szCs w:val="20"/>
                  </w:rPr>
                  <w:t>(Wintermann, et al., 2018)</w:t>
                </w:r>
                <w:r w:rsidR="00CC4974" w:rsidRPr="00572ADC">
                  <w:rPr>
                    <w:rFonts w:ascii="Lucida Bright" w:hAnsi="Lucida Bright"/>
                    <w:sz w:val="20"/>
                    <w:szCs w:val="20"/>
                  </w:rPr>
                  <w:fldChar w:fldCharType="end"/>
                </w:r>
              </w:sdtContent>
            </w:sdt>
          </w:p>
          <w:p w14:paraId="3021A2AC" w14:textId="77777777" w:rsidR="00CC4974" w:rsidRPr="00572ADC" w:rsidRDefault="00CC4974" w:rsidP="00572ADC">
            <w:pPr>
              <w:spacing w:line="480" w:lineRule="auto"/>
              <w:rPr>
                <w:rFonts w:ascii="Lucida Bright" w:hAnsi="Lucida Bright"/>
                <w:sz w:val="20"/>
                <w:szCs w:val="20"/>
              </w:rPr>
            </w:pPr>
          </w:p>
        </w:tc>
        <w:tc>
          <w:tcPr>
            <w:tcW w:w="868" w:type="pct"/>
            <w:tcBorders>
              <w:bottom w:val="single" w:sz="12" w:space="0" w:color="auto"/>
            </w:tcBorders>
          </w:tcPr>
          <w:p w14:paraId="156A7AA0"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Cohort</w:t>
            </w:r>
          </w:p>
          <w:p w14:paraId="30EF134F" w14:textId="77777777" w:rsidR="00CC4974" w:rsidRPr="00572ADC" w:rsidRDefault="00CC4974" w:rsidP="00572ADC">
            <w:pPr>
              <w:spacing w:line="480" w:lineRule="auto"/>
              <w:rPr>
                <w:rFonts w:ascii="Lucida Bright" w:hAnsi="Lucida Bright"/>
                <w:sz w:val="20"/>
                <w:szCs w:val="20"/>
              </w:rPr>
            </w:pPr>
            <w:proofErr w:type="gramStart"/>
            <w:r w:rsidRPr="00572ADC">
              <w:rPr>
                <w:rFonts w:ascii="Lucida Bright" w:hAnsi="Lucida Bright"/>
                <w:sz w:val="20"/>
                <w:szCs w:val="20"/>
              </w:rPr>
              <w:t>n(</w:t>
            </w:r>
            <w:proofErr w:type="gramEnd"/>
            <w:r w:rsidRPr="00572ADC">
              <w:rPr>
                <w:rFonts w:ascii="Lucida Bright" w:hAnsi="Lucida Bright"/>
                <w:sz w:val="20"/>
                <w:szCs w:val="20"/>
              </w:rPr>
              <w:t>participants; T1) = 195</w:t>
            </w:r>
          </w:p>
          <w:p w14:paraId="5EC4869A" w14:textId="77777777" w:rsidR="00CC4974" w:rsidRPr="00572ADC" w:rsidRDefault="00CC4974" w:rsidP="00572ADC">
            <w:pPr>
              <w:spacing w:line="480" w:lineRule="auto"/>
              <w:rPr>
                <w:rFonts w:ascii="Lucida Bright" w:hAnsi="Lucida Bright"/>
                <w:sz w:val="20"/>
                <w:szCs w:val="20"/>
              </w:rPr>
            </w:pPr>
            <w:proofErr w:type="gramStart"/>
            <w:r w:rsidRPr="00572ADC">
              <w:rPr>
                <w:rFonts w:ascii="Lucida Bright" w:hAnsi="Lucida Bright"/>
                <w:sz w:val="20"/>
                <w:szCs w:val="20"/>
              </w:rPr>
              <w:t>n(</w:t>
            </w:r>
            <w:proofErr w:type="gramEnd"/>
            <w:r w:rsidRPr="00572ADC">
              <w:rPr>
                <w:rFonts w:ascii="Lucida Bright" w:hAnsi="Lucida Bright"/>
                <w:sz w:val="20"/>
                <w:szCs w:val="20"/>
              </w:rPr>
              <w:t>participants; T2) = 113</w:t>
            </w:r>
          </w:p>
          <w:p w14:paraId="346CB809" w14:textId="77777777" w:rsidR="00CC4974" w:rsidRPr="00572ADC" w:rsidRDefault="00CC4974" w:rsidP="00572ADC">
            <w:pPr>
              <w:spacing w:line="480" w:lineRule="auto"/>
              <w:rPr>
                <w:rFonts w:ascii="Lucida Bright" w:hAnsi="Lucida Bright"/>
                <w:sz w:val="20"/>
                <w:szCs w:val="20"/>
              </w:rPr>
            </w:pPr>
            <w:proofErr w:type="gramStart"/>
            <w:r w:rsidRPr="00572ADC">
              <w:rPr>
                <w:rFonts w:ascii="Lucida Bright" w:hAnsi="Lucida Bright"/>
                <w:sz w:val="20"/>
                <w:szCs w:val="20"/>
              </w:rPr>
              <w:t>n(</w:t>
            </w:r>
            <w:proofErr w:type="gramEnd"/>
            <w:r w:rsidRPr="00572ADC">
              <w:rPr>
                <w:rFonts w:ascii="Lucida Bright" w:hAnsi="Lucida Bright"/>
                <w:sz w:val="20"/>
                <w:szCs w:val="20"/>
              </w:rPr>
              <w:t>participants; T3) = 91</w:t>
            </w:r>
          </w:p>
        </w:tc>
        <w:tc>
          <w:tcPr>
            <w:tcW w:w="1049" w:type="pct"/>
            <w:tcBorders>
              <w:bottom w:val="single" w:sz="12" w:space="0" w:color="auto"/>
            </w:tcBorders>
          </w:tcPr>
          <w:p w14:paraId="49DCEEEF"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 xml:space="preserve">To assess the rate and course of self-reported fatigue using the Multidimensional Fatigue Inventory (MFI-20) at 3- (T2) and 6-months (T3) following ICU discharge. </w:t>
            </w:r>
          </w:p>
          <w:p w14:paraId="3BC7337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Secondary, to identify associated variables and the impact of fatigue on psychological outcomes in chronic critically ill (CCI) patients.</w:t>
            </w:r>
          </w:p>
        </w:tc>
        <w:tc>
          <w:tcPr>
            <w:tcW w:w="773" w:type="pct"/>
            <w:tcBorders>
              <w:bottom w:val="single" w:sz="12" w:space="0" w:color="auto"/>
            </w:tcBorders>
          </w:tcPr>
          <w:p w14:paraId="640E6AF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-Fatigue</w:t>
            </w:r>
          </w:p>
          <w:p w14:paraId="182A86E9"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-Mental Health</w:t>
            </w:r>
          </w:p>
          <w:p w14:paraId="328651D1"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-PTSD</w:t>
            </w:r>
            <w:r w:rsidRPr="00572ADC">
              <w:rPr>
                <w:rFonts w:ascii="Lucida Bright" w:hAnsi="Lucida Bright"/>
                <w:sz w:val="20"/>
                <w:szCs w:val="20"/>
              </w:rPr>
              <w:br/>
              <w:t>-Level of Support</w:t>
            </w:r>
          </w:p>
          <w:p w14:paraId="65FD891A"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-HRQOL</w:t>
            </w:r>
          </w:p>
        </w:tc>
        <w:tc>
          <w:tcPr>
            <w:tcW w:w="1688" w:type="pct"/>
            <w:tcBorders>
              <w:bottom w:val="single" w:sz="12" w:space="0" w:color="auto"/>
              <w:right w:val="nil"/>
            </w:tcBorders>
          </w:tcPr>
          <w:p w14:paraId="4A81A3E7"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-At both 3- and 6-months, nearly every second CCI patient showed clinically relevant fatigue symptoms (point prevalence rates: T2=46.9%; T3=45.1%).</w:t>
            </w:r>
          </w:p>
          <w:p w14:paraId="6A79BF9D"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-Female patients showed a decrease in fatigue scores from 3- to 6-months.</w:t>
            </w:r>
          </w:p>
          <w:p w14:paraId="5BB8DD0C"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-Significant correlates of fatigue at 3-months included: the presence of coronary heart disease, perceived fear of dying at acute care ICU, diagnosis of major depression, &amp; perceived social support.</w:t>
            </w:r>
          </w:p>
          <w:p w14:paraId="5E050E98"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Significant correlations at 6-months include male gender, number of medical comorbidities, diagnosis of major depression, &amp; prior history of anxiety disorder.</w:t>
            </w:r>
          </w:p>
          <w:p w14:paraId="030DB304"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lastRenderedPageBreak/>
              <w:t>-Fatigue was shown to negatively impact HRQOL.</w:t>
            </w:r>
          </w:p>
          <w:p w14:paraId="3F99531B" w14:textId="77777777" w:rsidR="00CC4974" w:rsidRPr="00572ADC" w:rsidRDefault="00CC4974" w:rsidP="00572ADC">
            <w:pPr>
              <w:spacing w:line="480" w:lineRule="auto"/>
              <w:rPr>
                <w:rFonts w:ascii="Lucida Bright" w:hAnsi="Lucida Bright"/>
                <w:sz w:val="20"/>
                <w:szCs w:val="20"/>
              </w:rPr>
            </w:pPr>
            <w:r w:rsidRPr="00572ADC">
              <w:rPr>
                <w:rFonts w:ascii="Lucida Bright" w:hAnsi="Lucida Bright"/>
                <w:sz w:val="20"/>
                <w:szCs w:val="20"/>
              </w:rPr>
              <w:t>-Major depression was the only common factor associated with fatigue at both T2 and T3.</w:t>
            </w:r>
          </w:p>
        </w:tc>
      </w:tr>
    </w:tbl>
    <w:p w14:paraId="7249A4F7" w14:textId="0FF56A8A" w:rsidR="00CC4974" w:rsidRPr="00572ADC" w:rsidRDefault="00CC4974" w:rsidP="00572ADC">
      <w:pPr>
        <w:spacing w:after="0" w:line="480" w:lineRule="auto"/>
        <w:rPr>
          <w:rFonts w:ascii="Lucida Bright" w:hAnsi="Lucida Bright"/>
          <w:sz w:val="20"/>
          <w:szCs w:val="20"/>
        </w:rPr>
      </w:pPr>
      <w:r w:rsidRPr="00572ADC">
        <w:rPr>
          <w:rFonts w:ascii="Lucida Bright" w:hAnsi="Lucida Bright"/>
          <w:sz w:val="20"/>
          <w:szCs w:val="20"/>
        </w:rPr>
        <w:lastRenderedPageBreak/>
        <w:t>*Same participant cohort used for these three studies.</w:t>
      </w:r>
    </w:p>
    <w:sectPr w:rsidR="00CC4974" w:rsidRPr="00572ADC" w:rsidSect="002C0B44">
      <w:footerReference w:type="default" r:id="rId7"/>
      <w:pgSz w:w="16838" w:h="11906" w:orient="landscape"/>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C20308" w14:textId="77777777" w:rsidR="002C0B44" w:rsidRDefault="002C0B44" w:rsidP="002C0B44">
      <w:pPr>
        <w:spacing w:after="0" w:line="240" w:lineRule="auto"/>
      </w:pPr>
      <w:r>
        <w:separator/>
      </w:r>
    </w:p>
  </w:endnote>
  <w:endnote w:type="continuationSeparator" w:id="0">
    <w:p w14:paraId="4CEDB1B0" w14:textId="77777777" w:rsidR="002C0B44" w:rsidRDefault="002C0B44" w:rsidP="002C0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dvTT6120e2aa">
    <w:altName w:val="Cambria"/>
    <w:panose1 w:val="00000000000000000000"/>
    <w:charset w:val="00"/>
    <w:family w:val="roman"/>
    <w:notTrueType/>
    <w:pitch w:val="default"/>
    <w:sig w:usb0="00000003" w:usb1="00000000" w:usb2="00000000" w:usb3="00000000" w:csb0="00000001" w:csb1="00000000"/>
  </w:font>
  <w:font w:name="AkzidenzGroteskBE-Regular">
    <w:altName w:val="Calibri"/>
    <w:panose1 w:val="00000000000000000000"/>
    <w:charset w:val="00"/>
    <w:family w:val="swiss"/>
    <w:notTrueType/>
    <w:pitch w:val="default"/>
    <w:sig w:usb0="00000003" w:usb1="00000000" w:usb2="00000000" w:usb3="00000000" w:csb0="00000001" w:csb1="00000000"/>
  </w:font>
  <w:font w:name="Minion Pro">
    <w:altName w:val="Cambria"/>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Lao UI">
    <w:charset w:val="00"/>
    <w:family w:val="swiss"/>
    <w:pitch w:val="variable"/>
    <w:sig w:usb0="82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63073109"/>
      <w:docPartObj>
        <w:docPartGallery w:val="Page Numbers (Bottom of Page)"/>
        <w:docPartUnique/>
      </w:docPartObj>
    </w:sdtPr>
    <w:sdtEndPr>
      <w:rPr>
        <w:noProof/>
      </w:rPr>
    </w:sdtEndPr>
    <w:sdtContent>
      <w:p w14:paraId="56B616C1" w14:textId="18C8C537" w:rsidR="002C0B44" w:rsidRDefault="002C0B4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7ABA114" w14:textId="77777777" w:rsidR="002C0B44" w:rsidRDefault="002C0B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04A04F" w14:textId="77777777" w:rsidR="002C0B44" w:rsidRDefault="002C0B44" w:rsidP="002C0B44">
      <w:pPr>
        <w:spacing w:after="0" w:line="240" w:lineRule="auto"/>
      </w:pPr>
      <w:r>
        <w:separator/>
      </w:r>
    </w:p>
  </w:footnote>
  <w:footnote w:type="continuationSeparator" w:id="0">
    <w:p w14:paraId="32E6EB38" w14:textId="77777777" w:rsidR="002C0B44" w:rsidRDefault="002C0B44" w:rsidP="002C0B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974"/>
    <w:rsid w:val="00295E13"/>
    <w:rsid w:val="002C0B44"/>
    <w:rsid w:val="00572ADC"/>
    <w:rsid w:val="00CC497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56AD5"/>
  <w15:chartTrackingRefBased/>
  <w15:docId w15:val="{45ADAA93-246C-4B8D-920C-CCD67E18F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9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4974"/>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C49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4974"/>
    <w:rPr>
      <w:rFonts w:ascii="Segoe UI" w:hAnsi="Segoe UI" w:cs="Segoe UI"/>
      <w:sz w:val="18"/>
      <w:szCs w:val="18"/>
    </w:rPr>
  </w:style>
  <w:style w:type="character" w:styleId="LineNumber">
    <w:name w:val="line number"/>
    <w:basedOn w:val="DefaultParagraphFont"/>
    <w:uiPriority w:val="99"/>
    <w:semiHidden/>
    <w:unhideWhenUsed/>
    <w:rsid w:val="002C0B44"/>
  </w:style>
  <w:style w:type="paragraph" w:styleId="Header">
    <w:name w:val="header"/>
    <w:basedOn w:val="Normal"/>
    <w:link w:val="HeaderChar"/>
    <w:uiPriority w:val="99"/>
    <w:unhideWhenUsed/>
    <w:rsid w:val="002C0B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0B44"/>
  </w:style>
  <w:style w:type="paragraph" w:styleId="Footer">
    <w:name w:val="footer"/>
    <w:basedOn w:val="Normal"/>
    <w:link w:val="FooterChar"/>
    <w:uiPriority w:val="99"/>
    <w:unhideWhenUsed/>
    <w:rsid w:val="002C0B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0B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Con15</b:Tag>
    <b:SourceType>JournalArticle</b:SourceType>
    <b:Guid>{68FEDA82-2C5A-496D-BEC2-251B83B43F5B}</b:Guid>
    <b:Author>
      <b:Author>
        <b:NameList>
          <b:Person>
            <b:Last>Connolly</b:Last>
            <b:First>B.</b:First>
          </b:Person>
          <b:Person>
            <b:Last>Salisbury</b:Last>
            <b:First>L.</b:First>
          </b:Person>
          <b:Person>
            <b:Last>O'Neill</b:Last>
            <b:First>B.</b:First>
          </b:Person>
          <b:Person>
            <b:Last>Geneen</b:Last>
            <b:First>L.J.</b:First>
          </b:Person>
          <b:Person>
            <b:Last>Douiri</b:Last>
            <b:First>A.</b:First>
          </b:Person>
          <b:Person>
            <b:Last>Grocott</b:Last>
            <b:First>M.P.W.</b:First>
          </b:Person>
          <b:Person>
            <b:Last>Hart</b:Last>
            <b:First>N.</b:First>
          </b:Person>
          <b:Person>
            <b:Last>Walsh</b:Last>
            <b:First>T.S.</b:First>
          </b:Person>
          <b:Person>
            <b:Last>Blackwood</b:Last>
            <b:First>B.</b:First>
          </b:Person>
        </b:NameList>
      </b:Author>
    </b:Author>
    <b:Title>Exercise rehabilitation following intensive care unit discharge for recovery from critical illness</b:Title>
    <b:JournalName>Cochrane Database of Systematic Reviews</b:JournalName>
    <b:Year>2015</b:Year>
    <b:Pages>1-59</b:Pages>
    <b:Issue>6</b:Issue>
    <b:DOI>10.1002/14651858.CD008632.pub2</b:DOI>
    <b:RefOrder>21</b:RefOrder>
  </b:Source>
  <b:Source>
    <b:Tag>Meh14</b:Tag>
    <b:SourceType>JournalArticle</b:SourceType>
    <b:Guid>{8E382DB2-831E-4CF9-A260-D8D9EB92F73F}</b:Guid>
    <b:Author>
      <b:Author>
        <b:NameList>
          <b:Person>
            <b:Last>Mehlhorn</b:Last>
            <b:First>J.</b:First>
          </b:Person>
          <b:Person>
            <b:Last>Freytag</b:Last>
            <b:First>A.</b:First>
          </b:Person>
          <b:Person>
            <b:Last>Schmidt</b:Last>
            <b:First>K.</b:First>
          </b:Person>
          <b:Person>
            <b:Last>Brunkhorst</b:Last>
            <b:First>F.M.</b:First>
          </b:Person>
          <b:Person>
            <b:Last>Graf</b:Last>
            <b:First>J.</b:First>
          </b:Person>
          <b:Person>
            <b:Last>Troitzsch</b:Last>
            <b:First>U.</b:First>
          </b:Person>
          <b:Person>
            <b:Last>Schlattmann</b:Last>
            <b:First>P.</b:First>
          </b:Person>
          <b:Person>
            <b:Last>Wensing</b:Last>
            <b:First>M.</b:First>
          </b:Person>
          <b:Person>
            <b:Last>Gensichen</b:Last>
            <b:First>J.</b:First>
          </b:Person>
        </b:NameList>
      </b:Author>
    </b:Author>
    <b:Title>Rehabilitation interventions for post-intensive care syndrome: a systematic review</b:Title>
    <b:JournalName>Critical Care Medicine</b:JournalName>
    <b:Year>2014</b:Year>
    <b:Pages>1263-1271</b:Pages>
    <b:Volume>42</b:Volume>
    <b:Issue>5</b:Issue>
    <b:DOI>10.1097/CCM.0000000000000148</b:DOI>
    <b:RefOrder>67</b:RefOrder>
  </b:Source>
  <b:Source>
    <b:Tag>Meh15</b:Tag>
    <b:SourceType>JournalArticle</b:SourceType>
    <b:Guid>{22153629-7C92-45D8-BB03-CF288F8434EB}</b:Guid>
    <b:Author>
      <b:Author>
        <b:NameList>
          <b:Person>
            <b:Last>Mehrholz</b:Last>
            <b:First>J.</b:First>
          </b:Person>
          <b:Person>
            <b:Last>Pohl</b:Last>
            <b:First>M.</b:First>
          </b:Person>
          <b:Person>
            <b:Last>Kugler</b:Last>
            <b:First>J.</b:First>
          </b:Person>
          <b:Person>
            <b:Last>Burridge</b:Last>
            <b:First>J.</b:First>
          </b:Person>
          <b:Person>
            <b:Last>Muckel</b:Last>
            <b:First>S.</b:First>
          </b:Person>
          <b:Person>
            <b:Last>Elsner</b:Last>
            <b:First>B.</b:First>
          </b:Person>
        </b:NameList>
      </b:Author>
    </b:Author>
    <b:Title>Physical rehabilitation for critical illness myopathy and neuropathy</b:Title>
    <b:JournalName>Cochrane Database of Systematic Reviews</b:JournalName>
    <b:Year>2015</b:Year>
    <b:Pages>1-22</b:Pages>
    <b:Issue>11</b:Issue>
    <b:DOI>10.1002/14651858.CD010942.pub2</b:DOI>
    <b:RefOrder>66</b:RefOrder>
  </b:Source>
  <b:Source>
    <b:Tag>Oht18</b:Tag>
    <b:SourceType>JournalArticle</b:SourceType>
    <b:Guid>{12ECFE0C-3939-4308-AC90-3E3E9DCA7534}</b:Guid>
    <b:Author>
      <b:Author>
        <b:NameList>
          <b:Person>
            <b:Last>Ohtake</b:Last>
            <b:First>P.J.</b:First>
          </b:Person>
          <b:Person>
            <b:Last>Lee</b:Last>
            <b:First>A.C</b:First>
          </b:Person>
          <b:Person>
            <b:Last>Coffey Scott</b:Last>
            <b:First>J.</b:First>
          </b:Person>
          <b:Person>
            <b:Last>Hinman</b:Last>
            <b:First>R.S.</b:First>
          </b:Person>
          <b:Person>
            <b:Last>Ali</b:Last>
            <b:First>N.A.</b:First>
          </b:Person>
          <b:Person>
            <b:Last>Hinkson</b:Last>
            <b:First>C.R.</b:First>
          </b:Person>
          <b:Person>
            <b:Last>Needham</b:Last>
            <b:First>D.M.</b:First>
          </b:Person>
          <b:Person>
            <b:Last>Shutter</b:Last>
            <b:First>L.</b:First>
          </b:Person>
          <b:Person>
            <b:Last>Smith-Gabai</b:Last>
            <b:First>H.</b:First>
          </b:Person>
          <b:Person>
            <b:Last>Spires</b:Last>
            <b:First>M.C.</b:First>
          </b:Person>
          <b:Person>
            <b:Last>Thiele</b:Last>
            <b:First>A.</b:First>
          </b:Person>
          <b:Person>
            <b:Last>Wiencek</b:Last>
            <b:First>C.</b:First>
          </b:Person>
          <b:Person>
            <b:Last>Smith</b:Last>
            <b:First>J.M.</b:First>
          </b:Person>
        </b:NameList>
      </b:Author>
    </b:Author>
    <b:Title>Physical impairments associated with post-intensive care syndrome: systematic review based on the World Health Organization's international classification of functioning, disability and health framework</b:Title>
    <b:JournalName>Physical Therapy</b:JournalName>
    <b:Year>2018</b:Year>
    <b:Pages>631-645</b:Pages>
    <b:Volume>98</b:Volume>
    <b:Issue>8</b:Issue>
    <b:DOI>10.1093/ptj/pzy059</b:DOI>
    <b:RefOrder>36</b:RefOrder>
  </b:Source>
  <b:Source>
    <b:Tag>Sch182</b:Tag>
    <b:SourceType>JournalArticle</b:SourceType>
    <b:Guid>{D9F1F85E-CEC3-4490-A855-227E679C52C8}</b:Guid>
    <b:Author>
      <b:Author>
        <b:NameList>
          <b:Person>
            <b:Last>Schofield-Robinson</b:Last>
            <b:First>O.J.</b:First>
          </b:Person>
          <b:Person>
            <b:Last>Lewis</b:Last>
            <b:First>S.R.</b:First>
          </b:Person>
          <b:Person>
            <b:Last>Smith</b:Last>
            <b:First>A.F.</b:First>
          </b:Person>
          <b:Person>
            <b:Last>McPeake</b:Last>
            <b:First>J.</b:First>
          </b:Person>
          <b:Person>
            <b:Last>Alderson</b:Last>
            <b:First>P.</b:First>
          </b:Person>
        </b:NameList>
      </b:Author>
    </b:Author>
    <b:Title>Follow-up services for improving long-term outcomes in intensive care unit (ICU) survivors</b:Title>
    <b:JournalName>Cochrane Database of Systematic Reviews</b:JournalName>
    <b:Year>2018</b:Year>
    <b:Pages>1-69</b:Pages>
    <b:Issue>11</b:Issue>
    <b:DOI>10.1002/14651858.CD012701.pub2</b:DOI>
    <b:RefOrder>70</b:RefOrder>
  </b:Source>
  <b:Source>
    <b:Tag>Tai19</b:Tag>
    <b:SourceType>JournalArticle</b:SourceType>
    <b:Guid>{FB85D949-3C2F-4F66-B112-64B47779CF7B}</b:Guid>
    <b:Author>
      <b:Author>
        <b:NameList>
          <b:Person>
            <b:Last>Taito</b:Last>
            <b:First>S.</b:First>
          </b:Person>
          <b:Person>
            <b:Last>Yamauchi</b:Last>
            <b:First>K.</b:First>
          </b:Person>
          <b:Person>
            <b:Last>Tsujimoto</b:Last>
            <b:First>Y.</b:First>
          </b:Person>
          <b:Person>
            <b:Last>Banno</b:Last>
            <b:First>M.</b:First>
          </b:Person>
          <b:Person>
            <b:Last>Tsujimoto</b:Last>
            <b:First>H.</b:First>
          </b:Person>
          <b:Person>
            <b:Last>Kataoka</b:Last>
            <b:First>U.</b:First>
          </b:Person>
        </b:NameList>
      </b:Author>
    </b:Author>
    <b:Title>Does enhanced physical rehabilitation following intensive care unit discharge improve outcomes in patients who received mechanical ventilation? A systematic review and meta-analysis</b:Title>
    <b:JournalName>BMJ Open</b:JournalName>
    <b:Year>2019</b:Year>
    <b:Pages>e026075</b:Pages>
    <b:Volume>9</b:Volume>
    <b:DOI>10.1136/bmjopen-2018-026075</b:DOI>
    <b:RefOrder>56</b:RefOrder>
  </b:Source>
  <b:Source>
    <b:Tag>McW16</b:Tag>
    <b:SourceType>JournalArticle</b:SourceType>
    <b:Guid>{4D45C873-4D97-4FD0-B9A4-D481EEBF0754}</b:Guid>
    <b:Author>
      <b:Author>
        <b:NameList>
          <b:Person>
            <b:Last>McWilliams</b:Last>
            <b:First>D.J.</b:First>
          </b:Person>
          <b:Person>
            <b:Last>Benington</b:Last>
            <b:First>S.</b:First>
          </b:Person>
          <b:Person>
            <b:Last>Atkinson</b:Last>
            <b:First>D.</b:First>
          </b:Person>
        </b:NameList>
      </b:Author>
    </b:Author>
    <b:Title>Outpatient-based physical rehabilitation for survivors of prolonged critical illness: a randomised controlled trial</b:Title>
    <b:JournalName>Physiotherapy Theory and Practice</b:JournalName>
    <b:Year>2016</b:Year>
    <b:Pages>179-190</b:Pages>
    <b:Volume>32</b:Volume>
    <b:Issue>3</b:Issue>
    <b:DOI>10.3109/09593985.2015.1137663</b:DOI>
    <b:RefOrder>49</b:RefOrder>
  </b:Source>
  <b:Source>
    <b:Tag>Pat17</b:Tag>
    <b:SourceType>JournalArticle</b:SourceType>
    <b:Guid>{B88E9781-AEC2-4478-B77A-3C8CD5E98221}</b:Guid>
    <b:Author>
      <b:Author>
        <b:NameList>
          <b:Person>
            <b:Last>Patsaki</b:Last>
            <b:First>I.</b:First>
          </b:Person>
          <b:Person>
            <b:Last>Gerovasili</b:Last>
            <b:First>V.</b:First>
          </b:Person>
          <b:Person>
            <b:Last>Sidiras</b:Last>
            <b:First>G.</b:First>
          </b:Person>
          <b:Person>
            <b:Last>Karatzanos</b:Last>
            <b:First>E.</b:First>
          </b:Person>
          <b:Person>
            <b:Last>Mitsiou</b:Last>
            <b:First>G.</b:First>
          </b:Person>
          <b:Person>
            <b:Last>Papadopoulos</b:Last>
            <b:First>E.</b:First>
          </b:Person>
          <b:Person>
            <b:Last>Christakou</b:Last>
            <b:First>A.</b:First>
          </b:Person>
          <b:Person>
            <b:Last>Routsi</b:Last>
            <b:First>C.</b:First>
          </b:Person>
          <b:Person>
            <b:Last>Kotanidou</b:Last>
            <b:First>A.</b:First>
          </b:Person>
          <b:Person>
            <b:Last>Nanas</b:Last>
            <b:First>S.</b:First>
          </b:Person>
        </b:NameList>
      </b:Author>
    </b:Author>
    <b:Title>Effect of neuromuscular stimulation and individualised rehabilitation on muscle strength in intensive care unit survivors: a randomised trial</b:Title>
    <b:JournalName>Journal of Critical Care</b:JournalName>
    <b:Year>2017</b:Year>
    <b:Pages>76-82</b:Pages>
    <b:Volume>40</b:Volume>
    <b:DOI>10.1016/j.jcrc.2017.03.014</b:DOI>
    <b:RefOrder>45</b:RefOrder>
  </b:Source>
  <b:Source>
    <b:Tag>Ben12</b:Tag>
    <b:SourceType>JournalArticle</b:SourceType>
    <b:Guid>{410A0F37-7D55-489F-9325-B00F9F7430EA}</b:Guid>
    <b:Author>
      <b:Author>
        <b:NameList>
          <b:Person>
            <b:Last>Benington</b:Last>
            <b:First>S.</b:First>
          </b:Person>
          <b:Person>
            <b:Last>McWilliams</b:Last>
            <b:First>D.</b:First>
          </b:Person>
          <b:Person>
            <b:Last>Eddleston</b:Last>
            <b:First>J.</b:First>
          </b:Person>
          <b:Person>
            <b:Last>Atkinson</b:Last>
            <b:First>D.</b:First>
          </b:Person>
        </b:NameList>
      </b:Author>
    </b:Author>
    <b:Title>Exercise testing in survivors of intensive care - is there a role for cardiopulmonary exercise testing?</b:Title>
    <b:JournalName>Journal of Critical Care</b:JournalName>
    <b:Year>2012</b:Year>
    <b:Pages>89-94</b:Pages>
    <b:Volume>27</b:Volume>
    <b:Issue>1</b:Issue>
    <b:DOI>10.1016/j.jcrc.2011.07.080</b:DOI>
    <b:RefOrder>48</b:RefOrder>
  </b:Source>
  <b:Source>
    <b:Tag>Cha18</b:Tag>
    <b:SourceType>JournalArticle</b:SourceType>
    <b:Guid>{9860F5C7-B0B0-44F2-AE8E-1C4501DCFA1C}</b:Guid>
    <b:Author>
      <b:Author>
        <b:NameList>
          <b:Person>
            <b:Last>Chan</b:Last>
            <b:First>K.S.</b:First>
          </b:Person>
          <b:Person>
            <b:Last>Mourtzakis</b:Last>
            <b:First>M.</b:First>
          </b:Person>
          <b:Person>
            <b:Last>Friedman</b:Last>
            <b:First>L.A.</b:First>
          </b:Person>
          <b:Person>
            <b:Last>Dinglas</b:Last>
            <b:First>V.D.</b:First>
          </b:Person>
          <b:Person>
            <b:Last>Hough</b:Last>
            <b:First>C.L.</b:First>
          </b:Person>
          <b:Person>
            <b:Last>Ely</b:Last>
            <b:First>E.W.</b:First>
          </b:Person>
          <b:Person>
            <b:Last>Morris</b:Last>
            <b:First>P.E.</b:First>
          </b:Person>
          <b:Person>
            <b:Last>Hopkins</b:Last>
            <b:First>R.O.</b:First>
          </b:Person>
          <b:Person>
            <b:Last>Needham</b:Last>
            <b:First>D.M.</b:First>
          </b:Person>
        </b:NameList>
      </b:Author>
    </b:Author>
    <b:Title>Evaluating muscle mass in survivors of acute respiratory distress syndrome: a 1-year multicentre longitudinal study</b:Title>
    <b:JournalName>Critical Care Medicine</b:JournalName>
    <b:Year>2018</b:Year>
    <b:Pages>1238-1246</b:Pages>
    <b:Volume>46</b:Volume>
    <b:Issue>8</b:Issue>
    <b:DOI>10.1097/CCM.0000000000003183</b:DOI>
    <b:RefOrder>71</b:RefOrder>
  </b:Source>
  <b:Source>
    <b:Tag>Cha14</b:Tag>
    <b:SourceType>JournalArticle</b:SourceType>
    <b:Guid>{89C6A9A4-C3EC-4DAC-9B1D-980070FC840D}</b:Guid>
    <b:Author>
      <b:Author>
        <b:NameList>
          <b:Person>
            <b:Last>Chao</b:Last>
            <b:First>P.</b:First>
          </b:Person>
          <b:Person>
            <b:Last>Shih</b:Last>
            <b:First>C.</b:First>
          </b:Person>
          <b:Person>
            <b:Last>Lee</b:Last>
            <b:First>Y.</b:First>
          </b:Person>
          <b:Person>
            <b:Last>Tseng</b:Last>
            <b:First>C.</b:First>
          </b:Person>
          <b:Person>
            <b:Last>Kuo</b:Last>
            <b:First>S.</b:First>
          </b:Person>
          <b:Person>
            <b:Last>Shih</b:Last>
            <b:First>Y.</b:First>
          </b:Person>
          <b:Person>
            <b:Last>Chou</b:Last>
            <b:First>K.</b:First>
          </b:Person>
          <b:Person>
            <b:Last>Tarng</b:Last>
            <b:First>D.</b:First>
          </b:Person>
          <b:Person>
            <b:Last>Li</b:Last>
            <b:First>S.</b:First>
          </b:Person>
          <b:Person>
            <b:Last>Ou</b:Last>
            <b:First>S.</b:First>
          </b:Person>
          <b:Person>
            <b:Last>Chen</b:Last>
            <b:First>Y.</b:First>
          </b:Person>
        </b:NameList>
      </b:Author>
    </b:Author>
    <b:Title>Association of post-discharge rehabilitation with mortality in intensive care unit survivors of sepsis</b:Title>
    <b:JournalName>American Journal of Respiratory and Critical Care Medicine</b:JournalName>
    <b:Year>2014</b:Year>
    <b:Pages>1003-1011</b:Pages>
    <b:Volume>190</b:Volume>
    <b:Issue>9</b:Issue>
    <b:DOI>10.1164/rccm.201406-1170OC</b:DOI>
    <b:RefOrder>58</b:RefOrder>
  </b:Source>
  <b:Source>
    <b:Tag>CRC17</b:Tag>
    <b:SourceType>JournalArticle</b:SourceType>
    <b:Guid>{3B56F643-D4BB-4E00-AF7F-EF1BA67F9DE0}</b:Guid>
    <b:Author>
      <b:Author>
        <b:NameList>
          <b:Person>
            <b:Last>Chung</b:Last>
            <b:First>C.R.</b:First>
          </b:Person>
          <b:Person>
            <b:Last>Yoo</b:Last>
            <b:First>H.J.</b:First>
          </b:Person>
          <b:Person>
            <b:Last>Park</b:Last>
            <b:First>J.</b:First>
          </b:Person>
          <b:Person>
            <b:Last>Ryu</b:Last>
            <b:First>S.</b:First>
          </b:Person>
        </b:NameList>
      </b:Author>
    </b:Author>
    <b:Title>Cognitive impairment and psychological distress at discharge from intensive care unit</b:Title>
    <b:JournalName>Psychiatry Investigations</b:JournalName>
    <b:Year>2017</b:Year>
    <b:Pages>376-379</b:Pages>
    <b:Volume>14</b:Volume>
    <b:Issue>3</b:Issue>
    <b:DOI>10.4306/pi.2017.14.3.376</b:DOI>
    <b:RefOrder>52</b:RefOrder>
  </b:Source>
  <b:Source>
    <b:Tag>Dev19</b:Tag>
    <b:SourceType>JournalArticle</b:SourceType>
    <b:Guid>{4438A9CA-2119-45B6-B192-6C14B1916B4A}</b:Guid>
    <b:Author>
      <b:Author>
        <b:NameList>
          <b:Person>
            <b:Last>Devine</b:Last>
            <b:First>H.</b:First>
          </b:Person>
          <b:Person>
            <b:Last>Quasim</b:Last>
            <b:First>T.</b:First>
          </b:Person>
          <b:Person>
            <b:Last>McPeake</b:Last>
            <b:First>J.</b:First>
          </b:Person>
          <b:Person>
            <b:Last>Shaw</b:Last>
            <b:First>M.</b:First>
          </b:Person>
          <b:Person>
            <b:Last>McCallum</b:Last>
            <b:First>L.</b:First>
          </b:Person>
          <b:Person>
            <b:Last>Mactavish</b:Last>
            <b:First>P.</b:First>
          </b:Person>
        </b:NameList>
      </b:Author>
    </b:Author>
    <b:Title>Chronic pain in intensive care unit survivors: incidence, characteristics, and side effects up to one-year post-discharge</b:Title>
    <b:JournalName>Journal of Rehabilitation Medicine</b:JournalName>
    <b:Year>2019</b:Year>
    <b:Pages>451-455</b:Pages>
    <b:Volume>51</b:Volume>
    <b:Issue>6</b:Issue>
    <b:DOI>10.2340/16501977-2558</b:DOI>
    <b:RefOrder>69</b:RefOrder>
  </b:Source>
  <b:Source>
    <b:Tag>Egg20</b:Tag>
    <b:SourceType>JournalArticle</b:SourceType>
    <b:Guid>{DCAF01EC-7D36-4C8B-9AB1-35E054E7A00C}</b:Guid>
    <b:Author>
      <b:Author>
        <b:NameList>
          <b:Person>
            <b:Last>Eggman</b:Last>
            <b:First>S.</b:First>
          </b:Person>
          <b:Person>
            <b:Last>Luder</b:Last>
            <b:First>G.</b:First>
          </b:Person>
          <b:Person>
            <b:Last>Verra</b:Last>
            <b:First>M.L.</b:First>
          </b:Person>
          <b:Person>
            <b:Last>Irincheeva</b:Last>
            <b:First>I.</b:First>
          </b:Person>
          <b:Person>
            <b:Last>Bastiaenen</b:Last>
            <b:First>C.H.G.</b:First>
          </b:Person>
          <b:Person>
            <b:Last>Jakob</b:Last>
            <b:First>S.M.</b:First>
          </b:Person>
        </b:NameList>
      </b:Author>
    </b:Author>
    <b:Title>Functional ability and quality of life in critical illness survivors with intensive care unit acquired weakness: a secondary analysis of a randomised controlled trial</b:Title>
    <b:JournalName>Plos One</b:JournalName>
    <b:Year>2020</b:Year>
    <b:Pages>e0229725</b:Pages>
    <b:Volume>15</b:Volume>
    <b:Issue>3</b:Issue>
    <b:DOI>10.1371/journal.pone.0229725</b:DOI>
    <b:RefOrder>50</b:RefOrder>
  </b:Source>
  <b:Source>
    <b:Tag>Far16</b:Tag>
    <b:SourceType>JournalArticle</b:SourceType>
    <b:Guid>{8488ED00-A0AB-4A58-B73B-F6F0B7147D1B}</b:Guid>
    <b:Author>
      <b:Author>
        <b:NameList>
          <b:Person>
            <b:Last>Farley</b:Last>
            <b:First>K.J.</b:First>
          </b:Person>
          <b:Person>
            <b:Last>Eastwood</b:Last>
            <b:First>G.M.</b:First>
          </b:Person>
          <b:Person>
            <b:Last>Bellomo</b:Last>
            <b:First>R.</b:First>
          </b:Person>
        </b:NameList>
      </b:Author>
    </b:Author>
    <b:Title>A feasibility study of functional status and follow-up clinic preferences of patients at high risk of post intensive care syndrome</b:Title>
    <b:JournalName>Anaethesia and Intensive Care</b:JournalName>
    <b:Year>2016</b:Year>
    <b:Pages>413-419</b:Pages>
    <b:Volume>44</b:Volume>
    <b:Issue>3</b:Issue>
    <b:DOI>10.1177/0310057X1604400310</b:DOI>
    <b:RefOrder>14</b:RefOrder>
  </b:Source>
  <b:Source>
    <b:Tag>Ker19</b:Tag>
    <b:SourceType>JournalArticle</b:SourceType>
    <b:Guid>{C690EB4C-2B49-4FE2-8B84-9DCC6BD99FC5}</b:Guid>
    <b:Author>
      <b:Author>
        <b:NameList>
          <b:Person>
            <b:Last>Kerckhoffs</b:Last>
            <b:First>M.C.</b:First>
          </b:Person>
          <b:Person>
            <b:Last>Kosasi</b:Last>
            <b:First>F.F.</b:First>
          </b:Person>
          <b:Person>
            <b:Last>Soliman</b:Last>
            <b:First>I.W.</b:First>
          </b:Person>
          <b:Person>
            <b:Last>van Delden</b:Last>
            <b:First>J.J.M.</b:First>
          </b:Person>
          <b:Person>
            <b:Last>Cremer</b:Last>
            <b:First>O.L.</b:First>
          </b:Person>
          <b:Person>
            <b:Last>de Lange</b:Last>
            <b:First>D.W.</b:First>
          </b:Person>
          <b:Person>
            <b:Last>Slooter</b:Last>
            <b:First>A.J.</b:First>
          </b:Person>
          <b:Person>
            <b:Last>Kesecioglu</b:Last>
            <b:First>J.</b:First>
          </b:Person>
          <b:Person>
            <b:Last>van Dijk</b:Last>
            <b:First>D.</b:First>
          </b:Person>
        </b:NameList>
      </b:Author>
    </b:Author>
    <b:Title>Determinants of self-reported unacceptable outcome of intensive care treatment 1 year after discharge</b:Title>
    <b:JournalName>Intensive Care Medicine</b:JournalName>
    <b:Year>2019</b:Year>
    <b:Pages>806-814</b:Pages>
    <b:Volume>45</b:Volume>
    <b:Issue>6</b:Issue>
    <b:DOI>10.1007/s00134-019-05583-4</b:DOI>
    <b:RefOrder>55</b:RefOrder>
  </b:Source>
  <b:Source>
    <b:Tag>Kir18</b:Tag>
    <b:SourceType>JournalArticle</b:SourceType>
    <b:Guid>{EFBF7D3F-5F60-4BDA-88C4-DDAE9A476DE7}</b:Guid>
    <b:Author>
      <b:Author>
        <b:NameList>
          <b:Person>
            <b:Last>Kiriella</b:Last>
            <b:First>J.B.</b:First>
          </b:Person>
          <b:Person>
            <b:Last>Araujo</b:Last>
            <b:First>T.</b:First>
          </b:Person>
          <b:Person>
            <b:Last>Vergara</b:Last>
            <b:First>M.</b:First>
          </b:Person>
          <b:Person>
            <b:Last>Lopez-Hernandez</b:Last>
            <b:First>L.</b:First>
          </b:Person>
          <b:Person>
            <b:Last>Cameron</b:Last>
            <b:First>J.I.</b:First>
          </b:Person>
          <b:Person>
            <b:Last>Herridge</b:Last>
            <b:First>M.</b:First>
          </b:Person>
          <b:Person>
            <b:Last>Gage</b:Last>
            <b:First>W.H.</b:First>
          </b:Person>
          <b:Person>
            <b:Last>Mathur</b:Last>
            <b:First>S.</b:First>
          </b:Person>
        </b:NameList>
      </b:Author>
    </b:Author>
    <b:Title>Quantitative evaluation of muscle function, gait and postural control in people experiencing critical illness after discharge from the intensive care unit</b:Title>
    <b:JournalName>Physical Therapy</b:JournalName>
    <b:Year>2018</b:Year>
    <b:Pages>8-15</b:Pages>
    <b:Volume>98</b:Volume>
    <b:Issue>1</b:Issue>
    <b:DOI>10.1093/ptj/pzx102</b:DOI>
    <b:RefOrder>47</b:RefOrder>
  </b:Source>
  <b:Source>
    <b:Tag>Put20</b:Tag>
    <b:SourceType>JournalArticle</b:SourceType>
    <b:Guid>{1534CA0F-636B-401A-99B1-37E7CA10D4C6}</b:Guid>
    <b:Author>
      <b:Author>
        <b:NameList>
          <b:Person>
            <b:Last>Puthucheary</b:Last>
            <b:First>Z.A.</b:First>
          </b:Person>
          <b:Person>
            <b:Last>Gensichen</b:Last>
            <b:First>J.S.</b:First>
          </b:Person>
          <b:Person>
            <b:Last>Cakiroglu</b:Last>
            <b:First>A.S.</b:First>
          </b:Person>
          <b:Person>
            <b:Last>Cashmore</b:Last>
            <b:First>R.</b:First>
          </b:Person>
          <b:Person>
            <b:Last>Edbrooke</b:Last>
            <b:First>L.</b:First>
          </b:Person>
          <b:Person>
            <b:Last>Heintze</b:Last>
            <b:First>C.</b:First>
          </b:Person>
          <b:Person>
            <b:Last>Neumann</b:Last>
            <b:First>K.</b:First>
          </b:Person>
          <b:Person>
            <b:Last>Wollersheim</b:Last>
            <b:First>T.</b:First>
          </b:Person>
          <b:Person>
            <b:Last>Denehy</b:Last>
            <b:First>L.</b:First>
          </b:Person>
          <b:Person>
            <b:Last>Schmidt</b:Last>
            <b:First>K.F.R.</b:First>
          </b:Person>
        </b:NameList>
      </b:Author>
    </b:Author>
    <b:Title>Implications for post critical illness trial design: sub-phenotyping trajectories of functional recovery among sepsis survivors</b:Title>
    <b:JournalName>Critical Care</b:JournalName>
    <b:Year>2020</b:Year>
    <b:Pages>577-589</b:Pages>
    <b:Volume>24</b:Volume>
    <b:DOI>10.1186/s13054-020-03275-w</b:DOI>
    <b:RefOrder>68</b:RefOrder>
  </b:Source>
  <b:Source>
    <b:Tag>Sid191</b:Tag>
    <b:SourceType>JournalArticle</b:SourceType>
    <b:Guid>{904C30B0-1493-4ACB-8490-1DCCFB4E0AEF}</b:Guid>
    <b:Author>
      <b:Author>
        <b:NameList>
          <b:Person>
            <b:Last>Sidiras</b:Last>
            <b:First>G.</b:First>
          </b:Person>
          <b:Person>
            <b:Last>Patsaki</b:Last>
            <b:First>I.</b:First>
          </b:Person>
          <b:Person>
            <b:Last>Karatzanos</b:Last>
            <b:First>E.</b:First>
          </b:Person>
          <b:Person>
            <b:Last>Dakoutrou</b:Last>
            <b:First>M.</b:First>
          </b:Person>
          <b:Person>
            <b:Last>Kouvarakos</b:Last>
            <b:First>A.</b:First>
          </b:Person>
          <b:Person>
            <b:Last>Mitsiou</b:Last>
            <b:First>Routsi,</b:First>
            <b:Middle>C.</b:Middle>
          </b:Person>
          <b:Person>
            <b:Last>Stranjalis</b:Last>
            <b:First>G.</b:First>
          </b:Person>
          <b:Person>
            <b:Last>Nanas</b:Last>
            <b:First>S.</b:First>
          </b:Person>
          <b:Person>
            <b:Last>Gerovasili</b:Last>
            <b:First>V.</b:First>
          </b:Person>
        </b:NameList>
      </b:Author>
    </b:Author>
    <b:Title>Long term follow-up of quality of life and functional ability in patients with ICU acquired weakness - a post hoc analysis</b:Title>
    <b:JournalName>Journal of Critical Care</b:JournalName>
    <b:Year>2019</b:Year>
    <b:Pages>223-230</b:Pages>
    <b:Volume>53</b:Volume>
    <b:DOI>10.1016/j.jcrc.2019.06.022</b:DOI>
    <b:RefOrder>46</b:RefOrder>
  </b:Source>
  <b:Source>
    <b:Tag>Sum20</b:Tag>
    <b:SourceType>JournalArticle</b:SourceType>
    <b:Guid>{70211ACD-53D7-46EA-8724-19C5EE8FB255}</b:Guid>
    <b:Author>
      <b:Author>
        <b:NameList>
          <b:Person>
            <b:Last>Sumida</b:Last>
            <b:First>H.</b:First>
          </b:Person>
          <b:Person>
            <b:Last>Yasunaga</b:Last>
            <b:First>Y.</b:First>
          </b:Person>
          <b:Person>
            <b:Last>Takasawa</b:Last>
            <b:First>K.</b:First>
          </b:Person>
          <b:Person>
            <b:Last>Tanaka</b:Last>
            <b:First>A.</b:First>
          </b:Person>
          <b:Person>
            <b:Last>Ida</b:Last>
            <b:First>A.</b:First>
          </b:Person>
          <b:Person>
            <b:Last>Saito</b:Last>
            <b:First>T.</b:First>
          </b:Person>
          <b:Person>
            <b:Last>Sugiyama</b:Last>
            <b:First>S.</b:First>
          </b:Person>
          <b:Person>
            <b:Last>Matsui</b:Last>
            <b:First>K.</b:First>
          </b:Person>
          <b:Person>
            <b:Last>Nakao</b:Last>
            <b:First>K.</b:First>
          </b:Person>
          <b:Person>
            <b:Last>Tsujita</b:Last>
            <b:First>K.</b:First>
          </b:Person>
          <b:Person>
            <b:Last>Tohya</b:Last>
            <b:First>Y.</b:First>
          </b:Person>
        </b:NameList>
      </b:Author>
    </b:Author>
    <b:Title>Cognitive function in post-cardiac intensive care: patient characteristics and impact of multidisciplinary cardiac rehabilitation</b:Title>
    <b:JournalName>Heart and Vessels</b:JournalName>
    <b:Year>2020</b:Year>
    <b:Pages>946-956</b:Pages>
    <b:Volume>35</b:Volume>
    <b:DOI>10.1007/s00380-020-01566-4</b:DOI>
    <b:RefOrder>54</b:RefOrder>
  </b:Source>
  <b:Source>
    <b:Tag>Tho16</b:Tag>
    <b:SourceType>JournalArticle</b:SourceType>
    <b:Guid>{DE00322A-B1A3-4A29-AFA0-2C3AF365F81A}</b:Guid>
    <b:Author>
      <b:Author>
        <b:NameList>
          <b:Person>
            <b:Last>Thomas</b:Last>
            <b:First>S.</b:First>
          </b:Person>
          <b:Person>
            <b:Last>Burridge</b:Last>
            <b:First>J.H.</b:First>
          </b:Person>
          <b:Person>
            <b:Last>Pohl</b:Last>
            <b:First>M.</b:First>
          </b:Person>
          <b:Person>
            <b:Last>Oechmichen</b:Last>
            <b:First>F.</b:First>
          </b:Person>
          <b:Person>
            <b:Last>Mehrholz</b:Last>
            <b:First>J.</b:First>
          </b:Person>
        </b:NameList>
      </b:Author>
    </b:Author>
    <b:Title>Recovery of sit-to-stand function in patients with intensive-care-unit-acquired muscle weakness: results from the general weakness syndrome therapy cohort study</b:Title>
    <b:JournalName>Journal of Rehabilitation Medicine</b:JournalName>
    <b:Year>2016</b:Year>
    <b:Pages>793-798</b:Pages>
    <b:Volume>48</b:Volume>
    <b:DOI>10.2340/16501977-2135</b:DOI>
    <b:RefOrder>15</b:RefOrder>
  </b:Source>
  <b:Source>
    <b:Tag>Tho18</b:Tag>
    <b:SourceType>JournalArticle</b:SourceType>
    <b:Guid>{9DD66BFD-F92F-4B2B-876C-B10D0DC2BC62}</b:Guid>
    <b:Author>
      <b:Author>
        <b:NameList>
          <b:Person>
            <b:Last>Thomas</b:Last>
            <b:First>S.</b:First>
          </b:Person>
          <b:Person>
            <b:Last>Mehrholz</b:Last>
            <b:First>J.</b:First>
          </b:Person>
        </b:NameList>
      </b:Author>
    </b:Author>
    <b:Title>Health-related quality of life, participation, and physical and cognitive function of patients with intensive care unit-acquired muscle weakness 1 year after rehabilitation in Germany: the GYMNAST cohort study</b:Title>
    <b:JournalName>BMJ Open</b:JournalName>
    <b:Year>2018</b:Year>
    <b:Pages>e020163</b:Pages>
    <b:Volume>8</b:Volume>
    <b:DOI>10.1136/bmjopen-2017-020163</b:DOI>
    <b:RefOrder>53</b:RefOrder>
  </b:Source>
  <b:Source>
    <b:Tag>Tho191</b:Tag>
    <b:SourceType>JournalArticle</b:SourceType>
    <b:Guid>{8888126D-56DF-428A-B84D-5036C9136106}</b:Guid>
    <b:Author>
      <b:Author>
        <b:NameList>
          <b:Person>
            <b:Last>Thomas</b:Last>
            <b:First>S.</b:First>
          </b:Person>
          <b:Person>
            <b:Last>Mehrholz</b:Last>
            <b:First>J.</b:First>
          </b:Person>
          <b:Person>
            <b:Last>Bodechtel</b:Last>
            <b:First>U.</b:First>
          </b:Person>
          <b:Person>
            <b:Last>Elsner</b:Last>
            <b:First>B.</b:First>
          </b:Person>
        </b:NameList>
      </b:Author>
    </b:Author>
    <b:Title>Effect of physiotherapy on regaining independent walking in patients with intensive-care-unit-acquired muscle weakness: a cohort study</b:Title>
    <b:JournalName>Journal of Rehabilitation Medicine</b:JournalName>
    <b:Year>2019</b:Year>
    <b:Pages>797-804</b:Pages>
    <b:Volume>51</b:Volume>
    <b:Issue>10</b:Issue>
    <b:DOI>10.2340/16501977-2606</b:DOI>
    <b:RefOrder>16</b:RefOrder>
  </b:Source>
  <b:Source>
    <b:Tag>Wat19</b:Tag>
    <b:SourceType>JournalArticle</b:SourceType>
    <b:Guid>{644AB931-124F-430C-BEC7-AF143F4A3865}</b:Guid>
    <b:Author>
      <b:Author>
        <b:NameList>
          <b:Person>
            <b:Last>Watanabe</b:Last>
            <b:First>S.</b:First>
          </b:Person>
          <b:Person>
            <b:Last>Kotani</b:Last>
            <b:First>T.</b:First>
          </b:Person>
          <b:Person>
            <b:Last>Taito</b:Last>
            <b:First>S.</b:First>
          </b:Person>
          <b:Person>
            <b:Last>Ota</b:Last>
            <b:First>K.</b:First>
          </b:Person>
          <b:Person>
            <b:Last>Ishii</b:Last>
            <b:First>K.</b:First>
          </b:Person>
          <b:Person>
            <b:Last>Ono</b:Last>
            <b:First>M.</b:First>
          </b:Person>
          <b:Person>
            <b:Last>Katsukawa</b:Last>
            <b:First>H.</b:First>
          </b:Person>
          <b:Person>
            <b:Last>Kozu</b:Last>
            <b:First>R.</b:First>
          </b:Person>
          <b:Person>
            <b:Last>Morita</b:Last>
            <b:First>Y.</b:First>
          </b:Person>
          <b:Person>
            <b:Last>Arakawa</b:Last>
            <b:First>R.</b:First>
          </b:Person>
          <b:Person>
            <b:Last>Susuki</b:Last>
            <b:First>S.</b:First>
          </b:Person>
        </b:NameList>
      </b:Author>
    </b:Author>
    <b:Title>Determinants of gait independence after mechanical ventilation in the intensive care unit: a Japanese multicentre retrospective exploratory cohort study</b:Title>
    <b:JournalName>Journal of Intensive Care</b:JournalName>
    <b:Year>2019</b:Year>
    <b:Pages>1-9</b:Pages>
    <b:Volume>7</b:Volume>
    <b:Issue>53</b:Issue>
    <b:DOI>10.1186/s40560-019-0404-2</b:DOI>
    <b:RefOrder>24</b:RefOrder>
  </b:Source>
  <b:Source>
    <b:Tag>Win18</b:Tag>
    <b:SourceType>JournalArticle</b:SourceType>
    <b:Guid>{17246035-7002-4667-8ACC-94330CB9F7A4}</b:Guid>
    <b:Author>
      <b:Author>
        <b:NameList>
          <b:Person>
            <b:Last>Wintermann</b:Last>
            <b:First>G.</b:First>
          </b:Person>
          <b:Person>
            <b:Last>Rosendahl</b:Last>
            <b:First>J.</b:First>
          </b:Person>
          <b:Person>
            <b:Last>Weidner</b:Last>
            <b:First>K.</b:First>
          </b:Person>
          <b:Person>
            <b:Last>Straub</b:Last>
            <b:First>B.</b:First>
          </b:Person>
          <b:Person>
            <b:Last>Hinz</b:Last>
            <b:First>A.</b:First>
          </b:Person>
          <b:Person>
            <b:Last>Petrowski</b:Last>
            <b:First>K.</b:First>
          </b:Person>
        </b:NameList>
      </b:Author>
    </b:Author>
    <b:Title>Self-reported fatigue following intensive care of chronically critically ill patients: a prospective cohort study</b:Title>
    <b:JournalName>Journal of Intensive Care</b:JournalName>
    <b:Year>2018</b:Year>
    <b:Pages>1-12</b:Pages>
    <b:Volume>6</b:Volume>
    <b:Issue>27</b:Issue>
    <b:DOI>10.1186/s40560-018-0295-7</b:DOI>
    <b:RefOrder>51</b:RefOrder>
  </b:Source>
</b:Sources>
</file>

<file path=customXml/itemProps1.xml><?xml version="1.0" encoding="utf-8"?>
<ds:datastoreItem xmlns:ds="http://schemas.openxmlformats.org/officeDocument/2006/customXml" ds:itemID="{BF60E6E7-48BE-4619-9001-0BC2A9E8B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3268</Words>
  <Characters>18631</Characters>
  <Application>Microsoft Office Word</Application>
  <DocSecurity>0</DocSecurity>
  <Lines>155</Lines>
  <Paragraphs>43</Paragraphs>
  <ScaleCrop>false</ScaleCrop>
  <Company/>
  <LinksUpToDate>false</LinksUpToDate>
  <CharactersWithSpaces>21856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Heiniger</dc:creator>
  <cp:keywords/>
  <dc:description/>
  <cp:lastModifiedBy>Zoe Heiniger</cp:lastModifiedBy>
  <cp:revision>4</cp:revision>
  <dcterms:created xsi:type="dcterms:W3CDTF">2021-11-26T01:51:00Z</dcterms:created>
  <dcterms:modified xsi:type="dcterms:W3CDTF">2021-12-08T04:57:00Z</dcterms:modified>
</cp:coreProperties>
</file>