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9E1DCF">
      <w:pPr>
        <w:jc w:val="center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Supplementary Table S1. Candidate-gene analysis in the CAP subgroup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1500"/>
        <w:gridCol w:w="2262"/>
        <w:gridCol w:w="1457"/>
        <w:gridCol w:w="2023"/>
      </w:tblGrid>
      <w:tr w14:paraId="43F17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74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vAlign w:val="center"/>
          </w:tcPr>
          <w:p w14:paraId="18791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Gene</w:t>
            </w:r>
          </w:p>
        </w:tc>
        <w:tc>
          <w:tcPr>
            <w:tcW w:w="88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vAlign w:val="center"/>
          </w:tcPr>
          <w:p w14:paraId="372A5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Analysis tier</w:t>
            </w:r>
          </w:p>
        </w:tc>
        <w:tc>
          <w:tcPr>
            <w:tcW w:w="132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vAlign w:val="center"/>
          </w:tcPr>
          <w:p w14:paraId="4D0C7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log2FC, ICU-AI vs no ICU-AI</w:t>
            </w:r>
          </w:p>
        </w:tc>
        <w:tc>
          <w:tcPr>
            <w:tcW w:w="85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vAlign w:val="center"/>
          </w:tcPr>
          <w:p w14:paraId="0533A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Nominal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P</w:t>
            </w:r>
          </w:p>
        </w:tc>
        <w:tc>
          <w:tcPr>
            <w:tcW w:w="118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vAlign w:val="center"/>
          </w:tcPr>
          <w:p w14:paraId="5DFB0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Bonferroni-adjusted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P</w:t>
            </w:r>
          </w:p>
        </w:tc>
      </w:tr>
      <w:tr w14:paraId="79D50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4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vAlign w:val="center"/>
          </w:tcPr>
          <w:p w14:paraId="6D24B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IL7R</w:t>
            </w:r>
          </w:p>
        </w:tc>
        <w:tc>
          <w:tcPr>
            <w:tcW w:w="88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vAlign w:val="center"/>
          </w:tcPr>
          <w:p w14:paraId="3B960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Primary</w:t>
            </w:r>
          </w:p>
        </w:tc>
        <w:tc>
          <w:tcPr>
            <w:tcW w:w="132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vAlign w:val="center"/>
          </w:tcPr>
          <w:p w14:paraId="584A7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-0.975</w:t>
            </w:r>
          </w:p>
        </w:tc>
        <w:tc>
          <w:tcPr>
            <w:tcW w:w="85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vAlign w:val="center"/>
          </w:tcPr>
          <w:p w14:paraId="25172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0.014</w:t>
            </w:r>
          </w:p>
        </w:tc>
        <w:tc>
          <w:tcPr>
            <w:tcW w:w="118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vAlign w:val="center"/>
          </w:tcPr>
          <w:p w14:paraId="34A43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0.042</w:t>
            </w:r>
          </w:p>
        </w:tc>
      </w:tr>
      <w:tr w14:paraId="7C923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C98D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CD3D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0915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Primary</w:t>
            </w:r>
          </w:p>
        </w:tc>
        <w:tc>
          <w:tcPr>
            <w:tcW w:w="132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E5B9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-0.743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0C97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0.033</w:t>
            </w:r>
          </w:p>
        </w:tc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A3D2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0.099</w:t>
            </w:r>
          </w:p>
        </w:tc>
      </w:tr>
      <w:tr w14:paraId="28B86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E2EB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PRKACB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56AE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Primary</w:t>
            </w:r>
          </w:p>
        </w:tc>
        <w:tc>
          <w:tcPr>
            <w:tcW w:w="132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A85F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-0.5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F96D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0.055</w:t>
            </w:r>
          </w:p>
        </w:tc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E8F4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0.165</w:t>
            </w:r>
          </w:p>
        </w:tc>
      </w:tr>
      <w:tr w14:paraId="52E27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DB98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CFLAR</w:t>
            </w:r>
          </w:p>
        </w:tc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929B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Exploratory</w:t>
            </w:r>
          </w:p>
        </w:tc>
        <w:tc>
          <w:tcPr>
            <w:tcW w:w="132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A2E6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0.323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EA9A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0.073</w:t>
            </w:r>
          </w:p>
        </w:tc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2A79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—</w:t>
            </w:r>
          </w:p>
        </w:tc>
      </w:tr>
      <w:tr w14:paraId="50411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4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vAlign w:val="center"/>
          </w:tcPr>
          <w:p w14:paraId="39AE4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TNFAIP6</w:t>
            </w:r>
          </w:p>
        </w:tc>
        <w:tc>
          <w:tcPr>
            <w:tcW w:w="88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vAlign w:val="center"/>
          </w:tcPr>
          <w:p w14:paraId="3DCEE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Exploratory</w:t>
            </w:r>
          </w:p>
        </w:tc>
        <w:tc>
          <w:tcPr>
            <w:tcW w:w="132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vAlign w:val="center"/>
          </w:tcPr>
          <w:p w14:paraId="56442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0.61</w:t>
            </w:r>
          </w:p>
        </w:tc>
        <w:tc>
          <w:tcPr>
            <w:tcW w:w="85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vAlign w:val="center"/>
          </w:tcPr>
          <w:p w14:paraId="42E1C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0.078</w:t>
            </w:r>
          </w:p>
        </w:tc>
        <w:tc>
          <w:tcPr>
            <w:tcW w:w="118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vAlign w:val="center"/>
          </w:tcPr>
          <w:p w14:paraId="58384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—</w:t>
            </w:r>
          </w:p>
        </w:tc>
      </w:tr>
    </w:tbl>
    <w:p w14:paraId="0D4D6C44">
      <w:pPr>
        <w:jc w:val="both"/>
        <w:rPr>
          <w:rFonts w:hint="default" w:ascii="Times New Roman" w:hAnsi="Times New Roman" w:cs="Times New Roman" w:eastAsiaTheme="minorEastAsia"/>
          <w:b w:val="0"/>
          <w:bCs w:val="0"/>
          <w:sz w:val="20"/>
          <w:szCs w:val="22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0"/>
          <w:szCs w:val="22"/>
          <w:lang w:val="en-US" w:eastAsia="zh-CN"/>
        </w:rPr>
        <w:t>Note. Candidate-gene expression was compared using the Mann-Whitney U test. Bonferroni adjustment was applied within the three primary candidate genes by multiplying nominal P values by 3. Exploratory candidates were interpreted using nominal P va</w:t>
      </w:r>
      <w:bookmarkStart w:id="0" w:name="_GoBack"/>
      <w:bookmarkEnd w:id="0"/>
      <w:r>
        <w:rPr>
          <w:rFonts w:hint="eastAsia" w:ascii="Times New Roman" w:hAnsi="Times New Roman" w:cs="Times New Roman"/>
          <w:b w:val="0"/>
          <w:bCs w:val="0"/>
          <w:sz w:val="20"/>
          <w:szCs w:val="22"/>
          <w:lang w:val="en-US" w:eastAsia="zh-CN"/>
        </w:rPr>
        <w:t>lues only. ICU-AI, ICU-acquired infection.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8A03B9"/>
    <w:rsid w:val="0B9D4CB5"/>
    <w:rsid w:val="7A527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2026-10-10T08:12:34Z</dcterms:created>
  <dc:creator>Administrator</dc:creator>
  <cp:lastModifiedBy>白云深处有人家</cp:lastModifiedBy>
  <dcterms:modified xsi:type="dcterms:W3CDTF">2026-10-10T08:16:02Z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eyJoZGlkIjoiNGM3YzcwYTg5NWIxNjc3NGNhY2Y1ZDg4OThkYTQzM2UiLCJ1c2VySWQiOiI0ODY4OTY2OTUifQ==</vt:lpwstr>
  </property>
  <property fmtid="{D5CDD505-2E9C-101B-9397-08002B2CF9AE}" pid="4" name="ICV">
    <vt:lpwstr>45BD4F40D8BA4C7F9812A1E0FE3581BE_12</vt:lpwstr>
  </property>
</Properties>
</file>