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67" w:rsidRPr="00FC0567" w:rsidRDefault="00FC0567" w:rsidP="00FC0567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2"/>
        </w:rPr>
      </w:pPr>
      <w:r w:rsidRPr="00FC0567">
        <w:rPr>
          <w:rFonts w:ascii="Times New Roman" w:hAnsi="Times New Roman" w:cs="Times New Roman"/>
          <w:b/>
          <w:color w:val="000000" w:themeColor="text1"/>
          <w:sz w:val="22"/>
        </w:rPr>
        <w:t>Impact of preoperative renal replacement therapy in clinical outcome of heart transplant patients</w:t>
      </w:r>
    </w:p>
    <w:p w:rsidR="00FC0567" w:rsidRPr="00FC0567" w:rsidRDefault="00FC0567" w:rsidP="00FC0567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vertAlign w:val="superscript"/>
        </w:rPr>
      </w:pPr>
      <w:bookmarkStart w:id="0" w:name="_Hlk27860586"/>
      <w:r w:rsidRPr="00FC0567">
        <w:rPr>
          <w:rFonts w:ascii="Times New Roman" w:hAnsi="Times New Roman" w:cs="Times New Roman"/>
          <w:color w:val="000000" w:themeColor="text1"/>
          <w:sz w:val="22"/>
        </w:rPr>
        <w:t>Darae Kim, MD, PhD</w:t>
      </w:r>
      <w:r w:rsidRPr="00FC0567">
        <w:rPr>
          <w:rFonts w:ascii="Times New Roman" w:hAnsi="Times New Roman" w:cs="Times New Roman"/>
          <w:color w:val="000000" w:themeColor="text1"/>
          <w:sz w:val="22"/>
          <w:vertAlign w:val="superscript"/>
        </w:rPr>
        <w:t>1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; Jin-Oh Choi, MD, PhD</w:t>
      </w:r>
      <w:r w:rsidRPr="00FC0567">
        <w:rPr>
          <w:rFonts w:ascii="Times New Roman" w:hAnsi="Times New Roman" w:cs="Times New Roman"/>
          <w:color w:val="000000" w:themeColor="text1"/>
          <w:sz w:val="22"/>
          <w:vertAlign w:val="superscript"/>
        </w:rPr>
        <w:t>1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*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 xml:space="preserve">, 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Yang Hyun Cho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 MD,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2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 xml:space="preserve">, 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Kiick Sung</w:t>
      </w:r>
      <w:r w:rsidRPr="00FC0567">
        <w:rPr>
          <w:rFonts w:ascii="inherit" w:hAnsi="inherit" w:cs="Helvetica"/>
          <w:color w:val="000000" w:themeColor="text1"/>
          <w:szCs w:val="20"/>
          <w:lang w:val="en"/>
        </w:rPr>
        <w:t>,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MD,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2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 xml:space="preserve">, 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Jaewon Oh,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3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Hyun Jai Cho,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4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; Sung-Ho Jung,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5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; Hae-Young Lee,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4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Jin Joo Park, MD,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6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 xml:space="preserve">; 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Dong-Ju Choi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, MD,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6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; Seok-Min Kang,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3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 xml:space="preserve"> Jae-Joong Kim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 xml:space="preserve">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 PhD</w:t>
      </w:r>
      <w:r w:rsidRPr="00FC0567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6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 xml:space="preserve">, </w:t>
      </w:r>
      <w:r w:rsidRPr="00FC0567">
        <w:rPr>
          <w:rFonts w:ascii="Times New Roman" w:hAnsi="Times New Roman" w:cs="Times New Roman"/>
          <w:color w:val="000000" w:themeColor="text1"/>
          <w:sz w:val="22"/>
        </w:rPr>
        <w:t>Eun-Seok Jeon, MD</w:t>
      </w:r>
      <w:r w:rsidRPr="00FC0567">
        <w:rPr>
          <w:rFonts w:ascii="Times New Roman" w:hAnsi="Times New Roman" w:cs="Times New Roman" w:hint="eastAsia"/>
          <w:color w:val="000000" w:themeColor="text1"/>
          <w:sz w:val="22"/>
        </w:rPr>
        <w:t>,PhD</w:t>
      </w:r>
      <w:r w:rsidRPr="00FC0567">
        <w:rPr>
          <w:rFonts w:ascii="Times New Roman" w:hAnsi="Times New Roman" w:cs="Times New Roman"/>
          <w:color w:val="000000" w:themeColor="text1"/>
          <w:sz w:val="22"/>
          <w:vertAlign w:val="superscript"/>
        </w:rPr>
        <w:t xml:space="preserve">1 </w:t>
      </w:r>
    </w:p>
    <w:bookmarkEnd w:id="0"/>
    <w:p w:rsidR="00FC0567" w:rsidRPr="00FC0567" w:rsidRDefault="00FC0567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br w:type="page"/>
      </w:r>
    </w:p>
    <w:p w:rsidR="00076BA9" w:rsidRPr="00FC0567" w:rsidRDefault="00076BA9" w:rsidP="00076BA9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r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lastRenderedPageBreak/>
        <w:t xml:space="preserve">Supplementary table </w:t>
      </w: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t>1</w:t>
      </w:r>
      <w:r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>. Postoperative</w:t>
      </w: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t xml:space="preserve"> clinical </w:t>
      </w:r>
      <w:r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 xml:space="preserve">characteristics </w:t>
      </w:r>
    </w:p>
    <w:p w:rsidR="00076BA9" w:rsidRPr="00FC0567" w:rsidRDefault="00076BA9" w:rsidP="00076BA9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</w:p>
    <w:p w:rsidR="00076BA9" w:rsidRPr="00FC0567" w:rsidRDefault="00504A91" w:rsidP="00076BA9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  <w:r w:rsidRPr="00FC0567">
        <w:rPr>
          <w:rFonts w:ascii="Times New Roman" w:hAnsi="Times New Roman" w:cs="Times New Roman" w:hint="eastAsia"/>
          <w:color w:val="000000" w:themeColor="text1"/>
          <w:szCs w:val="20"/>
        </w:rPr>
        <w:t>LV, left ventricle; EF, ejection fraction; EDD, end-diastolic dimension</w:t>
      </w:r>
      <w:r w:rsidRPr="00FC0567">
        <w:rPr>
          <w:rFonts w:ascii="Times New Roman" w:hAnsi="Times New Roman" w:cs="Times New Roman"/>
          <w:color w:val="000000" w:themeColor="text1"/>
          <w:szCs w:val="20"/>
        </w:rPr>
        <w:t>; LA , left atrium; E, early mitral inflow velocity; e’, early mitral tissue Doppler velocity</w:t>
      </w:r>
    </w:p>
    <w:tbl>
      <w:tblPr>
        <w:tblStyle w:val="a3"/>
        <w:tblpPr w:leftFromText="142" w:rightFromText="142" w:vertAnchor="page" w:horzAnchor="margin" w:tblpY="2041"/>
        <w:tblW w:w="50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04"/>
        <w:gridCol w:w="2302"/>
        <w:gridCol w:w="2302"/>
        <w:gridCol w:w="2305"/>
        <w:gridCol w:w="1201"/>
      </w:tblGrid>
      <w:tr w:rsidR="00FC0567" w:rsidRPr="00FC0567" w:rsidTr="008E1C0A">
        <w:trPr>
          <w:trHeight w:val="334"/>
        </w:trPr>
        <w:tc>
          <w:tcPr>
            <w:tcW w:w="1533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n=488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Group 1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Group 2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Group 3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Group 4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PreRRT (-)</w:t>
            </w:r>
          </w:p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PostRRT (-)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PreRRT (+)</w:t>
            </w:r>
          </w:p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PostRRT (-)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PreRRT (-)</w:t>
            </w:r>
          </w:p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PostRRT (+)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PreRRT(+)</w:t>
            </w:r>
          </w:p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PostRRT(+)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Post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-HTx 1month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echocardiography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LV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EF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, %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66 (58-70)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66 (58-70)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65 (52-68)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64 (61-68)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0.207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LV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EDD,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mm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43.8 (42.9-48.3)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43.8 (42.9-48.3)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47.3 (42.6-50.6)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47.9 (43.0-51.0)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0.488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LA volume index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45 (39-54)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45 (36-55)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44 (38-49)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39 (35-46)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0.877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Septal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E/e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’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13 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8(10.0-21.1)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16.1(11.3-22.5)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11.6 (10.0-15.3)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10.7 (8.4-14.7)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0.347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RVSP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27 (23-34)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25 (21-32)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35 (29-43)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30 (24-40)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&lt;0.001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I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mmunosuppressive 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drug at post-HTx 6month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vAlign w:val="center"/>
          </w:tcPr>
          <w:p w:rsidR="00076BA9" w:rsidRPr="00FC0567" w:rsidRDefault="00076BA9" w:rsidP="008E1C0A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Everolimus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42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115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(3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1.8)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41.2)</w:t>
            </w:r>
          </w:p>
        </w:tc>
        <w:tc>
          <w:tcPr>
            <w:tcW w:w="830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16 (30.2)</w:t>
            </w:r>
          </w:p>
        </w:tc>
        <w:tc>
          <w:tcPr>
            <w:tcW w:w="831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19 (33.3)</w:t>
            </w:r>
          </w:p>
        </w:tc>
        <w:tc>
          <w:tcPr>
            <w:tcW w:w="433" w:type="pct"/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0.805</w:t>
            </w:r>
          </w:p>
        </w:tc>
      </w:tr>
      <w:tr w:rsidR="00FC0567" w:rsidRPr="00FC0567" w:rsidTr="008E1C0A">
        <w:trPr>
          <w:trHeight w:val="334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Tacrolimus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338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(93.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16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94.1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49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(92.5)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54 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(94.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A9" w:rsidRPr="00FC0567" w:rsidRDefault="00076BA9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0.654</w:t>
            </w:r>
          </w:p>
        </w:tc>
      </w:tr>
    </w:tbl>
    <w:p w:rsidR="00076BA9" w:rsidRPr="00FC0567" w:rsidRDefault="00076BA9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br w:type="page"/>
      </w:r>
    </w:p>
    <w:p w:rsidR="00592D6F" w:rsidRPr="00FC0567" w:rsidRDefault="008D550D" w:rsidP="00560E3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 xml:space="preserve">Supplementary </w:t>
      </w:r>
      <w:r w:rsidR="001B6668" w:rsidRPr="00FC0567">
        <w:rPr>
          <w:rFonts w:ascii="Times New Roman" w:hAnsi="Times New Roman" w:cs="Times New Roman"/>
          <w:b/>
          <w:color w:val="000000" w:themeColor="text1"/>
          <w:szCs w:val="20"/>
        </w:rPr>
        <w:t xml:space="preserve">Table 2. </w:t>
      </w:r>
      <w:r w:rsidR="00592D6F" w:rsidRPr="00FC0567">
        <w:rPr>
          <w:rFonts w:ascii="Times New Roman" w:hAnsi="Times New Roman" w:cs="Times New Roman"/>
          <w:b/>
          <w:color w:val="000000" w:themeColor="text1"/>
          <w:szCs w:val="20"/>
        </w:rPr>
        <w:t>Uni and m</w:t>
      </w:r>
      <w:r w:rsidR="00592D6F"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 xml:space="preserve">ultivariate analysis to predict </w:t>
      </w:r>
      <w:r w:rsidR="00560E33" w:rsidRPr="00FC0567">
        <w:rPr>
          <w:rFonts w:ascii="Times New Roman" w:hAnsi="Times New Roman" w:cs="Times New Roman"/>
          <w:b/>
          <w:color w:val="000000" w:themeColor="text1"/>
          <w:szCs w:val="20"/>
        </w:rPr>
        <w:t>progression to ESRD after HTx according to preoperative RRT status</w:t>
      </w:r>
      <w:r w:rsidR="00592D6F"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>.</w:t>
      </w:r>
    </w:p>
    <w:tbl>
      <w:tblPr>
        <w:tblStyle w:val="a3"/>
        <w:tblpPr w:leftFromText="142" w:rightFromText="142" w:vertAnchor="text" w:horzAnchor="margin" w:tblpY="192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518"/>
        <w:gridCol w:w="1167"/>
        <w:gridCol w:w="1685"/>
        <w:gridCol w:w="1685"/>
        <w:gridCol w:w="1685"/>
        <w:gridCol w:w="1685"/>
        <w:gridCol w:w="1679"/>
      </w:tblGrid>
      <w:tr w:rsidR="00FC0567" w:rsidRPr="00FC0567" w:rsidTr="00FC0567">
        <w:trPr>
          <w:trHeight w:val="283"/>
        </w:trPr>
        <w:tc>
          <w:tcPr>
            <w:tcW w:w="1312" w:type="pct"/>
            <w:tcBorders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b/>
                <w:color w:val="000000" w:themeColor="text1"/>
              </w:rPr>
              <w:t>Preop RRT (-) subgroup (n= 471)</w:t>
            </w:r>
          </w:p>
        </w:tc>
        <w:tc>
          <w:tcPr>
            <w:tcW w:w="1845" w:type="pct"/>
            <w:gridSpan w:val="4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Univariate</w:t>
            </w:r>
          </w:p>
        </w:tc>
        <w:tc>
          <w:tcPr>
            <w:tcW w:w="1843" w:type="pct"/>
            <w:gridSpan w:val="3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Multivariate</w:t>
            </w:r>
          </w:p>
        </w:tc>
      </w:tr>
      <w:tr w:rsidR="00FC0567" w:rsidRPr="00FC0567" w:rsidTr="00FC0567">
        <w:trPr>
          <w:trHeight w:val="283"/>
        </w:trPr>
        <w:tc>
          <w:tcPr>
            <w:tcW w:w="1312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Variables</w:t>
            </w:r>
          </w:p>
        </w:tc>
        <w:tc>
          <w:tcPr>
            <w:tcW w:w="615" w:type="pct"/>
            <w:gridSpan w:val="2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0.991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0.950-1.033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0.660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45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-1.0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41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0.850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Male gender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1.370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0.365-5.145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Diabetes mellitus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1.396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0.412-4.732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0.592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Insulin dependent diabetes mellitus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1.075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0.395-2.928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1.075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ventilation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309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1.964-20.263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2.006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0.250-16.077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0.512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cardiac support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4.853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1.504-15.695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0.008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2.301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0.307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-17.265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2.301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eGFR 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0.979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0.957-1.001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1.002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0.983-1.022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0.816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creatinine 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2.077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1.198-3.600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2.306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1.209-4.397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0.01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Cardiopulmonary bypass time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1.003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0.993-1.012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0.591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Cold ischemia time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0.979-1.003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0.150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Postoperative RRT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38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-3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464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&lt;0.001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9.481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2.370-37.922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0.001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Primary graft failure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4.286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1.238-14.840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0.022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.699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0.392-7.104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0.488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bottom w:val="nil"/>
            </w:tcBorders>
            <w:vAlign w:val="center"/>
          </w:tcPr>
          <w:p w:rsidR="00504A91" w:rsidRPr="00FC0567" w:rsidRDefault="00504A91" w:rsidP="00FC056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b/>
                <w:color w:val="000000" w:themeColor="text1"/>
              </w:rPr>
              <w:t>Preop RRT (+) subgroup (n= 87)</w:t>
            </w:r>
          </w:p>
        </w:tc>
        <w:tc>
          <w:tcPr>
            <w:tcW w:w="1656" w:type="pct"/>
            <w:gridSpan w:val="3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Univariate</w:t>
            </w:r>
          </w:p>
        </w:tc>
        <w:tc>
          <w:tcPr>
            <w:tcW w:w="1843" w:type="pct"/>
            <w:gridSpan w:val="3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Multivariate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Variables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024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0.982-1.069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0.264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021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63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-1.0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21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0.358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Male gender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0.827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0.290-2.356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0.722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Diabetes mellitus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016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0.392-2.639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Insulin dependent diabetes mellitus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5.011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2.517-11.641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&lt;0.001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3.758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0.943-14.972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0.061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ventilation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0.210-1.4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0.223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cardiac support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800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0.292-2.195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0.665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eGFR 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0.979-1.006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0.250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creatinine 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94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0.744-1.329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0.970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Cardiopulmonary bypass time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0.407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0.995-1.0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0.407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Cold ischemia time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1.001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0.998-1.0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0.504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Postoperative RRT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7.237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1.562-33.521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0.011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8.736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1.76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5-43.227</w:t>
            </w:r>
          </w:p>
        </w:tc>
        <w:tc>
          <w:tcPr>
            <w:tcW w:w="613" w:type="pct"/>
            <w:tcBorders>
              <w:top w:val="nil"/>
              <w:bottom w:val="nil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0.008</w:t>
            </w:r>
          </w:p>
        </w:tc>
      </w:tr>
      <w:tr w:rsidR="00FC0567" w:rsidRPr="00FC0567" w:rsidTr="00FC0567">
        <w:trPr>
          <w:trHeight w:val="283"/>
        </w:trPr>
        <w:tc>
          <w:tcPr>
            <w:tcW w:w="150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Primary graft failure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1.075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0.395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-2.925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0.887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  <w:vAlign w:val="center"/>
          </w:tcPr>
          <w:p w:rsidR="00504A91" w:rsidRPr="00FC0567" w:rsidRDefault="00504A91" w:rsidP="00FC056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504A91" w:rsidRPr="00FC0567" w:rsidRDefault="00504A91" w:rsidP="00560E33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  <w:r w:rsidRPr="00FC0567">
        <w:rPr>
          <w:rFonts w:ascii="Times New Roman" w:hAnsi="Times New Roman" w:cs="Times New Roman" w:hint="eastAsia"/>
          <w:color w:val="000000" w:themeColor="text1"/>
          <w:szCs w:val="20"/>
        </w:rPr>
        <w:t>eGFR, estimated filtration rate; RRT, renal replacement therapy</w:t>
      </w:r>
    </w:p>
    <w:p w:rsidR="00560E33" w:rsidRPr="00FC0567" w:rsidRDefault="00592D6F" w:rsidP="00560E3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r w:rsidRPr="00FC0567">
        <w:rPr>
          <w:rFonts w:ascii="Times New Roman" w:hAnsi="Times New Roman" w:cs="Times New Roman"/>
          <w:b/>
          <w:color w:val="000000" w:themeColor="text1"/>
          <w:szCs w:val="20"/>
        </w:rPr>
        <w:br w:type="page"/>
      </w:r>
      <w:r w:rsidR="00845CC4" w:rsidRPr="00FC0567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 xml:space="preserve">Supplementary </w:t>
      </w:r>
      <w:r w:rsidR="00560E33"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 xml:space="preserve">Table </w:t>
      </w:r>
      <w:r w:rsidR="00560E33" w:rsidRPr="00FC0567">
        <w:rPr>
          <w:rFonts w:ascii="Times New Roman" w:hAnsi="Times New Roman" w:cs="Times New Roman"/>
          <w:b/>
          <w:color w:val="000000" w:themeColor="text1"/>
          <w:szCs w:val="20"/>
        </w:rPr>
        <w:t>3</w:t>
      </w:r>
      <w:r w:rsidR="00560E33"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 xml:space="preserve">. </w:t>
      </w:r>
      <w:r w:rsidR="00560E33" w:rsidRPr="00FC0567">
        <w:rPr>
          <w:rFonts w:ascii="Times New Roman" w:hAnsi="Times New Roman" w:cs="Times New Roman"/>
          <w:b/>
          <w:color w:val="000000" w:themeColor="text1"/>
          <w:szCs w:val="20"/>
        </w:rPr>
        <w:t>Uni and m</w:t>
      </w:r>
      <w:r w:rsidR="00560E33" w:rsidRPr="00FC0567">
        <w:rPr>
          <w:rFonts w:ascii="Times New Roman" w:hAnsi="Times New Roman" w:cs="Times New Roman" w:hint="eastAsia"/>
          <w:b/>
          <w:color w:val="000000" w:themeColor="text1"/>
          <w:szCs w:val="20"/>
        </w:rPr>
        <w:t>ultivariate analysis to predict all-cause mortality after HTx.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49"/>
        <w:gridCol w:w="1748"/>
        <w:gridCol w:w="1748"/>
        <w:gridCol w:w="1186"/>
        <w:gridCol w:w="562"/>
        <w:gridCol w:w="1214"/>
        <w:gridCol w:w="1778"/>
        <w:gridCol w:w="1775"/>
      </w:tblGrid>
      <w:tr w:rsidR="00FC0567" w:rsidRPr="00FC0567" w:rsidTr="00FC0567">
        <w:trPr>
          <w:trHeight w:val="283"/>
        </w:trPr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b/>
                <w:color w:val="000000" w:themeColor="text1"/>
              </w:rPr>
              <w:t>Preop RRT (-) subgroup (n= 471)</w:t>
            </w:r>
          </w:p>
        </w:tc>
        <w:tc>
          <w:tcPr>
            <w:tcW w:w="194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Univariate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Multivariate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variables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1.028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0.999-1.057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89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-1.0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Male gender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1.220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0.588-2.532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0.593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Diabetes mellitus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.481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0.740-2.964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0.268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Insulin dependent diabetes mellitus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1.474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2-4.806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0.520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ventilation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1.780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0.810-3.9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0.151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 mechanical cardiac support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1.888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0.941-3.788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0.074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B17663" w:rsidRPr="00FC0567" w:rsidRDefault="00B17663" w:rsidP="00B1766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eGFR </w:t>
            </w:r>
          </w:p>
        </w:tc>
        <w:tc>
          <w:tcPr>
            <w:tcW w:w="638" w:type="pct"/>
          </w:tcPr>
          <w:p w:rsidR="00B17663" w:rsidRPr="00FC0567" w:rsidRDefault="006E3270" w:rsidP="00B17663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0.995</w:t>
            </w:r>
          </w:p>
        </w:tc>
        <w:tc>
          <w:tcPr>
            <w:tcW w:w="638" w:type="pct"/>
          </w:tcPr>
          <w:p w:rsidR="00B17663" w:rsidRPr="00FC0567" w:rsidRDefault="006E3270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0.985-1.006</w:t>
            </w:r>
          </w:p>
        </w:tc>
        <w:tc>
          <w:tcPr>
            <w:tcW w:w="638" w:type="pct"/>
            <w:gridSpan w:val="2"/>
          </w:tcPr>
          <w:p w:rsidR="00B17663" w:rsidRPr="00FC0567" w:rsidRDefault="006E3270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0.365</w:t>
            </w:r>
          </w:p>
        </w:tc>
        <w:tc>
          <w:tcPr>
            <w:tcW w:w="443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B17663" w:rsidRPr="00FC0567" w:rsidRDefault="00B17663" w:rsidP="00B1766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creatinine </w:t>
            </w:r>
          </w:p>
        </w:tc>
        <w:tc>
          <w:tcPr>
            <w:tcW w:w="638" w:type="pct"/>
          </w:tcPr>
          <w:p w:rsidR="00B17663" w:rsidRPr="00FC0567" w:rsidRDefault="006E3270" w:rsidP="00B17663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0.736</w:t>
            </w:r>
          </w:p>
        </w:tc>
        <w:tc>
          <w:tcPr>
            <w:tcW w:w="638" w:type="pct"/>
          </w:tcPr>
          <w:p w:rsidR="00B17663" w:rsidRPr="00FC0567" w:rsidRDefault="006E3270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0.482-1.125</w:t>
            </w:r>
          </w:p>
        </w:tc>
        <w:tc>
          <w:tcPr>
            <w:tcW w:w="638" w:type="pct"/>
            <w:gridSpan w:val="2"/>
          </w:tcPr>
          <w:p w:rsidR="00B17663" w:rsidRPr="00FC0567" w:rsidRDefault="006E3270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0.157</w:t>
            </w:r>
          </w:p>
        </w:tc>
        <w:tc>
          <w:tcPr>
            <w:tcW w:w="443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B17663" w:rsidRPr="00FC0567" w:rsidRDefault="00B17663" w:rsidP="00B17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Early postoperative RRT 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3.93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1.966-7.869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&lt;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0.001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2.978</w:t>
            </w: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75-6.450</w:t>
            </w: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0.006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ESRD after HTx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4.723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666-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13.389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0.003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2.174</w:t>
            </w: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0.697-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.779</w:t>
            </w: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0.181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P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rimary graft failure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2.745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1.250-6.027</w:t>
            </w: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0.012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1.828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0.792-4.220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0.157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b/>
                <w:color w:val="000000" w:themeColor="text1"/>
              </w:rPr>
              <w:t>Preop RRT (+) subgroup (n= 87)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Univariate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Multivariate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variables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HR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95% CI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1.007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0.975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41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0.660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21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038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8E55C6" w:rsidRPr="00FC0567" w:rsidRDefault="008E55C6" w:rsidP="008E55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0.660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Male gender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1.027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0.434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2.429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0.952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Diabetes mellitus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1.425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0.669-3.036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0.358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Insulin dependent diabetes mellitus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1.356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0.513-3.583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0.539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D91404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</w:t>
            </w:r>
            <w:r w:rsidR="00560E33"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mechanical ventilation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2.085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0.841-5.168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0.113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D91404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Preoperative</w:t>
            </w:r>
            <w:r w:rsidR="00560E33"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mechanical cardiac support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1.606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0.648-3.980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0.307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6E3270" w:rsidRPr="00FC0567" w:rsidRDefault="006E3270" w:rsidP="006E327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eGFR </w:t>
            </w:r>
          </w:p>
        </w:tc>
        <w:tc>
          <w:tcPr>
            <w:tcW w:w="638" w:type="pct"/>
          </w:tcPr>
          <w:p w:rsidR="006E3270" w:rsidRPr="00FC0567" w:rsidRDefault="006E3270" w:rsidP="006E3270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0.996</w:t>
            </w:r>
          </w:p>
        </w:tc>
        <w:tc>
          <w:tcPr>
            <w:tcW w:w="638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0.989-1.004</w:t>
            </w:r>
          </w:p>
        </w:tc>
        <w:tc>
          <w:tcPr>
            <w:tcW w:w="638" w:type="pct"/>
            <w:gridSpan w:val="2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0.374</w:t>
            </w:r>
          </w:p>
        </w:tc>
        <w:tc>
          <w:tcPr>
            <w:tcW w:w="443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6E3270" w:rsidRPr="00FC0567" w:rsidRDefault="006E3270" w:rsidP="006E327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Preoperative creatinine </w:t>
            </w:r>
          </w:p>
        </w:tc>
        <w:tc>
          <w:tcPr>
            <w:tcW w:w="638" w:type="pct"/>
          </w:tcPr>
          <w:p w:rsidR="006E3270" w:rsidRPr="00FC0567" w:rsidRDefault="006E3270" w:rsidP="006E3270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1.041</w:t>
            </w:r>
          </w:p>
        </w:tc>
        <w:tc>
          <w:tcPr>
            <w:tcW w:w="638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0.889-2.079</w:t>
            </w:r>
          </w:p>
        </w:tc>
        <w:tc>
          <w:tcPr>
            <w:tcW w:w="638" w:type="pct"/>
            <w:gridSpan w:val="2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0.157</w:t>
            </w:r>
          </w:p>
        </w:tc>
        <w:tc>
          <w:tcPr>
            <w:tcW w:w="443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9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48" w:type="pct"/>
          </w:tcPr>
          <w:p w:rsidR="006E3270" w:rsidRPr="00FC0567" w:rsidRDefault="006E3270" w:rsidP="006E32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Early postoperative RRT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13.887</w:t>
            </w:r>
          </w:p>
        </w:tc>
        <w:tc>
          <w:tcPr>
            <w:tcW w:w="63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1.883-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62</w:t>
            </w: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.421</w:t>
            </w:r>
          </w:p>
        </w:tc>
        <w:tc>
          <w:tcPr>
            <w:tcW w:w="638" w:type="pct"/>
            <w:gridSpan w:val="2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0.010</w:t>
            </w:r>
          </w:p>
        </w:tc>
        <w:tc>
          <w:tcPr>
            <w:tcW w:w="443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10.340</w:t>
            </w:r>
          </w:p>
        </w:tc>
        <w:tc>
          <w:tcPr>
            <w:tcW w:w="649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1.380-77.482</w:t>
            </w:r>
          </w:p>
        </w:tc>
        <w:tc>
          <w:tcPr>
            <w:tcW w:w="648" w:type="pct"/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0.023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</w:tcPr>
          <w:p w:rsidR="00504A91" w:rsidRPr="00FC0567" w:rsidRDefault="00504A91" w:rsidP="00504A9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ESRD after HTx</w:t>
            </w:r>
          </w:p>
        </w:tc>
        <w:tc>
          <w:tcPr>
            <w:tcW w:w="638" w:type="pct"/>
          </w:tcPr>
          <w:p w:rsidR="00504A91" w:rsidRPr="00FC0567" w:rsidRDefault="00504A91" w:rsidP="00504A91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1.794</w:t>
            </w:r>
          </w:p>
        </w:tc>
        <w:tc>
          <w:tcPr>
            <w:tcW w:w="638" w:type="pct"/>
          </w:tcPr>
          <w:p w:rsidR="00504A91" w:rsidRPr="00FC0567" w:rsidRDefault="00504A91" w:rsidP="00504A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0.832-3.867</w:t>
            </w:r>
          </w:p>
        </w:tc>
        <w:tc>
          <w:tcPr>
            <w:tcW w:w="638" w:type="pct"/>
            <w:gridSpan w:val="2"/>
          </w:tcPr>
          <w:p w:rsidR="00504A91" w:rsidRPr="00FC0567" w:rsidRDefault="00504A91" w:rsidP="00504A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0.775</w:t>
            </w:r>
          </w:p>
        </w:tc>
        <w:tc>
          <w:tcPr>
            <w:tcW w:w="443" w:type="pct"/>
          </w:tcPr>
          <w:p w:rsidR="00504A91" w:rsidRPr="00FC0567" w:rsidRDefault="00504A91" w:rsidP="00504A91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1.800</w:t>
            </w:r>
          </w:p>
        </w:tc>
        <w:tc>
          <w:tcPr>
            <w:tcW w:w="649" w:type="pct"/>
          </w:tcPr>
          <w:p w:rsidR="00504A91" w:rsidRPr="00FC0567" w:rsidRDefault="00504A91" w:rsidP="00504A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0582-5.556</w:t>
            </w:r>
          </w:p>
        </w:tc>
        <w:tc>
          <w:tcPr>
            <w:tcW w:w="648" w:type="pct"/>
          </w:tcPr>
          <w:p w:rsidR="00504A91" w:rsidRPr="00FC0567" w:rsidRDefault="00504A91" w:rsidP="00504A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0.307</w:t>
            </w:r>
          </w:p>
        </w:tc>
      </w:tr>
      <w:tr w:rsidR="00FC0567" w:rsidRPr="00FC0567" w:rsidTr="00FC0567">
        <w:trPr>
          <w:trHeight w:val="283"/>
        </w:trPr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P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rimary graft failure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tabs>
                <w:tab w:val="left" w:pos="132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3.996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1.846-8.469</w:t>
            </w: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&lt;0.001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2.901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1.331-6.234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560E33" w:rsidRPr="00FC0567" w:rsidRDefault="00560E33" w:rsidP="008E1C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0567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0.00</w:t>
            </w:r>
            <w:r w:rsidRPr="00FC0567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</w:tr>
    </w:tbl>
    <w:p w:rsidR="00504A91" w:rsidRPr="00FC0567" w:rsidRDefault="00504A91" w:rsidP="00504A91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  <w:r w:rsidRPr="00FC0567">
        <w:rPr>
          <w:rFonts w:ascii="Times New Roman" w:hAnsi="Times New Roman" w:cs="Times New Roman" w:hint="eastAsia"/>
          <w:color w:val="000000" w:themeColor="text1"/>
          <w:szCs w:val="20"/>
        </w:rPr>
        <w:t>eGFR, estimated filtration rate; RRT, renal replacement therapy</w:t>
      </w:r>
      <w:r w:rsidRPr="00FC0567">
        <w:rPr>
          <w:rFonts w:ascii="Times New Roman" w:hAnsi="Times New Roman" w:cs="Times New Roman"/>
          <w:color w:val="000000" w:themeColor="text1"/>
          <w:szCs w:val="20"/>
        </w:rPr>
        <w:t>; ESRD, end-stage renal disease; HTx, heart transplant</w:t>
      </w:r>
    </w:p>
    <w:p w:rsidR="00926AD7" w:rsidRPr="00FC0567" w:rsidRDefault="00926AD7" w:rsidP="00504A91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Cs w:val="20"/>
        </w:rPr>
      </w:pPr>
      <w:bookmarkStart w:id="1" w:name="_GoBack"/>
      <w:bookmarkEnd w:id="1"/>
    </w:p>
    <w:sectPr w:rsidR="00926AD7" w:rsidRPr="00FC0567" w:rsidSect="00F45F70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0D" w:rsidRDefault="0059770D" w:rsidP="009568F8">
      <w:pPr>
        <w:spacing w:after="0" w:line="240" w:lineRule="auto"/>
      </w:pPr>
      <w:r>
        <w:separator/>
      </w:r>
    </w:p>
  </w:endnote>
  <w:endnote w:type="continuationSeparator" w:id="0">
    <w:p w:rsidR="0059770D" w:rsidRDefault="0059770D" w:rsidP="0095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0D" w:rsidRDefault="0059770D" w:rsidP="009568F8">
      <w:pPr>
        <w:spacing w:after="0" w:line="240" w:lineRule="auto"/>
      </w:pPr>
      <w:r>
        <w:separator/>
      </w:r>
    </w:p>
  </w:footnote>
  <w:footnote w:type="continuationSeparator" w:id="0">
    <w:p w:rsidR="0059770D" w:rsidRDefault="0059770D" w:rsidP="0095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678"/>
    <w:multiLevelType w:val="hybridMultilevel"/>
    <w:tmpl w:val="57082EBC"/>
    <w:lvl w:ilvl="0" w:tplc="CF7ED3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EE3140"/>
    <w:multiLevelType w:val="hybridMultilevel"/>
    <w:tmpl w:val="92E27272"/>
    <w:lvl w:ilvl="0" w:tplc="FF62FE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A47350"/>
    <w:multiLevelType w:val="hybridMultilevel"/>
    <w:tmpl w:val="9F807FC0"/>
    <w:lvl w:ilvl="0" w:tplc="CD084CC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F971B2C"/>
    <w:multiLevelType w:val="hybridMultilevel"/>
    <w:tmpl w:val="8CF04A0E"/>
    <w:lvl w:ilvl="0" w:tplc="46BCE89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D896BCB"/>
    <w:multiLevelType w:val="hybridMultilevel"/>
    <w:tmpl w:val="8CF04A0E"/>
    <w:lvl w:ilvl="0" w:tplc="46BCE8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E500AA4"/>
    <w:multiLevelType w:val="hybridMultilevel"/>
    <w:tmpl w:val="DC7634E6"/>
    <w:lvl w:ilvl="0" w:tplc="584E41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70"/>
    <w:rsid w:val="00076BA9"/>
    <w:rsid w:val="00101409"/>
    <w:rsid w:val="00111AC9"/>
    <w:rsid w:val="001B6668"/>
    <w:rsid w:val="00244D6E"/>
    <w:rsid w:val="002C707F"/>
    <w:rsid w:val="003D1BBA"/>
    <w:rsid w:val="00495B59"/>
    <w:rsid w:val="00504A91"/>
    <w:rsid w:val="00560E33"/>
    <w:rsid w:val="00592D6F"/>
    <w:rsid w:val="0059770D"/>
    <w:rsid w:val="005F40C2"/>
    <w:rsid w:val="006D076D"/>
    <w:rsid w:val="006E3270"/>
    <w:rsid w:val="0074094A"/>
    <w:rsid w:val="00845CC4"/>
    <w:rsid w:val="00872D90"/>
    <w:rsid w:val="008D550D"/>
    <w:rsid w:val="008E1C0A"/>
    <w:rsid w:val="008E55C6"/>
    <w:rsid w:val="00922DA4"/>
    <w:rsid w:val="00926AD7"/>
    <w:rsid w:val="0094057A"/>
    <w:rsid w:val="009568F8"/>
    <w:rsid w:val="009F7B88"/>
    <w:rsid w:val="00B17663"/>
    <w:rsid w:val="00C0394B"/>
    <w:rsid w:val="00D20CA9"/>
    <w:rsid w:val="00D91404"/>
    <w:rsid w:val="00F45F70"/>
    <w:rsid w:val="00F67669"/>
    <w:rsid w:val="00FC0567"/>
    <w:rsid w:val="00FD3C38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9CF85"/>
  <w15:chartTrackingRefBased/>
  <w15:docId w15:val="{A9374410-A300-4E89-BA3E-B81BC5C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66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568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568F8"/>
  </w:style>
  <w:style w:type="paragraph" w:styleId="a6">
    <w:name w:val="footer"/>
    <w:basedOn w:val="a"/>
    <w:link w:val="Char0"/>
    <w:uiPriority w:val="99"/>
    <w:unhideWhenUsed/>
    <w:rsid w:val="009568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946F-872C-47B7-9BF3-58EAA59C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Darae</dc:creator>
  <cp:keywords/>
  <dc:description/>
  <cp:lastModifiedBy>Kim Darae</cp:lastModifiedBy>
  <cp:revision>2</cp:revision>
  <dcterms:created xsi:type="dcterms:W3CDTF">2020-11-26T10:54:00Z</dcterms:created>
  <dcterms:modified xsi:type="dcterms:W3CDTF">2020-11-26T10:54:00Z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F:\0.manuscrip 2020\2020 KOTRY renal outcome\sup Table ver 1.1.docx</vt:lpwstr>
  </property>
</Properties>
</file>