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0762" w:rsidRDefault="00E20762" w:rsidP="00D52F74">
      <w:pPr>
        <w:autoSpaceDE w:val="0"/>
        <w:autoSpaceDN w:val="0"/>
        <w:adjustRightInd w:val="0"/>
        <w:spacing w:after="0" w:line="360" w:lineRule="auto"/>
        <w:jc w:val="center"/>
        <w:rPr>
          <w:rFonts w:ascii="Times New Roman" w:eastAsiaTheme="minorHAnsi" w:hAnsi="Times New Roman"/>
          <w:b/>
          <w:bCs/>
          <w:sz w:val="24"/>
          <w:szCs w:val="24"/>
        </w:rPr>
      </w:pPr>
      <w:r>
        <w:rPr>
          <w:rFonts w:ascii="Times New Roman" w:eastAsiaTheme="minorHAnsi" w:hAnsi="Times New Roman"/>
          <w:b/>
          <w:bCs/>
          <w:sz w:val="24"/>
          <w:szCs w:val="24"/>
        </w:rPr>
        <w:t>Supplementary Data</w:t>
      </w:r>
    </w:p>
    <w:p w:rsidR="00E20762" w:rsidRDefault="00E20762" w:rsidP="00763980">
      <w:pPr>
        <w:autoSpaceDE w:val="0"/>
        <w:autoSpaceDN w:val="0"/>
        <w:adjustRightInd w:val="0"/>
        <w:spacing w:after="0" w:line="360" w:lineRule="auto"/>
        <w:jc w:val="both"/>
        <w:rPr>
          <w:rFonts w:ascii="Times New Roman" w:eastAsiaTheme="minorHAnsi" w:hAnsi="Times New Roman"/>
          <w:b/>
          <w:bCs/>
          <w:sz w:val="24"/>
          <w:szCs w:val="24"/>
        </w:rPr>
      </w:pPr>
      <w:r>
        <w:rPr>
          <w:rFonts w:ascii="Times New Roman" w:eastAsiaTheme="minorHAnsi" w:hAnsi="Times New Roman"/>
          <w:b/>
          <w:bCs/>
          <w:sz w:val="24"/>
          <w:szCs w:val="24"/>
        </w:rPr>
        <w:t>Material and Method</w:t>
      </w:r>
    </w:p>
    <w:p w:rsidR="00763980" w:rsidRPr="00951749" w:rsidRDefault="00763980" w:rsidP="00763980">
      <w:pPr>
        <w:autoSpaceDE w:val="0"/>
        <w:autoSpaceDN w:val="0"/>
        <w:adjustRightInd w:val="0"/>
        <w:spacing w:after="0" w:line="360" w:lineRule="auto"/>
        <w:jc w:val="both"/>
        <w:rPr>
          <w:rFonts w:ascii="Times New Roman" w:eastAsiaTheme="minorHAnsi" w:hAnsi="Times New Roman"/>
          <w:b/>
          <w:bCs/>
          <w:sz w:val="24"/>
          <w:szCs w:val="24"/>
        </w:rPr>
      </w:pPr>
      <w:r w:rsidRPr="00951749">
        <w:rPr>
          <w:rFonts w:ascii="Times New Roman" w:eastAsiaTheme="minorHAnsi" w:hAnsi="Times New Roman"/>
          <w:b/>
          <w:bCs/>
          <w:sz w:val="24"/>
          <w:szCs w:val="24"/>
        </w:rPr>
        <w:t>Delineating Quality Target Product Profile (QTPP) and Critical Quality Attributes (CQAs) as per ICH Q8 (R2) guidelines for product development</w:t>
      </w:r>
    </w:p>
    <w:p w:rsidR="00763980" w:rsidRPr="00951749" w:rsidRDefault="00763980" w:rsidP="00763980">
      <w:pPr>
        <w:autoSpaceDE w:val="0"/>
        <w:autoSpaceDN w:val="0"/>
        <w:adjustRightInd w:val="0"/>
        <w:spacing w:after="0" w:line="360" w:lineRule="auto"/>
        <w:jc w:val="both"/>
        <w:rPr>
          <w:rFonts w:ascii="Times New Roman" w:eastAsiaTheme="minorHAnsi" w:hAnsi="Times New Roman"/>
          <w:sz w:val="24"/>
          <w:szCs w:val="24"/>
        </w:rPr>
      </w:pPr>
      <w:r w:rsidRPr="00951749">
        <w:rPr>
          <w:rFonts w:ascii="Times New Roman" w:eastAsiaTheme="minorHAnsi" w:hAnsi="Times New Roman"/>
          <w:sz w:val="24"/>
          <w:szCs w:val="24"/>
        </w:rPr>
        <w:t xml:space="preserve">As the preliminary step towards the QbD-based product development of supersaturable </w:t>
      </w:r>
      <w:r w:rsidR="00D75102">
        <w:rPr>
          <w:rFonts w:ascii="Times New Roman" w:eastAsiaTheme="minorHAnsi" w:hAnsi="Times New Roman"/>
          <w:sz w:val="24"/>
          <w:szCs w:val="24"/>
        </w:rPr>
        <w:t>preconcentrate isotropic mixture (SP-IM)</w:t>
      </w:r>
      <w:r w:rsidRPr="00951749">
        <w:rPr>
          <w:rFonts w:ascii="Times New Roman" w:eastAsiaTheme="minorHAnsi" w:hAnsi="Times New Roman"/>
          <w:sz w:val="24"/>
          <w:szCs w:val="24"/>
        </w:rPr>
        <w:t xml:space="preserve"> of ATZ, the quality target product profile (QTPP) was defined; enlisting all the desired characteristics of the ATZ loaded S</w:t>
      </w:r>
      <w:r w:rsidR="00D75102">
        <w:rPr>
          <w:rFonts w:ascii="Times New Roman" w:eastAsiaTheme="minorHAnsi" w:hAnsi="Times New Roman"/>
          <w:sz w:val="24"/>
          <w:szCs w:val="24"/>
        </w:rPr>
        <w:t>P</w:t>
      </w:r>
      <w:r w:rsidRPr="00951749">
        <w:rPr>
          <w:rFonts w:ascii="Times New Roman" w:eastAsiaTheme="minorHAnsi" w:hAnsi="Times New Roman"/>
          <w:sz w:val="24"/>
          <w:szCs w:val="24"/>
        </w:rPr>
        <w:t>-</w:t>
      </w:r>
      <w:r w:rsidR="00D75102">
        <w:rPr>
          <w:rFonts w:ascii="Times New Roman" w:eastAsiaTheme="minorHAnsi" w:hAnsi="Times New Roman"/>
          <w:sz w:val="24"/>
          <w:szCs w:val="24"/>
        </w:rPr>
        <w:t>IM</w:t>
      </w:r>
      <w:r w:rsidRPr="00951749">
        <w:rPr>
          <w:rFonts w:ascii="Times New Roman" w:eastAsiaTheme="minorHAnsi" w:hAnsi="Times New Roman"/>
          <w:sz w:val="24"/>
          <w:szCs w:val="24"/>
        </w:rPr>
        <w:t xml:space="preserve">. The prepared formulation will be capable of keeping the drug in dissolved state irrespective of any pH condition, augmenting the ATZ targeting to lymph and subsequently into the systemic circulation for achieving enhanced therapeutic efficacy </w:t>
      </w:r>
      <w:r w:rsidR="00DC37C4" w:rsidRPr="00951749">
        <w:rPr>
          <w:rFonts w:ascii="Times New Roman" w:eastAsiaTheme="minorHAnsi" w:hAnsi="Times New Roman"/>
          <w:sz w:val="24"/>
          <w:szCs w:val="24"/>
        </w:rPr>
        <w:fldChar w:fldCharType="begin"/>
      </w:r>
      <w:r w:rsidR="00F60EB8">
        <w:rPr>
          <w:rFonts w:ascii="Times New Roman" w:eastAsiaTheme="minorHAnsi" w:hAnsi="Times New Roman"/>
          <w:sz w:val="24"/>
          <w:szCs w:val="24"/>
        </w:rPr>
        <w:instrText xml:space="preserve"> ADDIN EN.CITE &lt;EndNote&gt;&lt;Cite&gt;&lt;Author&gt;Beg&lt;/Author&gt;&lt;Year&gt;2015&lt;/Year&gt;&lt;RecNum&gt;35&lt;/RecNum&gt;&lt;DisplayText&gt;[1, 2]&lt;/DisplayText&gt;&lt;record&gt;&lt;rec-number&gt;35&lt;/rec-number&gt;&lt;foreign-keys&gt;&lt;key app="EN" db-id="d2fpw0wedwsdaxe9rabxw0z4d55a0sze0xft"&gt;35&lt;/key&gt;&lt;/foreign-keys&gt;&lt;ref-type name="Journal Article"&gt;17&lt;/ref-type&gt;&lt;contributors&gt;&lt;authors&gt;&lt;author&gt;Beg, Sarwar&lt;/author&gt;&lt;author&gt;Sandhu, Premjeet Singh&lt;/author&gt;&lt;author&gt;Batra, Rattandeep Singh&lt;/author&gt;&lt;author&gt;Khurana, Rajneet Kaur&lt;/author&gt;&lt;author&gt;Singh, Bhupinder&lt;/author&gt;&lt;/authors&gt;&lt;/contributors&gt;&lt;titles&gt;&lt;title&gt;QbD-based systematic development of novel optimized solid self-nanoemulsifying drug delivery systems (SNEDDS) of lovastatin with enhanced biopharmaceutical performance&lt;/title&gt;&lt;secondary-title&gt;Drug delivery&lt;/secondary-title&gt;&lt;/titles&gt;&lt;periodical&gt;&lt;full-title&gt;Drug delivery&lt;/full-title&gt;&lt;/periodical&gt;&lt;pages&gt;765-784&lt;/pages&gt;&lt;volume&gt;22&lt;/volume&gt;&lt;number&gt;6&lt;/number&gt;&lt;dates&gt;&lt;year&gt;2015&lt;/year&gt;&lt;/dates&gt;&lt;isbn&gt;1071-7544&lt;/isbn&gt;&lt;urls&gt;&lt;/urls&gt;&lt;/record&gt;&lt;/Cite&gt;&lt;Cite&gt;&lt;Author&gt;Kuruba&lt;/Author&gt;&lt;Year&gt;2020&lt;/Year&gt;&lt;RecNum&gt;36&lt;/RecNum&gt;&lt;record&gt;&lt;rec-number&gt;36&lt;/rec-number&gt;&lt;foreign-keys&gt;&lt;key app="EN" db-id="d2fpw0wedwsdaxe9rabxw0z4d55a0sze0xft"&gt;36&lt;/key&gt;&lt;/foreign-keys&gt;&lt;ref-type name="Journal Article"&gt;17&lt;/ref-type&gt;&lt;contributors&gt;&lt;authors&gt;&lt;author&gt;Kuruba, Gowthami&lt;/author&gt;&lt;author&gt;Reddy, Kavitha Arenur Narayana&lt;/author&gt;&lt;author&gt;Poli, Samatha&lt;/author&gt;&lt;author&gt;Ramnarayanan, Chandramouli&lt;/author&gt;&lt;/authors&gt;&lt;/contributors&gt;&lt;titles&gt;&lt;title&gt;Quality by Design based development of Self Nano Emulsifying Drug Delivery System of Ritonavir&lt;/title&gt;&lt;secondary-title&gt;Journal of Young Pharmacists&lt;/secondary-title&gt;&lt;/titles&gt;&lt;periodical&gt;&lt;full-title&gt;Journal of Young Pharmacists&lt;/full-title&gt;&lt;/periodical&gt;&lt;pages&gt;215&lt;/pages&gt;&lt;volume&gt;12&lt;/volume&gt;&lt;number&gt;3&lt;/number&gt;&lt;dates&gt;&lt;year&gt;2020&lt;/year&gt;&lt;/dates&gt;&lt;isbn&gt;0975-1483&lt;/isbn&gt;&lt;urls&gt;&lt;/urls&gt;&lt;/record&gt;&lt;/Cite&gt;&lt;/EndNote&gt;</w:instrText>
      </w:r>
      <w:r w:rsidR="00DC37C4" w:rsidRPr="00951749">
        <w:rPr>
          <w:rFonts w:ascii="Times New Roman" w:eastAsiaTheme="minorHAnsi" w:hAnsi="Times New Roman"/>
          <w:sz w:val="24"/>
          <w:szCs w:val="24"/>
        </w:rPr>
        <w:fldChar w:fldCharType="separate"/>
      </w:r>
      <w:r w:rsidR="00F60EB8">
        <w:rPr>
          <w:rFonts w:ascii="Times New Roman" w:eastAsiaTheme="minorHAnsi" w:hAnsi="Times New Roman"/>
          <w:noProof/>
          <w:sz w:val="24"/>
          <w:szCs w:val="24"/>
        </w:rPr>
        <w:t>[</w:t>
      </w:r>
      <w:hyperlink w:anchor="_ENREF_1" w:tooltip="Beg, 2015 #35" w:history="1">
        <w:r w:rsidR="00F60EB8">
          <w:rPr>
            <w:rFonts w:ascii="Times New Roman" w:eastAsiaTheme="minorHAnsi" w:hAnsi="Times New Roman"/>
            <w:noProof/>
            <w:sz w:val="24"/>
            <w:szCs w:val="24"/>
          </w:rPr>
          <w:t>1</w:t>
        </w:r>
      </w:hyperlink>
      <w:r w:rsidR="00F60EB8">
        <w:rPr>
          <w:rFonts w:ascii="Times New Roman" w:eastAsiaTheme="minorHAnsi" w:hAnsi="Times New Roman"/>
          <w:noProof/>
          <w:sz w:val="24"/>
          <w:szCs w:val="24"/>
        </w:rPr>
        <w:t xml:space="preserve">, </w:t>
      </w:r>
      <w:hyperlink w:anchor="_ENREF_2" w:tooltip="Kuruba, 2020 #36" w:history="1">
        <w:r w:rsidR="00F60EB8">
          <w:rPr>
            <w:rFonts w:ascii="Times New Roman" w:eastAsiaTheme="minorHAnsi" w:hAnsi="Times New Roman"/>
            <w:noProof/>
            <w:sz w:val="24"/>
            <w:szCs w:val="24"/>
          </w:rPr>
          <w:t>2</w:t>
        </w:r>
      </w:hyperlink>
      <w:r w:rsidR="00F60EB8">
        <w:rPr>
          <w:rFonts w:ascii="Times New Roman" w:eastAsiaTheme="minorHAnsi" w:hAnsi="Times New Roman"/>
          <w:noProof/>
          <w:sz w:val="24"/>
          <w:szCs w:val="24"/>
        </w:rPr>
        <w:t>]</w:t>
      </w:r>
      <w:r w:rsidR="00DC37C4" w:rsidRPr="00951749">
        <w:rPr>
          <w:rFonts w:ascii="Times New Roman" w:eastAsiaTheme="minorHAnsi" w:hAnsi="Times New Roman"/>
          <w:sz w:val="24"/>
          <w:szCs w:val="24"/>
        </w:rPr>
        <w:fldChar w:fldCharType="end"/>
      </w:r>
      <w:r w:rsidRPr="00951749">
        <w:rPr>
          <w:rFonts w:ascii="Times New Roman" w:eastAsiaTheme="minorHAnsi" w:hAnsi="Times New Roman"/>
          <w:sz w:val="24"/>
          <w:szCs w:val="24"/>
        </w:rPr>
        <w:t xml:space="preserve">. Various key elements of QTPP, </w:t>
      </w:r>
      <w:r w:rsidRPr="00951749">
        <w:rPr>
          <w:rFonts w:ascii="Times New Roman" w:eastAsiaTheme="minorHAnsi" w:hAnsi="Times New Roman"/>
          <w:i/>
          <w:iCs/>
          <w:sz w:val="24"/>
          <w:szCs w:val="24"/>
        </w:rPr>
        <w:t xml:space="preserve">viz. </w:t>
      </w:r>
      <w:r w:rsidRPr="00951749">
        <w:rPr>
          <w:rFonts w:ascii="Times New Roman" w:eastAsiaTheme="minorHAnsi" w:hAnsi="Times New Roman"/>
          <w:sz w:val="24"/>
          <w:szCs w:val="24"/>
        </w:rPr>
        <w:t xml:space="preserve">dosage type and strength, its administration route, release profile, pharmacokinetics and stability requirements, are enlisted in </w:t>
      </w:r>
      <w:r w:rsidR="003031A8">
        <w:rPr>
          <w:rFonts w:ascii="Times New Roman" w:eastAsiaTheme="minorHAnsi" w:hAnsi="Times New Roman"/>
          <w:bCs/>
          <w:sz w:val="24"/>
          <w:szCs w:val="24"/>
        </w:rPr>
        <w:t>Table S1</w:t>
      </w:r>
      <w:r w:rsidRPr="00951749">
        <w:rPr>
          <w:rFonts w:ascii="Times New Roman" w:eastAsiaTheme="minorHAnsi" w:hAnsi="Times New Roman"/>
          <w:sz w:val="24"/>
          <w:szCs w:val="24"/>
        </w:rPr>
        <w:t xml:space="preserve">. </w:t>
      </w:r>
      <w:r w:rsidRPr="00951749">
        <w:rPr>
          <w:rFonts w:ascii="Times New Roman" w:eastAsiaTheme="minorHAnsi" w:hAnsi="Times New Roman"/>
          <w:bCs/>
          <w:sz w:val="24"/>
          <w:szCs w:val="24"/>
        </w:rPr>
        <w:t xml:space="preserve">Table </w:t>
      </w:r>
      <w:r w:rsidR="003031A8">
        <w:rPr>
          <w:rFonts w:ascii="Times New Roman" w:eastAsiaTheme="minorHAnsi" w:hAnsi="Times New Roman"/>
          <w:bCs/>
          <w:sz w:val="24"/>
          <w:szCs w:val="24"/>
        </w:rPr>
        <w:t>S</w:t>
      </w:r>
      <w:r w:rsidRPr="00951749">
        <w:rPr>
          <w:rFonts w:ascii="Times New Roman" w:eastAsiaTheme="minorHAnsi" w:hAnsi="Times New Roman"/>
          <w:bCs/>
          <w:sz w:val="24"/>
          <w:szCs w:val="24"/>
        </w:rPr>
        <w:t>2</w:t>
      </w:r>
      <w:r w:rsidR="003031A8">
        <w:rPr>
          <w:rFonts w:ascii="Times New Roman" w:eastAsiaTheme="minorHAnsi" w:hAnsi="Times New Roman"/>
          <w:bCs/>
          <w:sz w:val="24"/>
          <w:szCs w:val="24"/>
        </w:rPr>
        <w:t xml:space="preserve"> </w:t>
      </w:r>
      <w:r w:rsidRPr="00951749">
        <w:rPr>
          <w:rFonts w:ascii="Times New Roman" w:eastAsiaTheme="minorHAnsi" w:hAnsi="Times New Roman"/>
          <w:sz w:val="24"/>
          <w:szCs w:val="24"/>
        </w:rPr>
        <w:t>enumerates the various CQAs and the degree of their plausible influence on varied biopharmaceutical attrib</w:t>
      </w:r>
      <w:r w:rsidR="003031A8">
        <w:rPr>
          <w:rFonts w:ascii="Times New Roman" w:eastAsiaTheme="minorHAnsi" w:hAnsi="Times New Roman"/>
          <w:sz w:val="24"/>
          <w:szCs w:val="24"/>
        </w:rPr>
        <w:t xml:space="preserve">utes of the proposed </w:t>
      </w:r>
      <w:r w:rsidR="00D75102">
        <w:rPr>
          <w:rFonts w:ascii="Times New Roman" w:eastAsiaTheme="minorHAnsi" w:hAnsi="Times New Roman"/>
          <w:sz w:val="24"/>
          <w:szCs w:val="24"/>
        </w:rPr>
        <w:t>ATZ-SP-IM</w:t>
      </w:r>
      <w:r w:rsidRPr="00951749">
        <w:rPr>
          <w:rFonts w:ascii="Times New Roman" w:eastAsiaTheme="minorHAnsi" w:hAnsi="Times New Roman"/>
          <w:sz w:val="24"/>
          <w:szCs w:val="24"/>
        </w:rPr>
        <w:t>.</w:t>
      </w:r>
    </w:p>
    <w:p w:rsidR="00763980" w:rsidRPr="00951749" w:rsidRDefault="00763980" w:rsidP="00763980">
      <w:pPr>
        <w:autoSpaceDE w:val="0"/>
        <w:autoSpaceDN w:val="0"/>
        <w:adjustRightInd w:val="0"/>
        <w:spacing w:after="0" w:line="360" w:lineRule="auto"/>
        <w:jc w:val="both"/>
        <w:rPr>
          <w:rFonts w:ascii="Times New Roman" w:eastAsiaTheme="minorHAnsi" w:hAnsi="Times New Roman"/>
          <w:sz w:val="24"/>
          <w:szCs w:val="24"/>
        </w:rPr>
      </w:pPr>
      <w:r w:rsidRPr="00951749">
        <w:rPr>
          <w:rFonts w:ascii="Times New Roman" w:eastAsiaTheme="minorHAnsi" w:hAnsi="Times New Roman"/>
          <w:sz w:val="24"/>
          <w:szCs w:val="24"/>
        </w:rPr>
        <w:t xml:space="preserve">An Ishikawa fishbone diagram was constructed by enlisting all the possible factors and delineating their likely influence on the drug product (Fig. </w:t>
      </w:r>
      <w:r w:rsidR="00460DDD">
        <w:rPr>
          <w:rFonts w:ascii="Times New Roman" w:eastAsiaTheme="minorHAnsi" w:hAnsi="Times New Roman"/>
          <w:sz w:val="24"/>
          <w:szCs w:val="24"/>
        </w:rPr>
        <w:t>S</w:t>
      </w:r>
      <w:r w:rsidRPr="00951749">
        <w:rPr>
          <w:rFonts w:ascii="Times New Roman" w:eastAsiaTheme="minorHAnsi" w:hAnsi="Times New Roman"/>
          <w:sz w:val="24"/>
          <w:szCs w:val="24"/>
        </w:rPr>
        <w:t>1</w:t>
      </w:r>
      <w:r w:rsidR="00460DDD">
        <w:rPr>
          <w:rFonts w:ascii="Times New Roman" w:eastAsiaTheme="minorHAnsi" w:hAnsi="Times New Roman"/>
          <w:sz w:val="24"/>
          <w:szCs w:val="24"/>
        </w:rPr>
        <w:t>)</w:t>
      </w:r>
      <w:r w:rsidRPr="00951749">
        <w:rPr>
          <w:rFonts w:ascii="Times New Roman" w:eastAsiaTheme="minorHAnsi" w:hAnsi="Times New Roman"/>
          <w:sz w:val="24"/>
          <w:szCs w:val="24"/>
        </w:rPr>
        <w:t xml:space="preserve">. Further, the risks associated with each of the factors involved were best evaluated using Failure Mode Effect Analysis (FMEA) by assigning these with varying levels of risk, from low, medium to high (Table </w:t>
      </w:r>
      <w:r w:rsidR="00902FB0">
        <w:rPr>
          <w:rFonts w:ascii="Times New Roman" w:eastAsiaTheme="minorHAnsi" w:hAnsi="Times New Roman"/>
          <w:sz w:val="24"/>
          <w:szCs w:val="24"/>
        </w:rPr>
        <w:t>S</w:t>
      </w:r>
      <w:r w:rsidRPr="00951749">
        <w:rPr>
          <w:rFonts w:ascii="Times New Roman" w:eastAsiaTheme="minorHAnsi" w:hAnsi="Times New Roman"/>
          <w:sz w:val="24"/>
          <w:szCs w:val="24"/>
        </w:rPr>
        <w:t xml:space="preserve">3) </w:t>
      </w:r>
      <w:r w:rsidR="00DC37C4" w:rsidRPr="00951749">
        <w:rPr>
          <w:rFonts w:ascii="Times New Roman" w:eastAsiaTheme="minorHAnsi" w:hAnsi="Times New Roman"/>
          <w:sz w:val="24"/>
          <w:szCs w:val="24"/>
        </w:rPr>
        <w:fldChar w:fldCharType="begin"/>
      </w:r>
      <w:r w:rsidR="00F60EB8">
        <w:rPr>
          <w:rFonts w:ascii="Times New Roman" w:eastAsiaTheme="minorHAnsi" w:hAnsi="Times New Roman"/>
          <w:sz w:val="24"/>
          <w:szCs w:val="24"/>
        </w:rPr>
        <w:instrText xml:space="preserve"> ADDIN EN.CITE &lt;EndNote&gt;&lt;Cite&gt;&lt;Author&gt;Garg&lt;/Author&gt;&lt;Year&gt;2018&lt;/Year&gt;&lt;RecNum&gt;37&lt;/RecNum&gt;&lt;DisplayText&gt;[3, 4]&lt;/DisplayText&gt;&lt;record&gt;&lt;rec-number&gt;37&lt;/rec-number&gt;&lt;foreign-keys&gt;&lt;key app="EN" db-id="d2fpw0wedwsdaxe9rabxw0z4d55a0sze0xft"&gt;37&lt;/key&gt;&lt;/foreign-keys&gt;&lt;ref-type name="Journal Article"&gt;17&lt;/ref-type&gt;&lt;contributors&gt;&lt;authors&gt;&lt;author&gt;Garg, Babita&lt;/author&gt;&lt;author&gt;Beg, Sarwar&lt;/author&gt;&lt;author&gt;Kaur, Ranjot&lt;/author&gt;&lt;author&gt;Kumar, Rajendra&lt;/author&gt;&lt;author&gt;Katare, Om Prakash&lt;/author&gt;&lt;author&gt;Singh, Bhupinder&lt;/author&gt;&lt;/authors&gt;&lt;/contributors&gt;&lt;titles&gt;&lt;title&gt;Long-chain triglycerides-based self-nanoemulsifying oily formulations (SNEOFs) of darunavir with improved lymphatic targeting potential&lt;/title&gt;&lt;secondary-title&gt;Journal of drug targeting&lt;/secondary-title&gt;&lt;/titles&gt;&lt;periodical&gt;&lt;full-title&gt;Journal of drug targeting&lt;/full-title&gt;&lt;/periodical&gt;&lt;pages&gt;252-266&lt;/pages&gt;&lt;volume&gt;26&lt;/volume&gt;&lt;number&gt;3&lt;/number&gt;&lt;dates&gt;&lt;year&gt;2018&lt;/year&gt;&lt;/dates&gt;&lt;isbn&gt;1061-186X&lt;/isbn&gt;&lt;urls&gt;&lt;/urls&gt;&lt;/record&gt;&lt;/Cite&gt;&lt;Cite&gt;&lt;Author&gt;Kamboj&lt;/Author&gt;&lt;Year&gt;2019&lt;/Year&gt;&lt;RecNum&gt;38&lt;/RecNum&gt;&lt;record&gt;&lt;rec-number&gt;38&lt;/rec-number&gt;&lt;foreign-keys&gt;&lt;key app="EN" db-id="d2fpw0wedwsdaxe9rabxw0z4d55a0sze0xft"&gt;38&lt;/key&gt;&lt;/foreign-keys&gt;&lt;ref-type name="Journal Article"&gt;17&lt;/ref-type&gt;&lt;contributors&gt;&lt;authors&gt;&lt;author&gt;Kamboj, Sunil&lt;/author&gt;&lt;author&gt;Sethi, Sheshank&lt;/author&gt;&lt;author&gt;Rana, Vikas&lt;/author&gt;&lt;/authors&gt;&lt;/contributors&gt;&lt;titles&gt;&lt;title&gt;A spray dried nelfinavir mesylate particles for enhanced oral bioavailability: systematic formulation optimization and in-vivo performance&lt;/title&gt;&lt;secondary-title&gt;Colloids and Surfaces B: Biointerfaces&lt;/secondary-title&gt;&lt;/titles&gt;&lt;periodical&gt;&lt;full-title&gt;Colloids and Surfaces B: Biointerfaces&lt;/full-title&gt;&lt;/periodical&gt;&lt;pages&gt;288-299&lt;/pages&gt;&lt;volume&gt;176&lt;/volume&gt;&lt;dates&gt;&lt;year&gt;2019&lt;/year&gt;&lt;/dates&gt;&lt;isbn&gt;0927-7765&lt;/isbn&gt;&lt;urls&gt;&lt;/urls&gt;&lt;/record&gt;&lt;/Cite&gt;&lt;/EndNote&gt;</w:instrText>
      </w:r>
      <w:r w:rsidR="00DC37C4" w:rsidRPr="00951749">
        <w:rPr>
          <w:rFonts w:ascii="Times New Roman" w:eastAsiaTheme="minorHAnsi" w:hAnsi="Times New Roman"/>
          <w:sz w:val="24"/>
          <w:szCs w:val="24"/>
        </w:rPr>
        <w:fldChar w:fldCharType="separate"/>
      </w:r>
      <w:r w:rsidR="00F60EB8">
        <w:rPr>
          <w:rFonts w:ascii="Times New Roman" w:eastAsiaTheme="minorHAnsi" w:hAnsi="Times New Roman"/>
          <w:noProof/>
          <w:sz w:val="24"/>
          <w:szCs w:val="24"/>
        </w:rPr>
        <w:t>[</w:t>
      </w:r>
      <w:hyperlink w:anchor="_ENREF_3" w:tooltip="Garg, 2018 #37" w:history="1">
        <w:r w:rsidR="00F60EB8">
          <w:rPr>
            <w:rFonts w:ascii="Times New Roman" w:eastAsiaTheme="minorHAnsi" w:hAnsi="Times New Roman"/>
            <w:noProof/>
            <w:sz w:val="24"/>
            <w:szCs w:val="24"/>
          </w:rPr>
          <w:t>3</w:t>
        </w:r>
      </w:hyperlink>
      <w:r w:rsidR="00F60EB8">
        <w:rPr>
          <w:rFonts w:ascii="Times New Roman" w:eastAsiaTheme="minorHAnsi" w:hAnsi="Times New Roman"/>
          <w:noProof/>
          <w:sz w:val="24"/>
          <w:szCs w:val="24"/>
        </w:rPr>
        <w:t xml:space="preserve">, </w:t>
      </w:r>
      <w:hyperlink w:anchor="_ENREF_4" w:tooltip="Kamboj, 2019 #38" w:history="1">
        <w:r w:rsidR="00F60EB8">
          <w:rPr>
            <w:rFonts w:ascii="Times New Roman" w:eastAsiaTheme="minorHAnsi" w:hAnsi="Times New Roman"/>
            <w:noProof/>
            <w:sz w:val="24"/>
            <w:szCs w:val="24"/>
          </w:rPr>
          <w:t>4</w:t>
        </w:r>
      </w:hyperlink>
      <w:r w:rsidR="00F60EB8">
        <w:rPr>
          <w:rFonts w:ascii="Times New Roman" w:eastAsiaTheme="minorHAnsi" w:hAnsi="Times New Roman"/>
          <w:noProof/>
          <w:sz w:val="24"/>
          <w:szCs w:val="24"/>
        </w:rPr>
        <w:t>]</w:t>
      </w:r>
      <w:r w:rsidR="00DC37C4" w:rsidRPr="00951749">
        <w:rPr>
          <w:rFonts w:ascii="Times New Roman" w:eastAsiaTheme="minorHAnsi" w:hAnsi="Times New Roman"/>
          <w:sz w:val="24"/>
          <w:szCs w:val="24"/>
        </w:rPr>
        <w:fldChar w:fldCharType="end"/>
      </w:r>
      <w:r w:rsidRPr="00951749">
        <w:rPr>
          <w:rFonts w:ascii="Times New Roman" w:eastAsiaTheme="minorHAnsi" w:hAnsi="Times New Roman"/>
          <w:sz w:val="24"/>
          <w:szCs w:val="24"/>
        </w:rPr>
        <w:t>.</w:t>
      </w:r>
    </w:p>
    <w:p w:rsidR="00763980" w:rsidRPr="00951749" w:rsidRDefault="00763980" w:rsidP="00763980">
      <w:pPr>
        <w:autoSpaceDE w:val="0"/>
        <w:autoSpaceDN w:val="0"/>
        <w:adjustRightInd w:val="0"/>
        <w:spacing w:after="0" w:line="360" w:lineRule="auto"/>
        <w:jc w:val="both"/>
        <w:rPr>
          <w:rFonts w:ascii="Times New Roman" w:eastAsiaTheme="minorHAnsi" w:hAnsi="Times New Roman"/>
          <w:b/>
          <w:bCs/>
          <w:i/>
          <w:iCs/>
          <w:sz w:val="24"/>
          <w:szCs w:val="24"/>
        </w:rPr>
      </w:pPr>
      <w:r w:rsidRPr="00951749">
        <w:rPr>
          <w:rFonts w:ascii="Times New Roman" w:eastAsiaTheme="minorHAnsi" w:hAnsi="Times New Roman"/>
          <w:b/>
          <w:bCs/>
          <w:i/>
          <w:iCs/>
          <w:sz w:val="24"/>
          <w:szCs w:val="24"/>
        </w:rPr>
        <w:t>Factor screening studies</w:t>
      </w:r>
    </w:p>
    <w:p w:rsidR="00763980" w:rsidRPr="00951749" w:rsidRDefault="00763980" w:rsidP="00763980">
      <w:pPr>
        <w:autoSpaceDE w:val="0"/>
        <w:autoSpaceDN w:val="0"/>
        <w:adjustRightInd w:val="0"/>
        <w:spacing w:after="0" w:line="360" w:lineRule="auto"/>
        <w:jc w:val="both"/>
        <w:rPr>
          <w:rFonts w:ascii="Times New Roman" w:eastAsiaTheme="minorHAnsi" w:hAnsi="Times New Roman"/>
          <w:sz w:val="24"/>
          <w:szCs w:val="24"/>
        </w:rPr>
      </w:pPr>
      <w:r w:rsidRPr="00951749">
        <w:rPr>
          <w:rFonts w:ascii="Times New Roman" w:eastAsiaTheme="minorHAnsi" w:hAnsi="Times New Roman"/>
          <w:sz w:val="24"/>
          <w:szCs w:val="24"/>
        </w:rPr>
        <w:t xml:space="preserve">Screening design helps in more precise identification of the critical material attributes MAs and PPs with the help of statistical analysis. Based on the high risk factors identified from the FMEA, factor screening study was done for optimizing the process parameter (temperature condition (60 or 80˚C)) required for solubilizing ATZ into </w:t>
      </w:r>
      <w:r w:rsidR="00D75102">
        <w:rPr>
          <w:rFonts w:ascii="Times New Roman" w:eastAsiaTheme="minorHAnsi" w:hAnsi="Times New Roman"/>
          <w:sz w:val="24"/>
          <w:szCs w:val="24"/>
        </w:rPr>
        <w:t>isotropic mixture (IM)</w:t>
      </w:r>
      <w:r w:rsidRPr="00951749">
        <w:rPr>
          <w:rFonts w:ascii="Times New Roman" w:eastAsiaTheme="minorHAnsi" w:hAnsi="Times New Roman"/>
          <w:sz w:val="24"/>
          <w:szCs w:val="24"/>
        </w:rPr>
        <w:t xml:space="preserve"> by utilizing triangular prism design. </w:t>
      </w:r>
      <w:r w:rsidRPr="00951749">
        <w:rPr>
          <w:rFonts w:ascii="Times New Roman" w:eastAsiaTheme="minorHAnsi" w:hAnsi="Times New Roman"/>
          <w:bCs/>
          <w:sz w:val="24"/>
          <w:szCs w:val="24"/>
        </w:rPr>
        <w:t xml:space="preserve">Table </w:t>
      </w:r>
      <w:r w:rsidR="00902FB0">
        <w:rPr>
          <w:rFonts w:ascii="Times New Roman" w:eastAsiaTheme="minorHAnsi" w:hAnsi="Times New Roman"/>
          <w:bCs/>
          <w:sz w:val="24"/>
          <w:szCs w:val="24"/>
        </w:rPr>
        <w:t>S</w:t>
      </w:r>
      <w:r w:rsidRPr="00951749">
        <w:rPr>
          <w:rFonts w:ascii="Times New Roman" w:eastAsiaTheme="minorHAnsi" w:hAnsi="Times New Roman"/>
          <w:bCs/>
          <w:sz w:val="24"/>
          <w:szCs w:val="24"/>
        </w:rPr>
        <w:t>4</w:t>
      </w:r>
      <w:r w:rsidRPr="00951749">
        <w:rPr>
          <w:rFonts w:ascii="Times New Roman" w:eastAsiaTheme="minorHAnsi" w:hAnsi="Times New Roman"/>
          <w:b/>
          <w:bCs/>
          <w:sz w:val="24"/>
          <w:szCs w:val="24"/>
        </w:rPr>
        <w:t xml:space="preserve"> </w:t>
      </w:r>
      <w:r w:rsidRPr="00951749">
        <w:rPr>
          <w:rFonts w:ascii="Times New Roman" w:eastAsiaTheme="minorHAnsi" w:hAnsi="Times New Roman"/>
          <w:sz w:val="24"/>
          <w:szCs w:val="24"/>
        </w:rPr>
        <w:t>summarizes the design matrix constructed as per the 3 numeric variables i.e. Oil (X</w:t>
      </w:r>
      <w:r w:rsidRPr="00951749">
        <w:rPr>
          <w:rFonts w:ascii="Times New Roman" w:eastAsiaTheme="minorHAnsi" w:hAnsi="Times New Roman"/>
          <w:sz w:val="24"/>
          <w:szCs w:val="24"/>
          <w:vertAlign w:val="subscript"/>
        </w:rPr>
        <w:t>1</w:t>
      </w:r>
      <w:r w:rsidRPr="00951749">
        <w:rPr>
          <w:rFonts w:ascii="Times New Roman" w:eastAsiaTheme="minorHAnsi" w:hAnsi="Times New Roman"/>
          <w:sz w:val="24"/>
          <w:szCs w:val="24"/>
        </w:rPr>
        <w:t>) (</w:t>
      </w:r>
      <w:r w:rsidR="00F11FA5">
        <w:rPr>
          <w:rFonts w:ascii="Times New Roman" w:eastAsiaTheme="minorHAnsi" w:hAnsi="Times New Roman"/>
          <w:sz w:val="24"/>
          <w:szCs w:val="24"/>
        </w:rPr>
        <w:t>0.1</w:t>
      </w:r>
      <w:r w:rsidRPr="00951749">
        <w:rPr>
          <w:rFonts w:ascii="Times New Roman" w:eastAsiaTheme="minorHAnsi" w:hAnsi="Times New Roman"/>
          <w:sz w:val="24"/>
          <w:szCs w:val="24"/>
        </w:rPr>
        <w:t>-</w:t>
      </w:r>
      <w:r w:rsidR="00F11FA5">
        <w:rPr>
          <w:rFonts w:ascii="Times New Roman" w:eastAsiaTheme="minorHAnsi" w:hAnsi="Times New Roman"/>
          <w:sz w:val="24"/>
          <w:szCs w:val="24"/>
        </w:rPr>
        <w:t>0.</w:t>
      </w:r>
      <w:r w:rsidRPr="00951749">
        <w:rPr>
          <w:rFonts w:ascii="Times New Roman" w:eastAsiaTheme="minorHAnsi" w:hAnsi="Times New Roman"/>
          <w:sz w:val="24"/>
          <w:szCs w:val="24"/>
        </w:rPr>
        <w:t>2</w:t>
      </w:r>
      <w:r w:rsidR="00F11FA5">
        <w:rPr>
          <w:rFonts w:ascii="Times New Roman" w:eastAsiaTheme="minorHAnsi" w:hAnsi="Times New Roman"/>
          <w:sz w:val="24"/>
          <w:szCs w:val="24"/>
        </w:rPr>
        <w:t xml:space="preserve"> g</w:t>
      </w:r>
      <w:r w:rsidRPr="00951749">
        <w:rPr>
          <w:rFonts w:ascii="Times New Roman" w:eastAsiaTheme="minorHAnsi" w:hAnsi="Times New Roman"/>
          <w:sz w:val="24"/>
          <w:szCs w:val="24"/>
        </w:rPr>
        <w:t>), Surfactant (X</w:t>
      </w:r>
      <w:r w:rsidRPr="00951749">
        <w:rPr>
          <w:rFonts w:ascii="Times New Roman" w:eastAsiaTheme="minorHAnsi" w:hAnsi="Times New Roman"/>
          <w:sz w:val="24"/>
          <w:szCs w:val="24"/>
          <w:vertAlign w:val="subscript"/>
        </w:rPr>
        <w:t>2</w:t>
      </w:r>
      <w:r w:rsidRPr="00951749">
        <w:rPr>
          <w:rFonts w:ascii="Times New Roman" w:eastAsiaTheme="minorHAnsi" w:hAnsi="Times New Roman"/>
          <w:sz w:val="24"/>
          <w:szCs w:val="24"/>
        </w:rPr>
        <w:t>) (</w:t>
      </w:r>
      <w:r w:rsidR="00F11FA5">
        <w:rPr>
          <w:rFonts w:ascii="Times New Roman" w:eastAsiaTheme="minorHAnsi" w:hAnsi="Times New Roman"/>
          <w:sz w:val="24"/>
          <w:szCs w:val="24"/>
        </w:rPr>
        <w:t>0.5</w:t>
      </w:r>
      <w:r w:rsidRPr="00951749">
        <w:rPr>
          <w:rFonts w:ascii="Times New Roman" w:eastAsiaTheme="minorHAnsi" w:hAnsi="Times New Roman"/>
          <w:sz w:val="24"/>
          <w:szCs w:val="24"/>
        </w:rPr>
        <w:t>-</w:t>
      </w:r>
      <w:r w:rsidR="00F11FA5">
        <w:rPr>
          <w:rFonts w:ascii="Times New Roman" w:eastAsiaTheme="minorHAnsi" w:hAnsi="Times New Roman"/>
          <w:sz w:val="24"/>
          <w:szCs w:val="24"/>
        </w:rPr>
        <w:t>0.6 g</w:t>
      </w:r>
      <w:r w:rsidRPr="00951749">
        <w:rPr>
          <w:rFonts w:ascii="Times New Roman" w:eastAsiaTheme="minorHAnsi" w:hAnsi="Times New Roman"/>
          <w:sz w:val="24"/>
          <w:szCs w:val="24"/>
        </w:rPr>
        <w:t>) and Co-Surfactant (X</w:t>
      </w:r>
      <w:r w:rsidRPr="00951749">
        <w:rPr>
          <w:rFonts w:ascii="Times New Roman" w:eastAsiaTheme="minorHAnsi" w:hAnsi="Times New Roman"/>
          <w:sz w:val="24"/>
          <w:szCs w:val="24"/>
          <w:vertAlign w:val="subscript"/>
        </w:rPr>
        <w:t>3</w:t>
      </w:r>
      <w:r w:rsidRPr="00951749">
        <w:rPr>
          <w:rFonts w:ascii="Times New Roman" w:eastAsiaTheme="minorHAnsi" w:hAnsi="Times New Roman"/>
          <w:sz w:val="24"/>
          <w:szCs w:val="24"/>
        </w:rPr>
        <w:t>) (</w:t>
      </w:r>
      <w:r w:rsidR="00F11FA5">
        <w:rPr>
          <w:rFonts w:ascii="Times New Roman" w:eastAsiaTheme="minorHAnsi" w:hAnsi="Times New Roman"/>
          <w:sz w:val="24"/>
          <w:szCs w:val="24"/>
        </w:rPr>
        <w:t>0.3</w:t>
      </w:r>
      <w:r w:rsidRPr="00951749">
        <w:rPr>
          <w:rFonts w:ascii="Times New Roman" w:eastAsiaTheme="minorHAnsi" w:hAnsi="Times New Roman"/>
          <w:sz w:val="24"/>
          <w:szCs w:val="24"/>
        </w:rPr>
        <w:t>-</w:t>
      </w:r>
      <w:r w:rsidR="00F11FA5">
        <w:rPr>
          <w:rFonts w:ascii="Times New Roman" w:eastAsiaTheme="minorHAnsi" w:hAnsi="Times New Roman"/>
          <w:sz w:val="24"/>
          <w:szCs w:val="24"/>
        </w:rPr>
        <w:t>0.</w:t>
      </w:r>
      <w:r w:rsidRPr="00951749">
        <w:rPr>
          <w:rFonts w:ascii="Times New Roman" w:eastAsiaTheme="minorHAnsi" w:hAnsi="Times New Roman"/>
          <w:sz w:val="24"/>
          <w:szCs w:val="24"/>
        </w:rPr>
        <w:t>4</w:t>
      </w:r>
      <w:r w:rsidR="00F11FA5">
        <w:rPr>
          <w:rFonts w:ascii="Times New Roman" w:eastAsiaTheme="minorHAnsi" w:hAnsi="Times New Roman"/>
          <w:sz w:val="24"/>
          <w:szCs w:val="24"/>
        </w:rPr>
        <w:t xml:space="preserve"> g</w:t>
      </w:r>
      <w:r w:rsidRPr="00951749">
        <w:rPr>
          <w:rFonts w:ascii="Times New Roman" w:eastAsiaTheme="minorHAnsi" w:hAnsi="Times New Roman"/>
          <w:sz w:val="24"/>
          <w:szCs w:val="24"/>
        </w:rPr>
        <w:t>) at 3 level and 1 categorical variable i.e. temperature (Z</w:t>
      </w:r>
      <w:r w:rsidRPr="00951749">
        <w:rPr>
          <w:rFonts w:ascii="Times New Roman" w:eastAsiaTheme="minorHAnsi" w:hAnsi="Times New Roman"/>
          <w:sz w:val="24"/>
          <w:szCs w:val="24"/>
          <w:vertAlign w:val="subscript"/>
        </w:rPr>
        <w:t>4</w:t>
      </w:r>
      <w:r w:rsidRPr="00951749">
        <w:rPr>
          <w:rFonts w:ascii="Times New Roman" w:eastAsiaTheme="minorHAnsi" w:hAnsi="Times New Roman"/>
          <w:sz w:val="24"/>
          <w:szCs w:val="24"/>
        </w:rPr>
        <w:t>) required for solubilizing ATZ (60 or 80˚C) at 2 level; 12-runs.</w:t>
      </w:r>
    </w:p>
    <w:p w:rsidR="00763980" w:rsidRPr="00951749" w:rsidRDefault="00763980" w:rsidP="00763980">
      <w:pPr>
        <w:autoSpaceDE w:val="0"/>
        <w:autoSpaceDN w:val="0"/>
        <w:adjustRightInd w:val="0"/>
        <w:spacing w:after="0" w:line="360" w:lineRule="auto"/>
        <w:jc w:val="both"/>
        <w:rPr>
          <w:rFonts w:ascii="Times New Roman" w:eastAsiaTheme="minorHAnsi" w:hAnsi="Times New Roman"/>
          <w:sz w:val="24"/>
          <w:szCs w:val="24"/>
        </w:rPr>
      </w:pPr>
      <w:r w:rsidRPr="00951749">
        <w:rPr>
          <w:rFonts w:ascii="Times New Roman" w:eastAsiaTheme="minorHAnsi" w:hAnsi="Times New Roman"/>
          <w:sz w:val="24"/>
          <w:szCs w:val="24"/>
        </w:rPr>
        <w:t xml:space="preserve">Briefly, the ATZ loaded </w:t>
      </w:r>
      <w:r w:rsidR="00D75102">
        <w:rPr>
          <w:rFonts w:ascii="Times New Roman" w:eastAsiaTheme="minorHAnsi" w:hAnsi="Times New Roman"/>
          <w:sz w:val="24"/>
          <w:szCs w:val="24"/>
        </w:rPr>
        <w:t>IM</w:t>
      </w:r>
      <w:r w:rsidRPr="00951749">
        <w:rPr>
          <w:rFonts w:ascii="Times New Roman" w:eastAsiaTheme="minorHAnsi" w:hAnsi="Times New Roman"/>
          <w:sz w:val="24"/>
          <w:szCs w:val="24"/>
        </w:rPr>
        <w:t xml:space="preserve"> were prepared by simple admixture method. An amount of ATZ (50 mg) was first dissolved in the weighed amount of propylene glycol (at 60 or 80˚C) by stirring on a magnetic stirrer. Subsequently, the weighed amount of Tween 80 and corn oil: oleic acid (1:1) was further added as per the design matrix to form </w:t>
      </w:r>
      <w:r w:rsidR="00D75102">
        <w:rPr>
          <w:rFonts w:ascii="Times New Roman" w:eastAsiaTheme="minorHAnsi" w:hAnsi="Times New Roman"/>
          <w:sz w:val="24"/>
          <w:szCs w:val="24"/>
        </w:rPr>
        <w:t>isotropic mixture</w:t>
      </w:r>
      <w:r w:rsidRPr="00951749">
        <w:rPr>
          <w:rFonts w:ascii="Times New Roman" w:eastAsiaTheme="minorHAnsi" w:hAnsi="Times New Roman"/>
          <w:sz w:val="24"/>
          <w:szCs w:val="24"/>
        </w:rPr>
        <w:t xml:space="preserve"> (Table </w:t>
      </w:r>
      <w:r w:rsidR="00902FB0">
        <w:rPr>
          <w:rFonts w:ascii="Times New Roman" w:eastAsiaTheme="minorHAnsi" w:hAnsi="Times New Roman"/>
          <w:sz w:val="24"/>
          <w:szCs w:val="24"/>
        </w:rPr>
        <w:t>S</w:t>
      </w:r>
      <w:r w:rsidRPr="00951749">
        <w:rPr>
          <w:rFonts w:ascii="Times New Roman" w:eastAsiaTheme="minorHAnsi" w:hAnsi="Times New Roman"/>
          <w:sz w:val="24"/>
          <w:szCs w:val="24"/>
        </w:rPr>
        <w:t>4).</w:t>
      </w:r>
    </w:p>
    <w:p w:rsidR="00763980" w:rsidRPr="00951749" w:rsidRDefault="00D75102" w:rsidP="00763980">
      <w:pPr>
        <w:autoSpaceDE w:val="0"/>
        <w:autoSpaceDN w:val="0"/>
        <w:adjustRightInd w:val="0"/>
        <w:spacing w:after="0" w:line="360" w:lineRule="auto"/>
        <w:jc w:val="both"/>
        <w:rPr>
          <w:rFonts w:ascii="Times New Roman" w:eastAsiaTheme="minorHAnsi" w:hAnsi="Times New Roman"/>
          <w:b/>
          <w:bCs/>
          <w:i/>
          <w:iCs/>
          <w:sz w:val="24"/>
          <w:szCs w:val="24"/>
        </w:rPr>
      </w:pPr>
      <w:r>
        <w:rPr>
          <w:rFonts w:ascii="Times New Roman" w:eastAsiaTheme="minorHAnsi" w:hAnsi="Times New Roman"/>
          <w:b/>
          <w:bCs/>
          <w:i/>
          <w:iCs/>
          <w:sz w:val="24"/>
          <w:szCs w:val="24"/>
        </w:rPr>
        <w:lastRenderedPageBreak/>
        <w:t xml:space="preserve">Characterization of the isotropic mixture </w:t>
      </w:r>
      <w:r w:rsidR="00763980" w:rsidRPr="00951749">
        <w:rPr>
          <w:rFonts w:ascii="Times New Roman" w:eastAsiaTheme="minorHAnsi" w:hAnsi="Times New Roman"/>
          <w:b/>
          <w:bCs/>
          <w:i/>
          <w:iCs/>
          <w:sz w:val="24"/>
          <w:szCs w:val="24"/>
        </w:rPr>
        <w:t>prepared as per screening design</w:t>
      </w:r>
    </w:p>
    <w:p w:rsidR="00763980" w:rsidRPr="00951749" w:rsidRDefault="00763980" w:rsidP="00763980">
      <w:pPr>
        <w:autoSpaceDE w:val="0"/>
        <w:autoSpaceDN w:val="0"/>
        <w:adjustRightInd w:val="0"/>
        <w:spacing w:after="0" w:line="360" w:lineRule="auto"/>
        <w:jc w:val="both"/>
        <w:rPr>
          <w:rFonts w:ascii="Times New Roman" w:eastAsiaTheme="minorHAnsi" w:hAnsi="Times New Roman"/>
          <w:b/>
          <w:bCs/>
          <w:i/>
          <w:iCs/>
          <w:sz w:val="24"/>
          <w:szCs w:val="24"/>
        </w:rPr>
      </w:pPr>
      <w:r w:rsidRPr="00951749">
        <w:rPr>
          <w:rFonts w:ascii="Times New Roman" w:eastAsiaTheme="minorHAnsi" w:hAnsi="Times New Roman"/>
          <w:b/>
          <w:bCs/>
          <w:i/>
          <w:iCs/>
          <w:sz w:val="24"/>
          <w:szCs w:val="24"/>
        </w:rPr>
        <w:t>Determination of particle size (PS)(Y</w:t>
      </w:r>
      <w:r w:rsidRPr="00951749">
        <w:rPr>
          <w:rFonts w:ascii="Times New Roman" w:eastAsiaTheme="minorHAnsi" w:hAnsi="Times New Roman"/>
          <w:b/>
          <w:bCs/>
          <w:i/>
          <w:iCs/>
          <w:sz w:val="24"/>
          <w:szCs w:val="24"/>
          <w:vertAlign w:val="subscript"/>
        </w:rPr>
        <w:t>1</w:t>
      </w:r>
      <w:r w:rsidRPr="00951749">
        <w:rPr>
          <w:rFonts w:ascii="Times New Roman" w:eastAsiaTheme="minorHAnsi" w:hAnsi="Times New Roman"/>
          <w:b/>
          <w:bCs/>
          <w:i/>
          <w:iCs/>
          <w:sz w:val="24"/>
          <w:szCs w:val="24"/>
        </w:rPr>
        <w:t>) and poly dispersity index (PDI) (Y</w:t>
      </w:r>
      <w:r w:rsidRPr="00951749">
        <w:rPr>
          <w:rFonts w:ascii="Times New Roman" w:eastAsiaTheme="minorHAnsi" w:hAnsi="Times New Roman"/>
          <w:b/>
          <w:bCs/>
          <w:i/>
          <w:iCs/>
          <w:sz w:val="24"/>
          <w:szCs w:val="24"/>
          <w:vertAlign w:val="subscript"/>
        </w:rPr>
        <w:t>2</w:t>
      </w:r>
      <w:r w:rsidRPr="00951749">
        <w:rPr>
          <w:rFonts w:ascii="Times New Roman" w:eastAsiaTheme="minorHAnsi" w:hAnsi="Times New Roman"/>
          <w:b/>
          <w:bCs/>
          <w:i/>
          <w:iCs/>
          <w:sz w:val="24"/>
          <w:szCs w:val="24"/>
        </w:rPr>
        <w:t>)</w:t>
      </w:r>
    </w:p>
    <w:p w:rsidR="00763980" w:rsidRPr="00951749" w:rsidRDefault="00763980" w:rsidP="00763980">
      <w:pPr>
        <w:autoSpaceDE w:val="0"/>
        <w:autoSpaceDN w:val="0"/>
        <w:adjustRightInd w:val="0"/>
        <w:spacing w:after="0" w:line="360" w:lineRule="auto"/>
        <w:jc w:val="both"/>
        <w:rPr>
          <w:rFonts w:ascii="Times New Roman" w:hAnsi="Times New Roman"/>
          <w:b/>
          <w:i/>
          <w:sz w:val="24"/>
          <w:szCs w:val="24"/>
        </w:rPr>
      </w:pPr>
      <w:r w:rsidRPr="00951749">
        <w:rPr>
          <w:rFonts w:ascii="Times New Roman" w:eastAsiaTheme="minorHAnsi" w:hAnsi="Times New Roman"/>
          <w:sz w:val="24"/>
          <w:szCs w:val="24"/>
        </w:rPr>
        <w:t xml:space="preserve">The </w:t>
      </w:r>
      <w:r w:rsidR="00BC602A" w:rsidRPr="00951749">
        <w:rPr>
          <w:rFonts w:ascii="Times New Roman" w:eastAsiaTheme="minorHAnsi" w:hAnsi="Times New Roman"/>
          <w:sz w:val="24"/>
          <w:szCs w:val="24"/>
        </w:rPr>
        <w:t>particle</w:t>
      </w:r>
      <w:r w:rsidRPr="00951749">
        <w:rPr>
          <w:rFonts w:ascii="Times New Roman" w:eastAsiaTheme="minorHAnsi" w:hAnsi="Times New Roman"/>
          <w:sz w:val="24"/>
          <w:szCs w:val="24"/>
        </w:rPr>
        <w:t xml:space="preserve"> size and PDI of the globules were determined after 100-fold dilution of the </w:t>
      </w:r>
      <w:r w:rsidR="00D75102">
        <w:rPr>
          <w:rFonts w:ascii="Times New Roman" w:eastAsiaTheme="minorHAnsi" w:hAnsi="Times New Roman"/>
          <w:sz w:val="24"/>
          <w:szCs w:val="24"/>
        </w:rPr>
        <w:t>isotropic mixture</w:t>
      </w:r>
      <w:r w:rsidRPr="00951749">
        <w:rPr>
          <w:rFonts w:ascii="Times New Roman" w:eastAsiaTheme="minorHAnsi" w:hAnsi="Times New Roman"/>
          <w:sz w:val="24"/>
          <w:szCs w:val="24"/>
        </w:rPr>
        <w:t xml:space="preserve"> pre-concentrates with 0.1N HCl at 25˚C. An aliquot (0.1 mL) of each formulation was taken for globule size analysis. </w:t>
      </w:r>
      <w:r w:rsidRPr="00951749">
        <w:rPr>
          <w:rFonts w:ascii="Times New Roman" w:hAnsi="Times New Roman"/>
          <w:sz w:val="24"/>
          <w:szCs w:val="24"/>
        </w:rPr>
        <w:t xml:space="preserve">Droplet size and PDI of the emulsion formed was studied using photon correlation spectroscopy (PCS) with the help of a Malvern Zetasizer (Malvern Instruments, UK, Zetasizer Nano ZS90) </w:t>
      </w:r>
      <w:r w:rsidR="00DC37C4" w:rsidRPr="00951749">
        <w:rPr>
          <w:rFonts w:ascii="Times New Roman" w:hAnsi="Times New Roman"/>
          <w:sz w:val="24"/>
          <w:szCs w:val="24"/>
        </w:rPr>
        <w:fldChar w:fldCharType="begin"/>
      </w:r>
      <w:r w:rsidR="00F60EB8">
        <w:rPr>
          <w:rFonts w:ascii="Times New Roman" w:hAnsi="Times New Roman"/>
          <w:sz w:val="24"/>
          <w:szCs w:val="24"/>
        </w:rPr>
        <w:instrText xml:space="preserve"> ADDIN EN.CITE &lt;EndNote&gt;&lt;Cite&gt;&lt;Author&gt;Wu&lt;/Author&gt;&lt;Year&gt;2006&lt;/Year&gt;&lt;RecNum&gt;39&lt;/RecNum&gt;&lt;DisplayText&gt;[5]&lt;/DisplayText&gt;&lt;record&gt;&lt;rec-number&gt;39&lt;/rec-number&gt;&lt;foreign-keys&gt;&lt;key app="EN" db-id="d2fpw0wedwsdaxe9rabxw0z4d55a0sze0xft"&gt;39&lt;/key&gt;&lt;/foreign-keys&gt;&lt;ref-type name="Journal Article"&gt;17&lt;/ref-type&gt;&lt;contributors&gt;&lt;authors&gt;&lt;author&gt;Wu, Wei&lt;/author&gt;&lt;author&gt;Wang, Yang&lt;/author&gt;&lt;author&gt;Que, Li&lt;/author&gt;&lt;/authors&gt;&lt;/contributors&gt;&lt;titles&gt;&lt;title&gt;Enhanced bioavailability of silymarin by self-microemulsifying drug delivery system&lt;/title&gt;&lt;secondary-title&gt;European journal of pharmaceutics and biopharmaceutics&lt;/secondary-title&gt;&lt;/titles&gt;&lt;periodical&gt;&lt;full-title&gt;European Journal of Pharmaceutics and Biopharmaceutics&lt;/full-title&gt;&lt;/periodical&gt;&lt;pages&gt;288-294&lt;/pages&gt;&lt;volume&gt;63&lt;/volume&gt;&lt;number&gt;3&lt;/number&gt;&lt;dates&gt;&lt;year&gt;2006&lt;/year&gt;&lt;/dates&gt;&lt;isbn&gt;0939-6411&lt;/isbn&gt;&lt;urls&gt;&lt;/urls&gt;&lt;/record&gt;&lt;/Cite&gt;&lt;/EndNote&gt;</w:instrText>
      </w:r>
      <w:r w:rsidR="00DC37C4" w:rsidRPr="00951749">
        <w:rPr>
          <w:rFonts w:ascii="Times New Roman" w:hAnsi="Times New Roman"/>
          <w:sz w:val="24"/>
          <w:szCs w:val="24"/>
        </w:rPr>
        <w:fldChar w:fldCharType="separate"/>
      </w:r>
      <w:r w:rsidR="00F60EB8">
        <w:rPr>
          <w:rFonts w:ascii="Times New Roman" w:hAnsi="Times New Roman"/>
          <w:noProof/>
          <w:sz w:val="24"/>
          <w:szCs w:val="24"/>
        </w:rPr>
        <w:t>[</w:t>
      </w:r>
      <w:hyperlink w:anchor="_ENREF_5" w:tooltip="Wu, 2006 #39" w:history="1">
        <w:r w:rsidR="00F60EB8">
          <w:rPr>
            <w:rFonts w:ascii="Times New Roman" w:hAnsi="Times New Roman"/>
            <w:noProof/>
            <w:sz w:val="24"/>
            <w:szCs w:val="24"/>
          </w:rPr>
          <w:t>5</w:t>
        </w:r>
      </w:hyperlink>
      <w:r w:rsidR="00F60EB8">
        <w:rPr>
          <w:rFonts w:ascii="Times New Roman" w:hAnsi="Times New Roman"/>
          <w:noProof/>
          <w:sz w:val="24"/>
          <w:szCs w:val="24"/>
        </w:rPr>
        <w:t>]</w:t>
      </w:r>
      <w:r w:rsidR="00DC37C4" w:rsidRPr="00951749">
        <w:rPr>
          <w:rFonts w:ascii="Times New Roman" w:hAnsi="Times New Roman"/>
          <w:sz w:val="24"/>
          <w:szCs w:val="24"/>
        </w:rPr>
        <w:fldChar w:fldCharType="end"/>
      </w:r>
      <w:r w:rsidRPr="00951749">
        <w:rPr>
          <w:rFonts w:ascii="Times New Roman" w:hAnsi="Times New Roman"/>
          <w:sz w:val="24"/>
          <w:szCs w:val="24"/>
        </w:rPr>
        <w:t>. The experiment was conducted in triplicate (n = 3) and results were reported as mean ± S.D</w:t>
      </w:r>
      <w:r w:rsidRPr="00951749">
        <w:rPr>
          <w:rFonts w:ascii="Times New Roman" w:hAnsi="Times New Roman"/>
          <w:b/>
          <w:i/>
          <w:sz w:val="24"/>
          <w:szCs w:val="24"/>
        </w:rPr>
        <w:t>.</w:t>
      </w:r>
      <w:r w:rsidRPr="00951749">
        <w:rPr>
          <w:rFonts w:ascii="Times New Roman" w:hAnsi="Times New Roman"/>
          <w:sz w:val="24"/>
          <w:szCs w:val="24"/>
        </w:rPr>
        <w:t xml:space="preserve"> </w:t>
      </w:r>
    </w:p>
    <w:p w:rsidR="00763980" w:rsidRPr="00951749" w:rsidRDefault="00763980" w:rsidP="00763980">
      <w:pPr>
        <w:autoSpaceDE w:val="0"/>
        <w:autoSpaceDN w:val="0"/>
        <w:adjustRightInd w:val="0"/>
        <w:spacing w:after="0" w:line="360" w:lineRule="auto"/>
        <w:jc w:val="both"/>
        <w:rPr>
          <w:rFonts w:ascii="Times New Roman" w:hAnsi="Times New Roman"/>
          <w:b/>
          <w:i/>
          <w:sz w:val="24"/>
          <w:szCs w:val="24"/>
        </w:rPr>
      </w:pPr>
      <w:r w:rsidRPr="00951749">
        <w:rPr>
          <w:rFonts w:ascii="Times New Roman" w:hAnsi="Times New Roman"/>
          <w:b/>
          <w:i/>
          <w:sz w:val="24"/>
          <w:szCs w:val="24"/>
        </w:rPr>
        <w:t>Percentage Transmittance (%T) (λ</w:t>
      </w:r>
      <w:r w:rsidRPr="00951749">
        <w:rPr>
          <w:rFonts w:ascii="Times New Roman" w:hAnsi="Times New Roman"/>
          <w:b/>
          <w:i/>
          <w:sz w:val="24"/>
          <w:szCs w:val="24"/>
          <w:vertAlign w:val="subscript"/>
        </w:rPr>
        <w:t>max</w:t>
      </w:r>
      <w:r w:rsidRPr="00951749">
        <w:rPr>
          <w:rFonts w:ascii="Times New Roman" w:hAnsi="Times New Roman"/>
          <w:b/>
          <w:i/>
          <w:sz w:val="24"/>
          <w:szCs w:val="24"/>
        </w:rPr>
        <w:t>, 560 nm) (Y</w:t>
      </w:r>
      <w:r w:rsidRPr="00951749">
        <w:rPr>
          <w:rFonts w:ascii="Times New Roman" w:hAnsi="Times New Roman"/>
          <w:b/>
          <w:i/>
          <w:sz w:val="24"/>
          <w:szCs w:val="24"/>
          <w:vertAlign w:val="subscript"/>
        </w:rPr>
        <w:t>3</w:t>
      </w:r>
      <w:r w:rsidRPr="00951749">
        <w:rPr>
          <w:rFonts w:ascii="Times New Roman" w:hAnsi="Times New Roman"/>
          <w:b/>
          <w:i/>
          <w:sz w:val="24"/>
          <w:szCs w:val="24"/>
        </w:rPr>
        <w:t>)</w:t>
      </w:r>
    </w:p>
    <w:p w:rsidR="00763980" w:rsidRPr="00951749" w:rsidRDefault="00763980" w:rsidP="00763980">
      <w:pPr>
        <w:autoSpaceDE w:val="0"/>
        <w:autoSpaceDN w:val="0"/>
        <w:adjustRightInd w:val="0"/>
        <w:spacing w:after="0" w:line="360" w:lineRule="auto"/>
        <w:jc w:val="both"/>
        <w:rPr>
          <w:rFonts w:ascii="Times New Roman" w:hAnsi="Times New Roman"/>
          <w:b/>
          <w:i/>
          <w:sz w:val="24"/>
          <w:szCs w:val="24"/>
        </w:rPr>
      </w:pPr>
      <w:r w:rsidRPr="00951749">
        <w:rPr>
          <w:rFonts w:ascii="Times New Roman" w:hAnsi="Times New Roman"/>
          <w:sz w:val="24"/>
          <w:szCs w:val="24"/>
        </w:rPr>
        <w:t xml:space="preserve">An aliquot (0.1 mL) of </w:t>
      </w:r>
      <w:r w:rsidR="00D75102">
        <w:rPr>
          <w:rFonts w:ascii="Times New Roman" w:hAnsi="Times New Roman"/>
          <w:sz w:val="24"/>
          <w:szCs w:val="24"/>
        </w:rPr>
        <w:t>IM</w:t>
      </w:r>
      <w:r w:rsidRPr="00951749">
        <w:rPr>
          <w:rFonts w:ascii="Times New Roman" w:hAnsi="Times New Roman"/>
          <w:sz w:val="24"/>
          <w:szCs w:val="24"/>
        </w:rPr>
        <w:t xml:space="preserve"> pre-concentrates were diluted 100-folds with 0.1N HCl. Percentage transmittance were measured spectrophotometrically (Hitachi U-2900 spectrophotometer) at 560 nm using 0.1N HCl as a blank </w:t>
      </w:r>
      <w:r w:rsidR="00DC37C4" w:rsidRPr="00951749">
        <w:rPr>
          <w:rFonts w:ascii="Times New Roman" w:hAnsi="Times New Roman"/>
          <w:sz w:val="24"/>
          <w:szCs w:val="24"/>
        </w:rPr>
        <w:fldChar w:fldCharType="begin"/>
      </w:r>
      <w:r w:rsidR="00F60EB8">
        <w:rPr>
          <w:rFonts w:ascii="Times New Roman" w:hAnsi="Times New Roman"/>
          <w:sz w:val="24"/>
          <w:szCs w:val="24"/>
        </w:rPr>
        <w:instrText xml:space="preserve"> ADDIN EN.CITE &lt;EndNote&gt;&lt;Cite&gt;&lt;Author&gt;Bansode&lt;/Author&gt;&lt;Year&gt;2016&lt;/Year&gt;&lt;RecNum&gt;41&lt;/RecNum&gt;&lt;DisplayText&gt;[6]&lt;/DisplayText&gt;&lt;record&gt;&lt;rec-number&gt;41&lt;/rec-number&gt;&lt;foreign-keys&gt;&lt;key app="EN" db-id="d2fpw0wedwsdaxe9rabxw0z4d55a0sze0xft"&gt;41&lt;/key&gt;&lt;/foreign-keys&gt;&lt;ref-type name="Journal Article"&gt;17&lt;/ref-type&gt;&lt;contributors&gt;&lt;authors&gt;&lt;author&gt;Bansode, Sudhir T&lt;/author&gt;&lt;author&gt;Kshirsagar, Sanjay J&lt;/author&gt;&lt;author&gt;Madgulkar, Ashwini R&lt;/author&gt;&lt;author&gt;Bhalekar, Mangesh R&lt;/author&gt;&lt;author&gt;Bandivadekar, Mithun M&lt;/author&gt;&lt;/authors&gt;&lt;/contributors&gt;&lt;titles&gt;&lt;title&gt;Design and development of SMEDDS for colon-specific drug delivery&lt;/title&gt;&lt;secondary-title&gt;Drug development and industrial pharmacy&lt;/secondary-title&gt;&lt;/titles&gt;&lt;periodical&gt;&lt;full-title&gt;Drug development and industrial pharmacy&lt;/full-title&gt;&lt;/periodical&gt;&lt;pages&gt;611-623&lt;/pages&gt;&lt;volume&gt;42&lt;/volume&gt;&lt;number&gt;4&lt;/number&gt;&lt;dates&gt;&lt;year&gt;2016&lt;/year&gt;&lt;/dates&gt;&lt;isbn&gt;0363-9045&lt;/isbn&gt;&lt;urls&gt;&lt;/urls&gt;&lt;/record&gt;&lt;/Cite&gt;&lt;/EndNote&gt;</w:instrText>
      </w:r>
      <w:r w:rsidR="00DC37C4" w:rsidRPr="00951749">
        <w:rPr>
          <w:rFonts w:ascii="Times New Roman" w:hAnsi="Times New Roman"/>
          <w:sz w:val="24"/>
          <w:szCs w:val="24"/>
        </w:rPr>
        <w:fldChar w:fldCharType="separate"/>
      </w:r>
      <w:r w:rsidR="00F60EB8">
        <w:rPr>
          <w:rFonts w:ascii="Times New Roman" w:hAnsi="Times New Roman"/>
          <w:noProof/>
          <w:sz w:val="24"/>
          <w:szCs w:val="24"/>
        </w:rPr>
        <w:t>[</w:t>
      </w:r>
      <w:hyperlink w:anchor="_ENREF_6" w:tooltip="Bansode, 2016 #41" w:history="1">
        <w:r w:rsidR="00F60EB8">
          <w:rPr>
            <w:rFonts w:ascii="Times New Roman" w:hAnsi="Times New Roman"/>
            <w:noProof/>
            <w:sz w:val="24"/>
            <w:szCs w:val="24"/>
          </w:rPr>
          <w:t>6</w:t>
        </w:r>
      </w:hyperlink>
      <w:r w:rsidR="00F60EB8">
        <w:rPr>
          <w:rFonts w:ascii="Times New Roman" w:hAnsi="Times New Roman"/>
          <w:noProof/>
          <w:sz w:val="24"/>
          <w:szCs w:val="24"/>
        </w:rPr>
        <w:t>]</w:t>
      </w:r>
      <w:r w:rsidR="00DC37C4" w:rsidRPr="00951749">
        <w:rPr>
          <w:rFonts w:ascii="Times New Roman" w:hAnsi="Times New Roman"/>
          <w:sz w:val="24"/>
          <w:szCs w:val="24"/>
        </w:rPr>
        <w:fldChar w:fldCharType="end"/>
      </w:r>
      <w:r w:rsidRPr="00951749">
        <w:rPr>
          <w:rFonts w:ascii="Times New Roman" w:hAnsi="Times New Roman"/>
          <w:sz w:val="24"/>
          <w:szCs w:val="24"/>
        </w:rPr>
        <w:t>. The experiment was conducted in triplicate (n = 3) and results were reported as mean ± S.D</w:t>
      </w:r>
      <w:r w:rsidRPr="00951749">
        <w:rPr>
          <w:rFonts w:ascii="Times New Roman" w:hAnsi="Times New Roman"/>
          <w:b/>
          <w:i/>
          <w:sz w:val="24"/>
          <w:szCs w:val="24"/>
        </w:rPr>
        <w:t>.</w:t>
      </w:r>
      <w:r w:rsidRPr="00951749">
        <w:rPr>
          <w:rFonts w:ascii="Times New Roman" w:hAnsi="Times New Roman"/>
          <w:sz w:val="24"/>
          <w:szCs w:val="24"/>
        </w:rPr>
        <w:t xml:space="preserve"> </w:t>
      </w:r>
    </w:p>
    <w:p w:rsidR="00763980" w:rsidRPr="00951749" w:rsidRDefault="00763980" w:rsidP="00763980">
      <w:pPr>
        <w:autoSpaceDE w:val="0"/>
        <w:autoSpaceDN w:val="0"/>
        <w:adjustRightInd w:val="0"/>
        <w:spacing w:after="0" w:line="360" w:lineRule="auto"/>
        <w:jc w:val="both"/>
        <w:rPr>
          <w:rFonts w:ascii="Times New Roman" w:hAnsi="Times New Roman"/>
          <w:b/>
          <w:i/>
          <w:sz w:val="24"/>
          <w:szCs w:val="24"/>
        </w:rPr>
      </w:pPr>
      <w:r w:rsidRPr="00951749">
        <w:rPr>
          <w:rFonts w:ascii="Times New Roman" w:hAnsi="Times New Roman"/>
          <w:b/>
          <w:i/>
          <w:sz w:val="24"/>
          <w:szCs w:val="24"/>
        </w:rPr>
        <w:t>Drug Content (DC) (Y</w:t>
      </w:r>
      <w:r w:rsidRPr="00951749">
        <w:rPr>
          <w:rFonts w:ascii="Times New Roman" w:hAnsi="Times New Roman"/>
          <w:b/>
          <w:i/>
          <w:sz w:val="24"/>
          <w:szCs w:val="24"/>
          <w:vertAlign w:val="subscript"/>
        </w:rPr>
        <w:t>4</w:t>
      </w:r>
      <w:r w:rsidRPr="00951749">
        <w:rPr>
          <w:rFonts w:ascii="Times New Roman" w:hAnsi="Times New Roman"/>
          <w:b/>
          <w:i/>
          <w:sz w:val="24"/>
          <w:szCs w:val="24"/>
        </w:rPr>
        <w:t>)</w:t>
      </w:r>
    </w:p>
    <w:p w:rsidR="00D52F74" w:rsidRDefault="00763980" w:rsidP="00763980">
      <w:pPr>
        <w:autoSpaceDE w:val="0"/>
        <w:autoSpaceDN w:val="0"/>
        <w:adjustRightInd w:val="0"/>
        <w:spacing w:after="0" w:line="360" w:lineRule="auto"/>
        <w:jc w:val="both"/>
        <w:rPr>
          <w:rFonts w:ascii="Times New Roman" w:hAnsi="Times New Roman"/>
          <w:sz w:val="24"/>
          <w:szCs w:val="24"/>
        </w:rPr>
      </w:pPr>
      <w:r w:rsidRPr="00951749">
        <w:rPr>
          <w:rFonts w:ascii="Times New Roman" w:hAnsi="Times New Roman"/>
          <w:sz w:val="24"/>
          <w:szCs w:val="24"/>
        </w:rPr>
        <w:t xml:space="preserve">To determine the drug content, ATZ loaded </w:t>
      </w:r>
      <w:r w:rsidR="00D75102">
        <w:rPr>
          <w:rFonts w:ascii="Times New Roman" w:hAnsi="Times New Roman"/>
          <w:sz w:val="24"/>
          <w:szCs w:val="24"/>
        </w:rPr>
        <w:t>IM</w:t>
      </w:r>
      <w:r w:rsidRPr="00951749">
        <w:rPr>
          <w:rFonts w:ascii="Times New Roman" w:hAnsi="Times New Roman"/>
          <w:sz w:val="24"/>
          <w:szCs w:val="24"/>
        </w:rPr>
        <w:t xml:space="preserve"> pre-concentrates equivalent to 5 mg was accurately weighed and dissolved in 10 mL of methanol. The samples were vortexed for 5 min for the complete solubilization of </w:t>
      </w:r>
      <w:r w:rsidR="00D75102">
        <w:rPr>
          <w:rFonts w:ascii="Times New Roman" w:hAnsi="Times New Roman"/>
          <w:sz w:val="24"/>
          <w:szCs w:val="24"/>
        </w:rPr>
        <w:t>IM</w:t>
      </w:r>
      <w:r w:rsidRPr="00951749">
        <w:rPr>
          <w:rFonts w:ascii="Times New Roman" w:hAnsi="Times New Roman"/>
          <w:sz w:val="24"/>
          <w:szCs w:val="24"/>
        </w:rPr>
        <w:t xml:space="preserve">, filtered by 0.45 µ membrane filter and analyzed by in house validated HPLC method </w:t>
      </w:r>
      <w:r w:rsidR="00DC37C4" w:rsidRPr="00951749">
        <w:rPr>
          <w:rFonts w:ascii="Times New Roman" w:hAnsi="Times New Roman"/>
          <w:sz w:val="24"/>
          <w:szCs w:val="24"/>
        </w:rPr>
        <w:fldChar w:fldCharType="begin"/>
      </w:r>
      <w:r w:rsidR="00F60EB8">
        <w:rPr>
          <w:rFonts w:ascii="Times New Roman" w:hAnsi="Times New Roman"/>
          <w:sz w:val="24"/>
          <w:szCs w:val="24"/>
        </w:rPr>
        <w:instrText xml:space="preserve"> ADDIN EN.CITE &lt;EndNote&gt;&lt;Cite&gt;&lt;Author&gt;Patel&lt;/Author&gt;&lt;Year&gt;2019&lt;/Year&gt;&lt;RecNum&gt;40&lt;/RecNum&gt;&lt;DisplayText&gt;[7]&lt;/DisplayText&gt;&lt;record&gt;&lt;rec-number&gt;40&lt;/rec-number&gt;&lt;foreign-keys&gt;&lt;key app="EN" db-id="d2fpw0wedwsdaxe9rabxw0z4d55a0sze0xft"&gt;40&lt;/key&gt;&lt;/foreign-keys&gt;&lt;ref-type name="Journal Article"&gt;17&lt;/ref-type&gt;&lt;contributors&gt;&lt;authors&gt;&lt;author&gt;Patel, Mitali H&lt;/author&gt;&lt;author&gt;Sawant, Krutika K&lt;/author&gt;&lt;/authors&gt;&lt;/contributors&gt;&lt;titles&gt;&lt;title&gt;Self microemulsifying drug delivery system of lurasidone hydrochloride for enhanced oral bioavailability by lymphatic targeting: in vitro, Caco-2 cell line and in vivo evaluation&lt;/title&gt;&lt;secondary-title&gt;European Journal of Pharmaceutical Sciences&lt;/secondary-title&gt;&lt;/titles&gt;&lt;periodical&gt;&lt;full-title&gt;European Journal of Pharmaceutical Sciences&lt;/full-title&gt;&lt;/periodical&gt;&lt;pages&gt;105027&lt;/pages&gt;&lt;volume&gt;138&lt;/volume&gt;&lt;dates&gt;&lt;year&gt;2019&lt;/year&gt;&lt;/dates&gt;&lt;isbn&gt;0928-0987&lt;/isbn&gt;&lt;urls&gt;&lt;/urls&gt;&lt;/record&gt;&lt;/Cite&gt;&lt;/EndNote&gt;</w:instrText>
      </w:r>
      <w:r w:rsidR="00DC37C4" w:rsidRPr="00951749">
        <w:rPr>
          <w:rFonts w:ascii="Times New Roman" w:hAnsi="Times New Roman"/>
          <w:sz w:val="24"/>
          <w:szCs w:val="24"/>
        </w:rPr>
        <w:fldChar w:fldCharType="separate"/>
      </w:r>
      <w:r w:rsidR="00F60EB8">
        <w:rPr>
          <w:rFonts w:ascii="Times New Roman" w:hAnsi="Times New Roman"/>
          <w:noProof/>
          <w:sz w:val="24"/>
          <w:szCs w:val="24"/>
        </w:rPr>
        <w:t>[</w:t>
      </w:r>
      <w:hyperlink w:anchor="_ENREF_7" w:tooltip="Patel, 2019 #40" w:history="1">
        <w:r w:rsidR="00F60EB8">
          <w:rPr>
            <w:rFonts w:ascii="Times New Roman" w:hAnsi="Times New Roman"/>
            <w:noProof/>
            <w:sz w:val="24"/>
            <w:szCs w:val="24"/>
          </w:rPr>
          <w:t>7</w:t>
        </w:r>
      </w:hyperlink>
      <w:r w:rsidR="00F60EB8">
        <w:rPr>
          <w:rFonts w:ascii="Times New Roman" w:hAnsi="Times New Roman"/>
          <w:noProof/>
          <w:sz w:val="24"/>
          <w:szCs w:val="24"/>
        </w:rPr>
        <w:t>]</w:t>
      </w:r>
      <w:r w:rsidR="00DC37C4" w:rsidRPr="00951749">
        <w:rPr>
          <w:rFonts w:ascii="Times New Roman" w:hAnsi="Times New Roman"/>
          <w:sz w:val="24"/>
          <w:szCs w:val="24"/>
        </w:rPr>
        <w:fldChar w:fldCharType="end"/>
      </w:r>
      <w:r w:rsidRPr="00951749">
        <w:rPr>
          <w:rFonts w:ascii="Times New Roman" w:hAnsi="Times New Roman"/>
          <w:sz w:val="24"/>
          <w:szCs w:val="24"/>
        </w:rPr>
        <w:t>. The experiment was conducted in triplicate (n = 3) and results were reported as mean ± S.D</w:t>
      </w:r>
      <w:r w:rsidRPr="00951749">
        <w:rPr>
          <w:rFonts w:ascii="Times New Roman" w:hAnsi="Times New Roman"/>
          <w:b/>
          <w:i/>
          <w:sz w:val="24"/>
          <w:szCs w:val="24"/>
        </w:rPr>
        <w:t>.</w:t>
      </w:r>
      <w:r w:rsidRPr="00951749">
        <w:rPr>
          <w:rFonts w:ascii="Times New Roman" w:hAnsi="Times New Roman"/>
          <w:sz w:val="24"/>
          <w:szCs w:val="24"/>
        </w:rPr>
        <w:t xml:space="preserve"> </w:t>
      </w:r>
    </w:p>
    <w:p w:rsidR="00763980" w:rsidRPr="00951749" w:rsidRDefault="00763980" w:rsidP="00763980">
      <w:pPr>
        <w:autoSpaceDE w:val="0"/>
        <w:autoSpaceDN w:val="0"/>
        <w:adjustRightInd w:val="0"/>
        <w:spacing w:after="0" w:line="360" w:lineRule="auto"/>
        <w:jc w:val="both"/>
        <w:rPr>
          <w:rFonts w:ascii="Times New Roman" w:hAnsi="Times New Roman"/>
          <w:sz w:val="24"/>
          <w:szCs w:val="24"/>
        </w:rPr>
      </w:pPr>
      <w:r w:rsidRPr="00951749">
        <w:rPr>
          <w:rFonts w:ascii="Times New Roman" w:hAnsi="Times New Roman"/>
          <w:b/>
          <w:i/>
          <w:sz w:val="24"/>
          <w:szCs w:val="24"/>
        </w:rPr>
        <w:t xml:space="preserve"> Rheological studies</w:t>
      </w:r>
    </w:p>
    <w:p w:rsidR="00763980" w:rsidRPr="00951749" w:rsidRDefault="00763980" w:rsidP="00763980">
      <w:pPr>
        <w:autoSpaceDE w:val="0"/>
        <w:autoSpaceDN w:val="0"/>
        <w:adjustRightInd w:val="0"/>
        <w:spacing w:after="0" w:line="360" w:lineRule="auto"/>
        <w:jc w:val="both"/>
        <w:rPr>
          <w:rFonts w:ascii="Times New Roman" w:hAnsi="Times New Roman"/>
          <w:sz w:val="24"/>
          <w:szCs w:val="24"/>
        </w:rPr>
      </w:pPr>
      <w:r w:rsidRPr="00951749">
        <w:rPr>
          <w:rFonts w:ascii="Times New Roman" w:hAnsi="Times New Roman"/>
          <w:sz w:val="24"/>
          <w:szCs w:val="24"/>
        </w:rPr>
        <w:t>The changes in rheological behavior before and after a</w:t>
      </w:r>
      <w:r w:rsidR="00D75102">
        <w:rPr>
          <w:rFonts w:ascii="Times New Roman" w:hAnsi="Times New Roman"/>
          <w:sz w:val="24"/>
          <w:szCs w:val="24"/>
        </w:rPr>
        <w:t>ddition of ATZ and PPI into the</w:t>
      </w:r>
      <w:r w:rsidRPr="00951749">
        <w:rPr>
          <w:rFonts w:ascii="Times New Roman" w:hAnsi="Times New Roman"/>
          <w:sz w:val="24"/>
          <w:szCs w:val="24"/>
        </w:rPr>
        <w:t xml:space="preserve"> </w:t>
      </w:r>
      <w:r w:rsidR="00D75102">
        <w:rPr>
          <w:rFonts w:ascii="Times New Roman" w:hAnsi="Times New Roman"/>
          <w:sz w:val="24"/>
          <w:szCs w:val="24"/>
        </w:rPr>
        <w:t xml:space="preserve">IM </w:t>
      </w:r>
      <w:r w:rsidRPr="00951749">
        <w:rPr>
          <w:rFonts w:ascii="Times New Roman" w:hAnsi="Times New Roman"/>
          <w:sz w:val="24"/>
          <w:szCs w:val="24"/>
        </w:rPr>
        <w:t>was studied using MCR-52 Rheometer (Anton Paar, Germany); parallel plate geometery PP50 (50 mm diameter) with a 0.5 mm measuring gap. The temperature of the sample was maintained by Anton Paar, peltier system. The shear rate sweep was conducted using a continuous ramp from 0.1-100 s</w:t>
      </w:r>
      <w:r w:rsidRPr="00951749">
        <w:rPr>
          <w:rFonts w:ascii="Times New Roman" w:hAnsi="Times New Roman"/>
          <w:sz w:val="24"/>
          <w:szCs w:val="24"/>
          <w:vertAlign w:val="superscript"/>
        </w:rPr>
        <w:t>-1</w:t>
      </w:r>
      <w:r w:rsidRPr="00951749">
        <w:rPr>
          <w:rFonts w:ascii="Times New Roman" w:hAnsi="Times New Roman"/>
          <w:sz w:val="24"/>
          <w:szCs w:val="24"/>
        </w:rPr>
        <w:t xml:space="preserve"> while keeping the temperature of sample at 25°C. All measurements were performed in triplicates. The shear flow curves obtained in steady shear analysis were analyzed using different flow models such as Power law, Herschel-Bulkley, Casson and Bingham model </w:t>
      </w:r>
      <w:r w:rsidR="00DC37C4" w:rsidRPr="00951749">
        <w:rPr>
          <w:rFonts w:ascii="Times New Roman" w:hAnsi="Times New Roman"/>
          <w:sz w:val="24"/>
          <w:szCs w:val="24"/>
        </w:rPr>
        <w:fldChar w:fldCharType="begin"/>
      </w:r>
      <w:r w:rsidR="00F60EB8">
        <w:rPr>
          <w:rFonts w:ascii="Times New Roman" w:hAnsi="Times New Roman"/>
          <w:sz w:val="24"/>
          <w:szCs w:val="24"/>
        </w:rPr>
        <w:instrText xml:space="preserve"> ADDIN EN.CITE &lt;EndNote&gt;&lt;Cite&gt;&lt;Author&gt;Sharma&lt;/Author&gt;&lt;Year&gt;2017&lt;/Year&gt;&lt;RecNum&gt;55&lt;/RecNum&gt;&lt;DisplayText&gt;[8]&lt;/DisplayText&gt;&lt;record&gt;&lt;rec-number&gt;55&lt;/rec-number&gt;&lt;foreign-keys&gt;&lt;key app="EN" db-id="d2fpw0wedwsdaxe9rabxw0z4d55a0sze0xft"&gt;55&lt;/key&gt;&lt;/foreign-keys&gt;&lt;ref-type name="Journal Article"&gt;17&lt;/ref-type&gt;&lt;contributors&gt;&lt;authors&gt;&lt;author&gt;Sharma, Radhika&lt;/author&gt;&lt;author&gt;Rana, Vikas&lt;/author&gt;&lt;/authors&gt;&lt;/contributors&gt;&lt;titles&gt;&lt;title&gt;Effect of carboxymethylation on rheological and drug release characteristics of Terminalia catappa gum&lt;/title&gt;&lt;secondary-title&gt;Carbohydrate polymers&lt;/secondary-title&gt;&lt;/titles&gt;&lt;periodical&gt;&lt;full-title&gt;Carbohydrate polymers&lt;/full-title&gt;&lt;/periodical&gt;&lt;pages&gt;728-738&lt;/pages&gt;&lt;volume&gt;175&lt;/volume&gt;&lt;dates&gt;&lt;year&gt;2017&lt;/year&gt;&lt;/dates&gt;&lt;isbn&gt;0144-8617&lt;/isbn&gt;&lt;urls&gt;&lt;/urls&gt;&lt;/record&gt;&lt;/Cite&gt;&lt;/EndNote&gt;</w:instrText>
      </w:r>
      <w:r w:rsidR="00DC37C4" w:rsidRPr="00951749">
        <w:rPr>
          <w:rFonts w:ascii="Times New Roman" w:hAnsi="Times New Roman"/>
          <w:sz w:val="24"/>
          <w:szCs w:val="24"/>
        </w:rPr>
        <w:fldChar w:fldCharType="separate"/>
      </w:r>
      <w:r w:rsidR="00F60EB8">
        <w:rPr>
          <w:rFonts w:ascii="Times New Roman" w:hAnsi="Times New Roman"/>
          <w:noProof/>
          <w:sz w:val="24"/>
          <w:szCs w:val="24"/>
        </w:rPr>
        <w:t>[</w:t>
      </w:r>
      <w:hyperlink w:anchor="_ENREF_8" w:tooltip="Sharma, 2017 #55" w:history="1">
        <w:r w:rsidR="00F60EB8">
          <w:rPr>
            <w:rFonts w:ascii="Times New Roman" w:hAnsi="Times New Roman"/>
            <w:noProof/>
            <w:sz w:val="24"/>
            <w:szCs w:val="24"/>
          </w:rPr>
          <w:t>8</w:t>
        </w:r>
      </w:hyperlink>
      <w:r w:rsidR="00F60EB8">
        <w:rPr>
          <w:rFonts w:ascii="Times New Roman" w:hAnsi="Times New Roman"/>
          <w:noProof/>
          <w:sz w:val="24"/>
          <w:szCs w:val="24"/>
        </w:rPr>
        <w:t>]</w:t>
      </w:r>
      <w:r w:rsidR="00DC37C4" w:rsidRPr="00951749">
        <w:rPr>
          <w:rFonts w:ascii="Times New Roman" w:hAnsi="Times New Roman"/>
          <w:sz w:val="24"/>
          <w:szCs w:val="24"/>
        </w:rPr>
        <w:fldChar w:fldCharType="end"/>
      </w:r>
      <w:r w:rsidRPr="00951749">
        <w:rPr>
          <w:rFonts w:ascii="Times New Roman" w:hAnsi="Times New Roman"/>
          <w:sz w:val="24"/>
          <w:szCs w:val="24"/>
        </w:rPr>
        <w:t>. The effect of temperature on the flow characteristics was also observed by carrying out temperature sweep test. The test was carried out in a range from 0˚C to 40˚C at a shear rate of 50 s</w:t>
      </w:r>
      <w:r w:rsidRPr="00951749">
        <w:rPr>
          <w:rFonts w:ascii="Times New Roman" w:hAnsi="Times New Roman"/>
          <w:sz w:val="24"/>
          <w:szCs w:val="24"/>
          <w:vertAlign w:val="superscript"/>
        </w:rPr>
        <w:t>-1</w:t>
      </w:r>
      <w:r w:rsidRPr="00951749">
        <w:rPr>
          <w:rFonts w:ascii="Times New Roman" w:hAnsi="Times New Roman"/>
          <w:sz w:val="24"/>
          <w:szCs w:val="24"/>
        </w:rPr>
        <w:t xml:space="preserve"> according to the arrhenious mode </w:t>
      </w:r>
      <w:r w:rsidR="00DC37C4" w:rsidRPr="00951749">
        <w:rPr>
          <w:rFonts w:ascii="Times New Roman" w:hAnsi="Times New Roman"/>
          <w:sz w:val="24"/>
          <w:szCs w:val="24"/>
        </w:rPr>
        <w:fldChar w:fldCharType="begin"/>
      </w:r>
      <w:r w:rsidR="00F60EB8">
        <w:rPr>
          <w:rFonts w:ascii="Times New Roman" w:hAnsi="Times New Roman"/>
          <w:sz w:val="24"/>
          <w:szCs w:val="24"/>
        </w:rPr>
        <w:instrText xml:space="preserve"> ADDIN EN.CITE &lt;EndNote&gt;&lt;Cite&gt;&lt;Author&gt;Kamboj&lt;/Author&gt;&lt;Year&gt;2018&lt;/Year&gt;&lt;RecNum&gt;54&lt;/RecNum&gt;&lt;DisplayText&gt;[9]&lt;/DisplayText&gt;&lt;record&gt;&lt;rec-number&gt;54&lt;/rec-number&gt;&lt;foreign-keys&gt;&lt;key app="EN" db-id="d2fpw0wedwsdaxe9rabxw0z4d55a0sze0xft"&gt;54&lt;/key&gt;&lt;/foreign-keys&gt;&lt;ref-type name="Journal Article"&gt;17&lt;/ref-type&gt;&lt;contributors&gt;&lt;authors&gt;&lt;author&gt;Kamboj, Sunil&lt;/author&gt;&lt;author&gt;Sethi, Sheshank&lt;/author&gt;&lt;author&gt;Rana, Vikas&lt;/author&gt;&lt;/authors&gt;&lt;/contributors&gt;&lt;titles&gt;&lt;title&gt;Lipid based delivery of Efavirenz: an answer to its erratic absorption and food effect&lt;/title&gt;&lt;secondary-title&gt;European Journal of Pharmaceutical Sciences&lt;/secondary-title&gt;&lt;/titles&gt;&lt;periodical&gt;&lt;full-title&gt;European Journal of Pharmaceutical Sciences&lt;/full-title&gt;&lt;/periodical&gt;&lt;pages&gt;199-216&lt;/pages&gt;&lt;volume&gt;123&lt;/volume&gt;&lt;dates&gt;&lt;year&gt;2018&lt;/year&gt;&lt;/dates&gt;&lt;isbn&gt;0928-0987&lt;/isbn&gt;&lt;urls&gt;&lt;/urls&gt;&lt;/record&gt;&lt;/Cite&gt;&lt;/EndNote&gt;</w:instrText>
      </w:r>
      <w:r w:rsidR="00DC37C4" w:rsidRPr="00951749">
        <w:rPr>
          <w:rFonts w:ascii="Times New Roman" w:hAnsi="Times New Roman"/>
          <w:sz w:val="24"/>
          <w:szCs w:val="24"/>
        </w:rPr>
        <w:fldChar w:fldCharType="separate"/>
      </w:r>
      <w:r w:rsidR="00F60EB8">
        <w:rPr>
          <w:rFonts w:ascii="Times New Roman" w:hAnsi="Times New Roman"/>
          <w:noProof/>
          <w:sz w:val="24"/>
          <w:szCs w:val="24"/>
        </w:rPr>
        <w:t>[</w:t>
      </w:r>
      <w:hyperlink w:anchor="_ENREF_9" w:tooltip="Kamboj, 2018 #54" w:history="1">
        <w:r w:rsidR="00F60EB8">
          <w:rPr>
            <w:rFonts w:ascii="Times New Roman" w:hAnsi="Times New Roman"/>
            <w:noProof/>
            <w:sz w:val="24"/>
            <w:szCs w:val="24"/>
          </w:rPr>
          <w:t>9</w:t>
        </w:r>
      </w:hyperlink>
      <w:r w:rsidR="00F60EB8">
        <w:rPr>
          <w:rFonts w:ascii="Times New Roman" w:hAnsi="Times New Roman"/>
          <w:noProof/>
          <w:sz w:val="24"/>
          <w:szCs w:val="24"/>
        </w:rPr>
        <w:t>]</w:t>
      </w:r>
      <w:r w:rsidR="00DC37C4" w:rsidRPr="00951749">
        <w:rPr>
          <w:rFonts w:ascii="Times New Roman" w:hAnsi="Times New Roman"/>
          <w:sz w:val="24"/>
          <w:szCs w:val="24"/>
        </w:rPr>
        <w:fldChar w:fldCharType="end"/>
      </w:r>
      <w:r w:rsidRPr="00951749">
        <w:rPr>
          <w:rFonts w:ascii="Times New Roman" w:hAnsi="Times New Roman"/>
          <w:sz w:val="24"/>
          <w:szCs w:val="24"/>
        </w:rPr>
        <w:t xml:space="preserve">.  </w:t>
      </w:r>
    </w:p>
    <w:p w:rsidR="00D52F74" w:rsidRDefault="00D52F74" w:rsidP="00763980">
      <w:pPr>
        <w:autoSpaceDE w:val="0"/>
        <w:autoSpaceDN w:val="0"/>
        <w:adjustRightInd w:val="0"/>
        <w:spacing w:after="0" w:line="360" w:lineRule="auto"/>
        <w:jc w:val="both"/>
        <w:rPr>
          <w:rFonts w:ascii="Times New Roman" w:eastAsiaTheme="minorHAnsi" w:hAnsi="Times New Roman"/>
          <w:b/>
          <w:sz w:val="24"/>
          <w:szCs w:val="24"/>
        </w:rPr>
      </w:pPr>
      <w:r>
        <w:rPr>
          <w:rFonts w:ascii="Times New Roman" w:eastAsiaTheme="minorHAnsi" w:hAnsi="Times New Roman"/>
          <w:b/>
          <w:sz w:val="24"/>
          <w:szCs w:val="24"/>
        </w:rPr>
        <w:t>Result and Discussion</w:t>
      </w:r>
    </w:p>
    <w:p w:rsidR="00763980" w:rsidRPr="00951749" w:rsidRDefault="00763980" w:rsidP="00763980">
      <w:pPr>
        <w:autoSpaceDE w:val="0"/>
        <w:autoSpaceDN w:val="0"/>
        <w:adjustRightInd w:val="0"/>
        <w:spacing w:after="0" w:line="360" w:lineRule="auto"/>
        <w:jc w:val="both"/>
        <w:rPr>
          <w:rFonts w:ascii="Times New Roman" w:eastAsiaTheme="minorHAnsi" w:hAnsi="Times New Roman"/>
          <w:b/>
          <w:sz w:val="24"/>
          <w:szCs w:val="24"/>
        </w:rPr>
      </w:pPr>
      <w:r w:rsidRPr="00951749">
        <w:rPr>
          <w:rFonts w:ascii="Times New Roman" w:eastAsiaTheme="minorHAnsi" w:hAnsi="Times New Roman"/>
          <w:b/>
          <w:sz w:val="24"/>
          <w:szCs w:val="24"/>
        </w:rPr>
        <w:lastRenderedPageBreak/>
        <w:t>Risk assessment study</w:t>
      </w:r>
    </w:p>
    <w:p w:rsidR="00763980" w:rsidRPr="00951749" w:rsidRDefault="00763980" w:rsidP="00763980">
      <w:pPr>
        <w:autoSpaceDE w:val="0"/>
        <w:autoSpaceDN w:val="0"/>
        <w:adjustRightInd w:val="0"/>
        <w:spacing w:after="0" w:line="360" w:lineRule="auto"/>
        <w:jc w:val="both"/>
        <w:rPr>
          <w:rFonts w:ascii="Times New Roman" w:eastAsiaTheme="minorHAnsi" w:hAnsi="Times New Roman"/>
          <w:sz w:val="24"/>
          <w:szCs w:val="24"/>
        </w:rPr>
      </w:pPr>
      <w:r w:rsidRPr="00951749">
        <w:rPr>
          <w:rFonts w:ascii="Times New Roman" w:eastAsiaTheme="minorHAnsi" w:hAnsi="Times New Roman"/>
          <w:sz w:val="24"/>
          <w:szCs w:val="24"/>
        </w:rPr>
        <w:t xml:space="preserve">Fig. </w:t>
      </w:r>
      <w:r w:rsidR="00172AC5">
        <w:rPr>
          <w:rFonts w:ascii="Times New Roman" w:eastAsiaTheme="minorHAnsi" w:hAnsi="Times New Roman"/>
          <w:sz w:val="24"/>
          <w:szCs w:val="24"/>
        </w:rPr>
        <w:t>S</w:t>
      </w:r>
      <w:r w:rsidRPr="00951749">
        <w:rPr>
          <w:rFonts w:ascii="Times New Roman" w:eastAsiaTheme="minorHAnsi" w:hAnsi="Times New Roman"/>
          <w:sz w:val="24"/>
          <w:szCs w:val="24"/>
        </w:rPr>
        <w:t>1 data represents the Ishikawa fish-bone diagram for the development of S</w:t>
      </w:r>
      <w:r w:rsidR="00D75102">
        <w:rPr>
          <w:rFonts w:ascii="Times New Roman" w:eastAsiaTheme="minorHAnsi" w:hAnsi="Times New Roman"/>
          <w:sz w:val="24"/>
          <w:szCs w:val="24"/>
        </w:rPr>
        <w:t>P</w:t>
      </w:r>
      <w:r w:rsidRPr="00951749">
        <w:rPr>
          <w:rFonts w:ascii="Times New Roman" w:eastAsiaTheme="minorHAnsi" w:hAnsi="Times New Roman"/>
          <w:sz w:val="24"/>
          <w:szCs w:val="24"/>
        </w:rPr>
        <w:t>-</w:t>
      </w:r>
      <w:r w:rsidR="00D75102">
        <w:rPr>
          <w:rFonts w:ascii="Times New Roman" w:eastAsiaTheme="minorHAnsi" w:hAnsi="Times New Roman"/>
          <w:sz w:val="24"/>
          <w:szCs w:val="24"/>
        </w:rPr>
        <w:t>IM</w:t>
      </w:r>
      <w:r w:rsidRPr="00951749">
        <w:rPr>
          <w:rFonts w:ascii="Times New Roman" w:eastAsiaTheme="minorHAnsi" w:hAnsi="Times New Roman"/>
          <w:sz w:val="24"/>
          <w:szCs w:val="24"/>
        </w:rPr>
        <w:t xml:space="preserve"> depicting the cause-and-effect relationship among the potential formulation and process variables considerably affecting the performance of drug product. Table </w:t>
      </w:r>
      <w:r w:rsidR="00172AC5">
        <w:rPr>
          <w:rFonts w:ascii="Times New Roman" w:eastAsiaTheme="minorHAnsi" w:hAnsi="Times New Roman"/>
          <w:sz w:val="24"/>
          <w:szCs w:val="24"/>
        </w:rPr>
        <w:t>S</w:t>
      </w:r>
      <w:r w:rsidRPr="00951749">
        <w:rPr>
          <w:rFonts w:ascii="Times New Roman" w:eastAsiaTheme="minorHAnsi" w:hAnsi="Times New Roman"/>
          <w:sz w:val="24"/>
          <w:szCs w:val="24"/>
        </w:rPr>
        <w:t>2 illustrates the rationale justification of the critical quality attributes (CQAs) involved in formulating ATZ loaded S</w:t>
      </w:r>
      <w:r w:rsidR="00D75102">
        <w:rPr>
          <w:rFonts w:ascii="Times New Roman" w:eastAsiaTheme="minorHAnsi" w:hAnsi="Times New Roman"/>
          <w:sz w:val="24"/>
          <w:szCs w:val="24"/>
        </w:rPr>
        <w:t>P</w:t>
      </w:r>
      <w:r w:rsidRPr="00951749">
        <w:rPr>
          <w:rFonts w:ascii="Times New Roman" w:eastAsiaTheme="minorHAnsi" w:hAnsi="Times New Roman"/>
          <w:sz w:val="24"/>
          <w:szCs w:val="24"/>
        </w:rPr>
        <w:t>-</w:t>
      </w:r>
      <w:r w:rsidR="00D75102">
        <w:rPr>
          <w:rFonts w:ascii="Times New Roman" w:eastAsiaTheme="minorHAnsi" w:hAnsi="Times New Roman"/>
          <w:sz w:val="24"/>
          <w:szCs w:val="24"/>
        </w:rPr>
        <w:t>IM</w:t>
      </w:r>
      <w:r w:rsidRPr="00951749">
        <w:rPr>
          <w:rFonts w:ascii="Times New Roman" w:eastAsiaTheme="minorHAnsi" w:hAnsi="Times New Roman"/>
          <w:sz w:val="24"/>
          <w:szCs w:val="24"/>
        </w:rPr>
        <w:t>. Further, failure mode &amp; effect analysis (FMEA) was carried out to screen the material attributes and process parameters on the basis of risk prior</w:t>
      </w:r>
      <w:r w:rsidR="00172AC5">
        <w:rPr>
          <w:rFonts w:ascii="Times New Roman" w:eastAsiaTheme="minorHAnsi" w:hAnsi="Times New Roman"/>
          <w:sz w:val="24"/>
          <w:szCs w:val="24"/>
        </w:rPr>
        <w:t>ity number (RPN) score (Table S3</w:t>
      </w:r>
      <w:r w:rsidRPr="00951749">
        <w:rPr>
          <w:rFonts w:ascii="Times New Roman" w:eastAsiaTheme="minorHAnsi" w:hAnsi="Times New Roman"/>
          <w:sz w:val="24"/>
          <w:szCs w:val="24"/>
        </w:rPr>
        <w:t>). The aforementioned tool has suggested that four factors namely concentration of oil, surfactant, co-surfactant and the temperature required for solubilizing the ATZ were found to be highly critical owing to the high risk associated with them on CQAs. While, the other process parameters involving medium risk were kept constant throughout the study.</w:t>
      </w:r>
    </w:p>
    <w:p w:rsidR="00763980" w:rsidRPr="00951749" w:rsidRDefault="00763980" w:rsidP="00763980">
      <w:pPr>
        <w:autoSpaceDE w:val="0"/>
        <w:autoSpaceDN w:val="0"/>
        <w:adjustRightInd w:val="0"/>
        <w:spacing w:after="0" w:line="360" w:lineRule="auto"/>
        <w:jc w:val="both"/>
        <w:rPr>
          <w:rFonts w:ascii="Times New Roman" w:eastAsiaTheme="minorHAnsi" w:hAnsi="Times New Roman"/>
          <w:b/>
          <w:sz w:val="24"/>
          <w:szCs w:val="24"/>
        </w:rPr>
      </w:pPr>
      <w:r w:rsidRPr="00951749">
        <w:rPr>
          <w:rFonts w:ascii="Times New Roman" w:eastAsiaTheme="minorHAnsi" w:hAnsi="Times New Roman"/>
          <w:b/>
          <w:sz w:val="24"/>
          <w:szCs w:val="24"/>
        </w:rPr>
        <w:t>Factor screening studies</w:t>
      </w:r>
    </w:p>
    <w:p w:rsidR="00763980" w:rsidRPr="00951749" w:rsidRDefault="00763980" w:rsidP="00763980">
      <w:pPr>
        <w:autoSpaceDE w:val="0"/>
        <w:autoSpaceDN w:val="0"/>
        <w:adjustRightInd w:val="0"/>
        <w:spacing w:after="0" w:line="360" w:lineRule="auto"/>
        <w:jc w:val="both"/>
        <w:rPr>
          <w:rFonts w:ascii="Times New Roman" w:eastAsiaTheme="minorHAnsi" w:hAnsi="Times New Roman"/>
          <w:sz w:val="24"/>
          <w:szCs w:val="24"/>
        </w:rPr>
      </w:pPr>
      <w:r w:rsidRPr="00951749">
        <w:rPr>
          <w:rFonts w:ascii="Times New Roman" w:eastAsiaTheme="minorHAnsi" w:hAnsi="Times New Roman"/>
          <w:sz w:val="24"/>
          <w:szCs w:val="24"/>
        </w:rPr>
        <w:t xml:space="preserve">The factor screening studies were carried out on the material attributes and the process parameters involving high risk by employing triangular prism design. The purpose of triangular prism design was to identify the significant main effects, rather than any interaction effects. As per the design matrix, each point on a triangular face representing a given temperature, can be defined in terms of its composition as a mixture of oil, surfactant and co-surfactant or alternatively as a mixture of the 3 pseudo components which have the mixture composition for each vertex of the simplex. Therefore, we wish to achieve a predictive screening model for the solubility of ATZ in components within this space. Thus, 12 formulations were prepared and were evaluated for various critical response variables (CQAs) namely % transmittance, particle size, drug content (indicates solubility of ATZ) and PDI (Table </w:t>
      </w:r>
      <w:r w:rsidR="00172AC5">
        <w:rPr>
          <w:rFonts w:ascii="Times New Roman" w:eastAsiaTheme="minorHAnsi" w:hAnsi="Times New Roman"/>
          <w:sz w:val="24"/>
          <w:szCs w:val="24"/>
        </w:rPr>
        <w:t>S</w:t>
      </w:r>
      <w:r w:rsidRPr="00951749">
        <w:rPr>
          <w:rFonts w:ascii="Times New Roman" w:eastAsiaTheme="minorHAnsi" w:hAnsi="Times New Roman"/>
          <w:sz w:val="24"/>
          <w:szCs w:val="24"/>
        </w:rPr>
        <w:t xml:space="preserve">4). The multiple linear regression analysis (MLR) was carried for all critical response variables to find out the intercept and coefficient for different response variables (Table </w:t>
      </w:r>
      <w:r w:rsidR="00172AC5">
        <w:rPr>
          <w:rFonts w:ascii="Times New Roman" w:eastAsiaTheme="minorHAnsi" w:hAnsi="Times New Roman"/>
          <w:sz w:val="24"/>
          <w:szCs w:val="24"/>
        </w:rPr>
        <w:t>S</w:t>
      </w:r>
      <w:r w:rsidRPr="00951749">
        <w:rPr>
          <w:rFonts w:ascii="Times New Roman" w:eastAsiaTheme="minorHAnsi" w:hAnsi="Times New Roman"/>
          <w:sz w:val="24"/>
          <w:szCs w:val="24"/>
        </w:rPr>
        <w:t>5). The outcome of MLR suggesting the positive effect of variable Z</w:t>
      </w:r>
      <w:r w:rsidRPr="00951749">
        <w:rPr>
          <w:rFonts w:ascii="Times New Roman" w:eastAsiaTheme="minorHAnsi" w:hAnsi="Times New Roman"/>
          <w:sz w:val="24"/>
          <w:szCs w:val="24"/>
          <w:vertAlign w:val="subscript"/>
        </w:rPr>
        <w:t>4</w:t>
      </w:r>
      <w:r w:rsidRPr="00951749">
        <w:rPr>
          <w:rFonts w:ascii="Times New Roman" w:eastAsiaTheme="minorHAnsi" w:hAnsi="Times New Roman"/>
          <w:sz w:val="24"/>
          <w:szCs w:val="24"/>
        </w:rPr>
        <w:t xml:space="preserve"> in affecting the drug content, % Transmittance and PDI of ATZ loaded </w:t>
      </w:r>
      <w:r w:rsidR="005A626C">
        <w:rPr>
          <w:rFonts w:ascii="Times New Roman" w:eastAsiaTheme="minorHAnsi" w:hAnsi="Times New Roman"/>
          <w:sz w:val="24"/>
          <w:szCs w:val="24"/>
        </w:rPr>
        <w:t>IM</w:t>
      </w:r>
      <w:r w:rsidRPr="00951749">
        <w:rPr>
          <w:rFonts w:ascii="Times New Roman" w:eastAsiaTheme="minorHAnsi" w:hAnsi="Times New Roman"/>
          <w:sz w:val="24"/>
          <w:szCs w:val="24"/>
        </w:rPr>
        <w:t>. However, no significant influence of Z</w:t>
      </w:r>
      <w:r w:rsidRPr="00951749">
        <w:rPr>
          <w:rFonts w:ascii="Times New Roman" w:eastAsiaTheme="minorHAnsi" w:hAnsi="Times New Roman"/>
          <w:sz w:val="24"/>
          <w:szCs w:val="24"/>
          <w:vertAlign w:val="subscript"/>
        </w:rPr>
        <w:t>4</w:t>
      </w:r>
      <w:r w:rsidRPr="00951749">
        <w:rPr>
          <w:rFonts w:ascii="Times New Roman" w:eastAsiaTheme="minorHAnsi" w:hAnsi="Times New Roman"/>
          <w:sz w:val="24"/>
          <w:szCs w:val="24"/>
        </w:rPr>
        <w:t xml:space="preserve"> was observed on particle size while keeping other factors of simplex constant. Further, it was observed that to achieve higher CQAs (transmittance and drug content) and lowest particle size and PDI, solubilization of ATZ into oils, surfactant and co-surfactant at 80˚C was a crucial step. Therefore, maintaining 80˚C temperature has been screened for the preparation of ATZ loaded </w:t>
      </w:r>
      <w:r w:rsidR="005A626C">
        <w:rPr>
          <w:rFonts w:ascii="Times New Roman" w:eastAsiaTheme="minorHAnsi" w:hAnsi="Times New Roman"/>
          <w:sz w:val="24"/>
          <w:szCs w:val="24"/>
        </w:rPr>
        <w:t>IM</w:t>
      </w:r>
      <w:r w:rsidRPr="00951749">
        <w:rPr>
          <w:rFonts w:ascii="Times New Roman" w:eastAsiaTheme="minorHAnsi" w:hAnsi="Times New Roman"/>
          <w:sz w:val="24"/>
          <w:szCs w:val="24"/>
        </w:rPr>
        <w:t xml:space="preserve">. The screened formulation </w:t>
      </w:r>
      <w:r w:rsidRPr="00951749">
        <w:rPr>
          <w:rFonts w:ascii="Times New Roman" w:eastAsiaTheme="minorHAnsi" w:hAnsi="Times New Roman"/>
          <w:sz w:val="24"/>
          <w:szCs w:val="24"/>
        </w:rPr>
        <w:lastRenderedPageBreak/>
        <w:t>from the combined optimal design has been taken further in the optimization design. While, the process parameters bearing medium risk has been kept constant throughout the study.</w:t>
      </w:r>
    </w:p>
    <w:p w:rsidR="0050295B" w:rsidRPr="00951749" w:rsidRDefault="0050295B" w:rsidP="0050295B">
      <w:pPr>
        <w:autoSpaceDE w:val="0"/>
        <w:autoSpaceDN w:val="0"/>
        <w:adjustRightInd w:val="0"/>
        <w:spacing w:after="0" w:line="360" w:lineRule="auto"/>
        <w:jc w:val="both"/>
        <w:rPr>
          <w:rFonts w:ascii="Times New Roman" w:eastAsiaTheme="minorHAnsi" w:hAnsi="Times New Roman"/>
          <w:b/>
          <w:i/>
          <w:sz w:val="24"/>
          <w:szCs w:val="24"/>
        </w:rPr>
      </w:pPr>
      <w:r w:rsidRPr="00951749">
        <w:rPr>
          <w:rFonts w:ascii="Times New Roman" w:eastAsiaTheme="minorHAnsi" w:hAnsi="Times New Roman"/>
          <w:b/>
          <w:i/>
          <w:sz w:val="24"/>
          <w:szCs w:val="24"/>
        </w:rPr>
        <w:t>Rheological studies</w:t>
      </w:r>
    </w:p>
    <w:p w:rsidR="0050295B" w:rsidRPr="00951749" w:rsidRDefault="0050295B" w:rsidP="0050295B">
      <w:pPr>
        <w:autoSpaceDE w:val="0"/>
        <w:autoSpaceDN w:val="0"/>
        <w:adjustRightInd w:val="0"/>
        <w:spacing w:after="0" w:line="360" w:lineRule="auto"/>
        <w:jc w:val="both"/>
        <w:rPr>
          <w:rFonts w:ascii="Times New Roman" w:hAnsi="Times New Roman"/>
          <w:sz w:val="24"/>
          <w:szCs w:val="24"/>
        </w:rPr>
      </w:pPr>
      <w:r w:rsidRPr="00951749">
        <w:rPr>
          <w:rFonts w:ascii="Times New Roman" w:hAnsi="Times New Roman"/>
          <w:sz w:val="24"/>
          <w:szCs w:val="24"/>
        </w:rPr>
        <w:t>The rheolog</w:t>
      </w:r>
      <w:r w:rsidR="005A626C">
        <w:rPr>
          <w:rFonts w:ascii="Times New Roman" w:hAnsi="Times New Roman"/>
          <w:sz w:val="24"/>
          <w:szCs w:val="24"/>
        </w:rPr>
        <w:t>ical performance of blank IM</w:t>
      </w:r>
      <w:r w:rsidRPr="00951749">
        <w:rPr>
          <w:rFonts w:ascii="Times New Roman" w:hAnsi="Times New Roman"/>
          <w:sz w:val="24"/>
          <w:szCs w:val="24"/>
        </w:rPr>
        <w:t xml:space="preserve"> (Blank F</w:t>
      </w:r>
      <w:r w:rsidRPr="00951749">
        <w:rPr>
          <w:rFonts w:ascii="Times New Roman" w:hAnsi="Times New Roman"/>
          <w:sz w:val="24"/>
          <w:szCs w:val="24"/>
          <w:vertAlign w:val="subscript"/>
        </w:rPr>
        <w:t>1</w:t>
      </w:r>
      <w:r w:rsidRPr="00951749">
        <w:rPr>
          <w:rFonts w:ascii="Times New Roman" w:hAnsi="Times New Roman"/>
          <w:sz w:val="24"/>
          <w:szCs w:val="24"/>
        </w:rPr>
        <w:t xml:space="preserve">), ATZ loaded </w:t>
      </w:r>
      <w:r w:rsidR="005A626C">
        <w:rPr>
          <w:rFonts w:ascii="Times New Roman" w:hAnsi="Times New Roman"/>
          <w:sz w:val="24"/>
          <w:szCs w:val="24"/>
        </w:rPr>
        <w:t>IM</w:t>
      </w:r>
      <w:r w:rsidRPr="00951749">
        <w:rPr>
          <w:rFonts w:ascii="Times New Roman" w:hAnsi="Times New Roman"/>
          <w:sz w:val="24"/>
          <w:szCs w:val="24"/>
        </w:rPr>
        <w:t xml:space="preserve"> (F</w:t>
      </w:r>
      <w:r w:rsidRPr="00951749">
        <w:rPr>
          <w:rFonts w:ascii="Times New Roman" w:hAnsi="Times New Roman"/>
          <w:sz w:val="24"/>
          <w:szCs w:val="24"/>
          <w:vertAlign w:val="subscript"/>
        </w:rPr>
        <w:t>1</w:t>
      </w:r>
      <w:r w:rsidRPr="00951749">
        <w:rPr>
          <w:rFonts w:ascii="Times New Roman" w:hAnsi="Times New Roman"/>
          <w:sz w:val="24"/>
          <w:szCs w:val="24"/>
        </w:rPr>
        <w:t>), S</w:t>
      </w:r>
      <w:r w:rsidR="005A626C">
        <w:rPr>
          <w:rFonts w:ascii="Times New Roman" w:hAnsi="Times New Roman"/>
          <w:sz w:val="24"/>
          <w:szCs w:val="24"/>
        </w:rPr>
        <w:t>P</w:t>
      </w:r>
      <w:r w:rsidRPr="00951749">
        <w:rPr>
          <w:rFonts w:ascii="Times New Roman" w:hAnsi="Times New Roman"/>
          <w:sz w:val="24"/>
          <w:szCs w:val="24"/>
        </w:rPr>
        <w:t>-</w:t>
      </w:r>
      <w:r w:rsidR="005A626C">
        <w:rPr>
          <w:rFonts w:ascii="Times New Roman" w:hAnsi="Times New Roman"/>
          <w:sz w:val="24"/>
          <w:szCs w:val="24"/>
        </w:rPr>
        <w:t>IM</w:t>
      </w:r>
      <w:r w:rsidRPr="00951749">
        <w:rPr>
          <w:rFonts w:ascii="Times New Roman" w:hAnsi="Times New Roman"/>
          <w:sz w:val="24"/>
          <w:szCs w:val="24"/>
        </w:rPr>
        <w:t xml:space="preserve"> without ATZ (Blank F</w:t>
      </w:r>
      <w:r w:rsidRPr="00951749">
        <w:rPr>
          <w:rFonts w:ascii="Times New Roman" w:hAnsi="Times New Roman"/>
          <w:sz w:val="24"/>
          <w:szCs w:val="24"/>
          <w:vertAlign w:val="subscript"/>
        </w:rPr>
        <w:t>ss</w:t>
      </w:r>
      <w:r w:rsidRPr="00951749">
        <w:rPr>
          <w:rFonts w:ascii="Times New Roman" w:hAnsi="Times New Roman"/>
          <w:sz w:val="24"/>
          <w:szCs w:val="24"/>
        </w:rPr>
        <w:t>) and ATZ loaded S</w:t>
      </w:r>
      <w:r w:rsidR="005A626C">
        <w:rPr>
          <w:rFonts w:ascii="Times New Roman" w:hAnsi="Times New Roman"/>
          <w:sz w:val="24"/>
          <w:szCs w:val="24"/>
        </w:rPr>
        <w:t>P</w:t>
      </w:r>
      <w:r w:rsidRPr="00951749">
        <w:rPr>
          <w:rFonts w:ascii="Times New Roman" w:hAnsi="Times New Roman"/>
          <w:sz w:val="24"/>
          <w:szCs w:val="24"/>
        </w:rPr>
        <w:t>-</w:t>
      </w:r>
      <w:r w:rsidR="005A626C">
        <w:rPr>
          <w:rFonts w:ascii="Times New Roman" w:hAnsi="Times New Roman"/>
          <w:sz w:val="24"/>
          <w:szCs w:val="24"/>
        </w:rPr>
        <w:t>IM</w:t>
      </w:r>
      <w:r w:rsidRPr="00951749">
        <w:rPr>
          <w:rFonts w:ascii="Times New Roman" w:hAnsi="Times New Roman"/>
          <w:sz w:val="24"/>
          <w:szCs w:val="24"/>
        </w:rPr>
        <w:t xml:space="preserve"> (F</w:t>
      </w:r>
      <w:r w:rsidRPr="00951749">
        <w:rPr>
          <w:rFonts w:ascii="Times New Roman" w:hAnsi="Times New Roman"/>
          <w:sz w:val="24"/>
          <w:szCs w:val="24"/>
          <w:vertAlign w:val="subscript"/>
        </w:rPr>
        <w:t>ss</w:t>
      </w:r>
      <w:r w:rsidRPr="00951749">
        <w:rPr>
          <w:rFonts w:ascii="Times New Roman" w:hAnsi="Times New Roman"/>
          <w:sz w:val="24"/>
          <w:szCs w:val="24"/>
        </w:rPr>
        <w:t>) was carried out at controlled shear rate. The effect of increasing shear rate on viscosity at 25˚C</w:t>
      </w:r>
      <w:r w:rsidR="00C07381">
        <w:rPr>
          <w:rFonts w:ascii="Times New Roman" w:hAnsi="Times New Roman"/>
          <w:sz w:val="24"/>
          <w:szCs w:val="24"/>
        </w:rPr>
        <w:t xml:space="preserve"> has been illustrated in Fig. S4 A</w:t>
      </w:r>
      <w:r w:rsidRPr="00951749">
        <w:rPr>
          <w:rFonts w:ascii="Times New Roman" w:hAnsi="Times New Roman"/>
          <w:sz w:val="24"/>
          <w:szCs w:val="24"/>
        </w:rPr>
        <w:t>. The results suggested that all the samples except Blank F</w:t>
      </w:r>
      <w:r w:rsidRPr="00951749">
        <w:rPr>
          <w:rFonts w:ascii="Times New Roman" w:hAnsi="Times New Roman"/>
          <w:sz w:val="24"/>
          <w:szCs w:val="24"/>
          <w:vertAlign w:val="subscript"/>
        </w:rPr>
        <w:t>1</w:t>
      </w:r>
      <w:r w:rsidRPr="00951749">
        <w:rPr>
          <w:rFonts w:ascii="Times New Roman" w:hAnsi="Times New Roman"/>
          <w:sz w:val="24"/>
          <w:szCs w:val="24"/>
        </w:rPr>
        <w:t xml:space="preserve"> exhibited a decrease in the value of viscosity with increasing shear rate which clearly depicts that all the samples exhibited a shear-thinning behavior. While the Blank F</w:t>
      </w:r>
      <w:r w:rsidRPr="00951749">
        <w:rPr>
          <w:rFonts w:ascii="Times New Roman" w:hAnsi="Times New Roman"/>
          <w:sz w:val="24"/>
          <w:szCs w:val="24"/>
          <w:vertAlign w:val="subscript"/>
        </w:rPr>
        <w:t>1</w:t>
      </w:r>
      <w:r w:rsidRPr="00951749">
        <w:rPr>
          <w:rFonts w:ascii="Times New Roman" w:hAnsi="Times New Roman"/>
          <w:sz w:val="24"/>
          <w:szCs w:val="24"/>
        </w:rPr>
        <w:t xml:space="preserve"> sample showed a shear-thickening behavior. This shear-thickening behavior was evident by the fact that blank formulation without drug and polymer has not been provided any heating source to solubilize either of the component due to which the viscosity of the Blank F</w:t>
      </w:r>
      <w:r w:rsidRPr="00951749">
        <w:rPr>
          <w:rFonts w:ascii="Times New Roman" w:hAnsi="Times New Roman"/>
          <w:sz w:val="24"/>
          <w:szCs w:val="24"/>
          <w:vertAlign w:val="subscript"/>
        </w:rPr>
        <w:t>1</w:t>
      </w:r>
      <w:r w:rsidRPr="00951749">
        <w:rPr>
          <w:rFonts w:ascii="Times New Roman" w:hAnsi="Times New Roman"/>
          <w:sz w:val="24"/>
          <w:szCs w:val="24"/>
        </w:rPr>
        <w:t xml:space="preserve"> sample was high as comparison to other samples. Further, to describe the flow characteristics of all the formulations, different models were applied. It was observed that all the formulations shown a typical newtonian low viscous Bingham flow type. Bingham fluids shows linear shear stress/shear rate dependence after initial threshold has been reached. The results obtained for all the samples are in agreement with those found by Milovic et al., when carbamazepine loaded SMEDDS formulated was analyzed for rheological investigation </w:t>
      </w:r>
      <w:r w:rsidR="00DC37C4" w:rsidRPr="00951749">
        <w:rPr>
          <w:rFonts w:ascii="Times New Roman" w:hAnsi="Times New Roman"/>
          <w:sz w:val="24"/>
          <w:szCs w:val="24"/>
        </w:rPr>
        <w:fldChar w:fldCharType="begin"/>
      </w:r>
      <w:r w:rsidR="00F60EB8">
        <w:rPr>
          <w:rFonts w:ascii="Times New Roman" w:hAnsi="Times New Roman"/>
          <w:sz w:val="24"/>
          <w:szCs w:val="24"/>
        </w:rPr>
        <w:instrText xml:space="preserve"> ADDIN EN.CITE &lt;EndNote&gt;&lt;Cite&gt;&lt;Author&gt;Milović&lt;/Author&gt;&lt;Year&gt;2012&lt;/Year&gt;&lt;RecNum&gt;83&lt;/RecNum&gt;&lt;DisplayText&gt;[10]&lt;/DisplayText&gt;&lt;record&gt;&lt;rec-number&gt;83&lt;/rec-number&gt;&lt;foreign-keys&gt;&lt;key app="EN" db-id="d2fpw0wedwsdaxe9rabxw0z4d55a0sze0xft"&gt;83&lt;/key&gt;&lt;/foreign-keys&gt;&lt;ref-type name="Journal Article"&gt;17&lt;/ref-type&gt;&lt;contributors&gt;&lt;authors&gt;&lt;author&gt;Milović, Mladen&lt;/author&gt;&lt;author&gt;Djuriš, Jelena&lt;/author&gt;&lt;author&gt;Djekić, Ljiljana&lt;/author&gt;&lt;author&gt;Vasiljević, Dragana&lt;/author&gt;&lt;author&gt;Ibrić, Svetlana&lt;/author&gt;&lt;/authors&gt;&lt;/contributors&gt;&lt;titles&gt;&lt;title&gt;Characterization and evaluation of solid self-microemulsifying drug delivery systems with porous carriers as systems for improved carbamazepine release&lt;/title&gt;&lt;secondary-title&gt;International journal of pharmaceutics&lt;/secondary-title&gt;&lt;/titles&gt;&lt;periodical&gt;&lt;full-title&gt;International journal of pharmaceutics&lt;/full-title&gt;&lt;/periodical&gt;&lt;pages&gt;58-65&lt;/pages&gt;&lt;volume&gt;436&lt;/volume&gt;&lt;number&gt;1-2&lt;/number&gt;&lt;dates&gt;&lt;year&gt;2012&lt;/year&gt;&lt;/dates&gt;&lt;isbn&gt;0378-5173&lt;/isbn&gt;&lt;urls&gt;&lt;/urls&gt;&lt;/record&gt;&lt;/Cite&gt;&lt;/EndNote&gt;</w:instrText>
      </w:r>
      <w:r w:rsidR="00DC37C4" w:rsidRPr="00951749">
        <w:rPr>
          <w:rFonts w:ascii="Times New Roman" w:hAnsi="Times New Roman"/>
          <w:sz w:val="24"/>
          <w:szCs w:val="24"/>
        </w:rPr>
        <w:fldChar w:fldCharType="separate"/>
      </w:r>
      <w:r w:rsidR="00F60EB8">
        <w:rPr>
          <w:rFonts w:ascii="Times New Roman" w:hAnsi="Times New Roman"/>
          <w:noProof/>
          <w:sz w:val="24"/>
          <w:szCs w:val="24"/>
        </w:rPr>
        <w:t>[</w:t>
      </w:r>
      <w:hyperlink w:anchor="_ENREF_10" w:tooltip="Milović, 2012 #83" w:history="1">
        <w:r w:rsidR="00F60EB8">
          <w:rPr>
            <w:rFonts w:ascii="Times New Roman" w:hAnsi="Times New Roman"/>
            <w:noProof/>
            <w:sz w:val="24"/>
            <w:szCs w:val="24"/>
          </w:rPr>
          <w:t>10</w:t>
        </w:r>
      </w:hyperlink>
      <w:r w:rsidR="00F60EB8">
        <w:rPr>
          <w:rFonts w:ascii="Times New Roman" w:hAnsi="Times New Roman"/>
          <w:noProof/>
          <w:sz w:val="24"/>
          <w:szCs w:val="24"/>
        </w:rPr>
        <w:t>]</w:t>
      </w:r>
      <w:r w:rsidR="00DC37C4" w:rsidRPr="00951749">
        <w:rPr>
          <w:rFonts w:ascii="Times New Roman" w:hAnsi="Times New Roman"/>
          <w:sz w:val="24"/>
          <w:szCs w:val="24"/>
        </w:rPr>
        <w:fldChar w:fldCharType="end"/>
      </w:r>
      <w:r w:rsidRPr="00951749">
        <w:rPr>
          <w:rFonts w:ascii="Times New Roman" w:hAnsi="Times New Roman"/>
          <w:sz w:val="24"/>
          <w:szCs w:val="24"/>
        </w:rPr>
        <w:t xml:space="preserve">. </w:t>
      </w:r>
    </w:p>
    <w:p w:rsidR="00902FB0" w:rsidRDefault="0050295B" w:rsidP="00902FB0">
      <w:pPr>
        <w:spacing w:line="360" w:lineRule="auto"/>
        <w:jc w:val="both"/>
        <w:rPr>
          <w:rFonts w:ascii="Times New Roman" w:eastAsia="GulliverRM" w:hAnsi="Times New Roman"/>
          <w:sz w:val="24"/>
          <w:szCs w:val="24"/>
        </w:rPr>
      </w:pPr>
      <w:r w:rsidRPr="00951749">
        <w:rPr>
          <w:rFonts w:ascii="Times New Roman" w:eastAsia="GulliverRM" w:hAnsi="Times New Roman"/>
          <w:sz w:val="24"/>
          <w:szCs w:val="24"/>
        </w:rPr>
        <w:t>To study the effect of temperature on the flow characteristics, all the formulations were subjected to temperature sweep test from 0 to 40˚C. The rheogram showing the effect of temperature on the viscosity of the different formulati</w:t>
      </w:r>
      <w:r w:rsidR="00C07381">
        <w:rPr>
          <w:rFonts w:ascii="Times New Roman" w:eastAsia="GulliverRM" w:hAnsi="Times New Roman"/>
          <w:sz w:val="24"/>
          <w:szCs w:val="24"/>
        </w:rPr>
        <w:t>ons has been depicted in Fig. S4 B</w:t>
      </w:r>
      <w:r w:rsidRPr="00951749">
        <w:rPr>
          <w:rFonts w:ascii="Times New Roman" w:eastAsia="GulliverRM" w:hAnsi="Times New Roman"/>
          <w:sz w:val="24"/>
          <w:szCs w:val="24"/>
        </w:rPr>
        <w:t>. The rheogram of all the formulation showed that by increasing the temperature of all the formulation, the viscosity of the sample decreases and follows arrhenious equation. The activation energy (E</w:t>
      </w:r>
      <w:r w:rsidRPr="00951749">
        <w:rPr>
          <w:rFonts w:ascii="Times New Roman" w:eastAsia="GulliverRM" w:hAnsi="Times New Roman"/>
          <w:sz w:val="24"/>
          <w:szCs w:val="24"/>
          <w:vertAlign w:val="subscript"/>
        </w:rPr>
        <w:t>a</w:t>
      </w:r>
      <w:r w:rsidRPr="00951749">
        <w:rPr>
          <w:rFonts w:ascii="Times New Roman" w:eastAsia="GulliverRM" w:hAnsi="Times New Roman"/>
          <w:sz w:val="24"/>
          <w:szCs w:val="24"/>
        </w:rPr>
        <w:t>) of Blank F</w:t>
      </w:r>
      <w:r w:rsidRPr="00951749">
        <w:rPr>
          <w:rFonts w:ascii="Times New Roman" w:eastAsia="GulliverRM" w:hAnsi="Times New Roman"/>
          <w:sz w:val="24"/>
          <w:szCs w:val="24"/>
          <w:vertAlign w:val="subscript"/>
        </w:rPr>
        <w:t>1</w:t>
      </w:r>
      <w:r w:rsidRPr="00951749">
        <w:rPr>
          <w:rFonts w:ascii="Times New Roman" w:eastAsia="GulliverRM" w:hAnsi="Times New Roman"/>
          <w:sz w:val="24"/>
          <w:szCs w:val="24"/>
        </w:rPr>
        <w:t>, F</w:t>
      </w:r>
      <w:r w:rsidRPr="00951749">
        <w:rPr>
          <w:rFonts w:ascii="Times New Roman" w:eastAsia="GulliverRM" w:hAnsi="Times New Roman"/>
          <w:sz w:val="24"/>
          <w:szCs w:val="24"/>
          <w:vertAlign w:val="subscript"/>
        </w:rPr>
        <w:t>1</w:t>
      </w:r>
      <w:r w:rsidRPr="00951749">
        <w:rPr>
          <w:rFonts w:ascii="Times New Roman" w:eastAsia="GulliverRM" w:hAnsi="Times New Roman"/>
          <w:sz w:val="24"/>
          <w:szCs w:val="24"/>
        </w:rPr>
        <w:t>, Blank F</w:t>
      </w:r>
      <w:r w:rsidRPr="00951749">
        <w:rPr>
          <w:rFonts w:ascii="Times New Roman" w:eastAsia="GulliverRM" w:hAnsi="Times New Roman"/>
          <w:sz w:val="24"/>
          <w:szCs w:val="24"/>
          <w:vertAlign w:val="subscript"/>
        </w:rPr>
        <w:t>ss</w:t>
      </w:r>
      <w:r w:rsidRPr="00951749">
        <w:rPr>
          <w:rFonts w:ascii="Times New Roman" w:eastAsia="GulliverRM" w:hAnsi="Times New Roman"/>
          <w:sz w:val="24"/>
          <w:szCs w:val="24"/>
        </w:rPr>
        <w:t xml:space="preserve"> and </w:t>
      </w:r>
      <w:r w:rsidRPr="00951749">
        <w:rPr>
          <w:rFonts w:ascii="Times New Roman" w:hAnsi="Times New Roman"/>
          <w:sz w:val="24"/>
          <w:szCs w:val="24"/>
        </w:rPr>
        <w:t>F</w:t>
      </w:r>
      <w:r w:rsidRPr="00951749">
        <w:rPr>
          <w:rFonts w:ascii="Times New Roman" w:hAnsi="Times New Roman"/>
          <w:sz w:val="24"/>
          <w:szCs w:val="24"/>
          <w:vertAlign w:val="subscript"/>
        </w:rPr>
        <w:t>ss</w:t>
      </w:r>
      <w:r w:rsidRPr="00951749">
        <w:rPr>
          <w:rFonts w:ascii="Times New Roman" w:hAnsi="Times New Roman"/>
          <w:sz w:val="24"/>
          <w:szCs w:val="24"/>
        </w:rPr>
        <w:t xml:space="preserve"> formulations</w:t>
      </w:r>
      <w:r w:rsidRPr="00951749">
        <w:rPr>
          <w:rFonts w:ascii="Times New Roman" w:eastAsia="GulliverRM" w:hAnsi="Times New Roman"/>
          <w:sz w:val="24"/>
          <w:szCs w:val="24"/>
        </w:rPr>
        <w:t xml:space="preserve"> were found out to be 16.22 kJ/mol, 20.02 kJ/mol, 5.54 kJ/mol and 8.68 kJ/mol respectively. The above results suggested that all the formulations were found out to be stable at higher temperature.</w:t>
      </w:r>
    </w:p>
    <w:p w:rsidR="00902FB0" w:rsidRDefault="00902FB0" w:rsidP="00902FB0">
      <w:pPr>
        <w:spacing w:line="360" w:lineRule="auto"/>
        <w:jc w:val="both"/>
        <w:rPr>
          <w:rFonts w:ascii="Times New Roman" w:eastAsia="GulliverRM" w:hAnsi="Times New Roman"/>
          <w:sz w:val="24"/>
          <w:szCs w:val="24"/>
        </w:rPr>
      </w:pPr>
    </w:p>
    <w:p w:rsidR="005A626C" w:rsidRDefault="005A626C" w:rsidP="00902FB0">
      <w:pPr>
        <w:spacing w:line="360" w:lineRule="auto"/>
        <w:jc w:val="both"/>
        <w:rPr>
          <w:rFonts w:ascii="Times New Roman" w:eastAsia="GulliverRM" w:hAnsi="Times New Roman"/>
          <w:sz w:val="24"/>
          <w:szCs w:val="24"/>
        </w:rPr>
      </w:pPr>
    </w:p>
    <w:p w:rsidR="00902FB0" w:rsidRDefault="00902FB0" w:rsidP="00902FB0">
      <w:pPr>
        <w:spacing w:line="360" w:lineRule="auto"/>
        <w:jc w:val="both"/>
        <w:rPr>
          <w:rFonts w:ascii="Times New Roman" w:eastAsia="GulliverRM" w:hAnsi="Times New Roman"/>
          <w:sz w:val="24"/>
          <w:szCs w:val="24"/>
        </w:rPr>
      </w:pPr>
    </w:p>
    <w:p w:rsidR="00902FB0" w:rsidRDefault="00902FB0" w:rsidP="00902FB0">
      <w:pPr>
        <w:spacing w:line="360" w:lineRule="auto"/>
        <w:jc w:val="both"/>
        <w:rPr>
          <w:rFonts w:ascii="Times New Roman" w:eastAsia="GulliverRM" w:hAnsi="Times New Roman"/>
          <w:sz w:val="24"/>
          <w:szCs w:val="24"/>
        </w:rPr>
      </w:pPr>
    </w:p>
    <w:p w:rsidR="003031A8" w:rsidRPr="00902FB0" w:rsidRDefault="003031A8" w:rsidP="003031A8">
      <w:pPr>
        <w:spacing w:line="240" w:lineRule="auto"/>
        <w:rPr>
          <w:rFonts w:ascii="Times New Roman" w:hAnsi="Times New Roman"/>
          <w:sz w:val="20"/>
          <w:szCs w:val="20"/>
        </w:rPr>
      </w:pPr>
      <w:r w:rsidRPr="00902FB0">
        <w:rPr>
          <w:rFonts w:ascii="Times New Roman" w:hAnsi="Times New Roman"/>
          <w:b/>
          <w:sz w:val="20"/>
          <w:szCs w:val="20"/>
        </w:rPr>
        <w:lastRenderedPageBreak/>
        <w:t>Table S1:</w:t>
      </w:r>
      <w:r w:rsidRPr="00902FB0">
        <w:rPr>
          <w:rFonts w:ascii="Times New Roman" w:hAnsi="Times New Roman"/>
          <w:sz w:val="20"/>
          <w:szCs w:val="20"/>
        </w:rPr>
        <w:t xml:space="preserve"> Quality target product profile (QTPP) postulated for the development of S</w:t>
      </w:r>
      <w:r w:rsidR="005A626C">
        <w:rPr>
          <w:rFonts w:ascii="Times New Roman" w:hAnsi="Times New Roman"/>
          <w:sz w:val="20"/>
          <w:szCs w:val="20"/>
        </w:rPr>
        <w:t>P</w:t>
      </w:r>
      <w:r w:rsidRPr="00902FB0">
        <w:rPr>
          <w:rFonts w:ascii="Times New Roman" w:hAnsi="Times New Roman"/>
          <w:sz w:val="20"/>
          <w:szCs w:val="20"/>
        </w:rPr>
        <w:t>-</w:t>
      </w:r>
      <w:r w:rsidR="005A626C">
        <w:rPr>
          <w:rFonts w:ascii="Times New Roman" w:hAnsi="Times New Roman"/>
          <w:sz w:val="20"/>
          <w:szCs w:val="20"/>
        </w:rPr>
        <w:t>IM of Atazanavir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448"/>
        <w:gridCol w:w="2160"/>
        <w:gridCol w:w="4968"/>
      </w:tblGrid>
      <w:tr w:rsidR="003031A8" w:rsidRPr="003031A8" w:rsidTr="00B56B91">
        <w:tc>
          <w:tcPr>
            <w:tcW w:w="2448" w:type="dxa"/>
            <w:tcBorders>
              <w:top w:val="single" w:sz="4" w:space="0" w:color="auto"/>
              <w:bottom w:val="single" w:sz="4" w:space="0" w:color="auto"/>
            </w:tcBorders>
          </w:tcPr>
          <w:p w:rsidR="003031A8" w:rsidRPr="003031A8" w:rsidRDefault="003031A8" w:rsidP="003031A8">
            <w:pPr>
              <w:jc w:val="center"/>
              <w:rPr>
                <w:rFonts w:ascii="Times New Roman" w:hAnsi="Times New Roman"/>
                <w:b/>
                <w:sz w:val="20"/>
                <w:szCs w:val="20"/>
              </w:rPr>
            </w:pPr>
            <w:r w:rsidRPr="003031A8">
              <w:rPr>
                <w:rFonts w:ascii="Times New Roman" w:hAnsi="Times New Roman"/>
                <w:b/>
                <w:sz w:val="20"/>
                <w:szCs w:val="20"/>
              </w:rPr>
              <w:t>QTPP Elements</w:t>
            </w:r>
          </w:p>
        </w:tc>
        <w:tc>
          <w:tcPr>
            <w:tcW w:w="2160" w:type="dxa"/>
            <w:tcBorders>
              <w:top w:val="single" w:sz="4" w:space="0" w:color="auto"/>
              <w:bottom w:val="single" w:sz="4" w:space="0" w:color="auto"/>
            </w:tcBorders>
          </w:tcPr>
          <w:p w:rsidR="003031A8" w:rsidRPr="003031A8" w:rsidRDefault="003031A8" w:rsidP="003031A8">
            <w:pPr>
              <w:jc w:val="center"/>
              <w:rPr>
                <w:rFonts w:ascii="Times New Roman" w:hAnsi="Times New Roman"/>
                <w:b/>
                <w:sz w:val="20"/>
                <w:szCs w:val="20"/>
              </w:rPr>
            </w:pPr>
            <w:r w:rsidRPr="003031A8">
              <w:rPr>
                <w:rFonts w:ascii="Times New Roman" w:hAnsi="Times New Roman"/>
                <w:b/>
                <w:sz w:val="20"/>
                <w:szCs w:val="20"/>
              </w:rPr>
              <w:t>Target</w:t>
            </w:r>
          </w:p>
        </w:tc>
        <w:tc>
          <w:tcPr>
            <w:tcW w:w="4968" w:type="dxa"/>
            <w:tcBorders>
              <w:top w:val="single" w:sz="4" w:space="0" w:color="auto"/>
              <w:bottom w:val="single" w:sz="4" w:space="0" w:color="auto"/>
            </w:tcBorders>
          </w:tcPr>
          <w:p w:rsidR="003031A8" w:rsidRPr="003031A8" w:rsidRDefault="003031A8" w:rsidP="003031A8">
            <w:pPr>
              <w:jc w:val="center"/>
              <w:rPr>
                <w:rFonts w:ascii="Times New Roman" w:hAnsi="Times New Roman"/>
                <w:b/>
                <w:sz w:val="20"/>
                <w:szCs w:val="20"/>
              </w:rPr>
            </w:pPr>
            <w:r w:rsidRPr="003031A8">
              <w:rPr>
                <w:rFonts w:ascii="Times New Roman" w:hAnsi="Times New Roman"/>
                <w:b/>
                <w:sz w:val="20"/>
                <w:szCs w:val="20"/>
              </w:rPr>
              <w:t>Justification</w:t>
            </w:r>
          </w:p>
        </w:tc>
      </w:tr>
      <w:tr w:rsidR="003031A8" w:rsidRPr="003031A8" w:rsidTr="00B56B91">
        <w:tc>
          <w:tcPr>
            <w:tcW w:w="2448" w:type="dxa"/>
            <w:tcBorders>
              <w:top w:val="single" w:sz="4" w:space="0" w:color="auto"/>
            </w:tcBorders>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Dosage form</w:t>
            </w:r>
          </w:p>
        </w:tc>
        <w:tc>
          <w:tcPr>
            <w:tcW w:w="2160" w:type="dxa"/>
            <w:tcBorders>
              <w:top w:val="single" w:sz="4" w:space="0" w:color="auto"/>
            </w:tcBorders>
          </w:tcPr>
          <w:p w:rsidR="003031A8" w:rsidRPr="003031A8" w:rsidRDefault="003031A8" w:rsidP="005A626C">
            <w:pPr>
              <w:jc w:val="center"/>
              <w:rPr>
                <w:rFonts w:ascii="Times New Roman" w:hAnsi="Times New Roman"/>
                <w:sz w:val="20"/>
                <w:szCs w:val="20"/>
              </w:rPr>
            </w:pPr>
            <w:r w:rsidRPr="003031A8">
              <w:rPr>
                <w:rFonts w:ascii="Times New Roman" w:hAnsi="Times New Roman"/>
                <w:sz w:val="20"/>
                <w:szCs w:val="20"/>
              </w:rPr>
              <w:t>S</w:t>
            </w:r>
            <w:r w:rsidR="005A626C">
              <w:rPr>
                <w:rFonts w:ascii="Times New Roman" w:hAnsi="Times New Roman"/>
                <w:sz w:val="20"/>
                <w:szCs w:val="20"/>
              </w:rPr>
              <w:t>P</w:t>
            </w:r>
            <w:r w:rsidRPr="003031A8">
              <w:rPr>
                <w:rFonts w:ascii="Times New Roman" w:hAnsi="Times New Roman"/>
                <w:sz w:val="20"/>
                <w:szCs w:val="20"/>
              </w:rPr>
              <w:t>-</w:t>
            </w:r>
            <w:r w:rsidR="005A626C">
              <w:rPr>
                <w:rFonts w:ascii="Times New Roman" w:hAnsi="Times New Roman"/>
                <w:sz w:val="20"/>
                <w:szCs w:val="20"/>
              </w:rPr>
              <w:t>IM</w:t>
            </w:r>
          </w:p>
        </w:tc>
        <w:tc>
          <w:tcPr>
            <w:tcW w:w="4968" w:type="dxa"/>
            <w:tcBorders>
              <w:top w:val="single" w:sz="4" w:space="0" w:color="auto"/>
            </w:tcBorders>
          </w:tcPr>
          <w:p w:rsidR="003031A8" w:rsidRPr="003031A8" w:rsidRDefault="003031A8" w:rsidP="005A626C">
            <w:pPr>
              <w:jc w:val="both"/>
              <w:rPr>
                <w:rFonts w:ascii="Times New Roman" w:hAnsi="Times New Roman"/>
                <w:sz w:val="20"/>
                <w:szCs w:val="20"/>
              </w:rPr>
            </w:pPr>
            <w:r w:rsidRPr="003031A8">
              <w:rPr>
                <w:rFonts w:ascii="Times New Roman" w:hAnsi="Times New Roman"/>
                <w:sz w:val="20"/>
                <w:szCs w:val="20"/>
              </w:rPr>
              <w:t>Selection of suitable excipients for the development of S</w:t>
            </w:r>
            <w:r w:rsidR="005A626C">
              <w:rPr>
                <w:rFonts w:ascii="Times New Roman" w:hAnsi="Times New Roman"/>
                <w:sz w:val="20"/>
                <w:szCs w:val="20"/>
              </w:rPr>
              <w:t>P</w:t>
            </w:r>
            <w:r w:rsidRPr="003031A8">
              <w:rPr>
                <w:rFonts w:ascii="Times New Roman" w:hAnsi="Times New Roman"/>
                <w:sz w:val="20"/>
                <w:szCs w:val="20"/>
              </w:rPr>
              <w:t>-</w:t>
            </w:r>
            <w:r w:rsidR="005A626C">
              <w:rPr>
                <w:rFonts w:ascii="Times New Roman" w:hAnsi="Times New Roman"/>
                <w:sz w:val="20"/>
                <w:szCs w:val="20"/>
              </w:rPr>
              <w:t>IM</w:t>
            </w:r>
            <w:r w:rsidRPr="003031A8">
              <w:rPr>
                <w:rFonts w:ascii="Times New Roman" w:hAnsi="Times New Roman"/>
                <w:sz w:val="20"/>
                <w:szCs w:val="20"/>
              </w:rPr>
              <w:t xml:space="preserve"> which helps in the enhancement of biopharmaceutical attributes of BCS Class II drug (Atazanavir)</w:t>
            </w:r>
          </w:p>
        </w:tc>
      </w:tr>
      <w:tr w:rsidR="003031A8" w:rsidRPr="003031A8" w:rsidTr="00B56B91">
        <w:tc>
          <w:tcPr>
            <w:tcW w:w="2448" w:type="dxa"/>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Dosage type</w:t>
            </w:r>
          </w:p>
        </w:tc>
        <w:tc>
          <w:tcPr>
            <w:tcW w:w="2160" w:type="dxa"/>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Immediate release</w:t>
            </w:r>
          </w:p>
        </w:tc>
        <w:tc>
          <w:tcPr>
            <w:tcW w:w="4968" w:type="dxa"/>
          </w:tcPr>
          <w:p w:rsidR="003031A8" w:rsidRPr="003031A8" w:rsidRDefault="003031A8" w:rsidP="003031A8">
            <w:pPr>
              <w:jc w:val="both"/>
              <w:rPr>
                <w:rFonts w:ascii="Times New Roman" w:hAnsi="Times New Roman"/>
                <w:sz w:val="20"/>
                <w:szCs w:val="20"/>
              </w:rPr>
            </w:pPr>
            <w:r w:rsidRPr="003031A8">
              <w:rPr>
                <w:rFonts w:ascii="Times New Roman" w:hAnsi="Times New Roman"/>
                <w:sz w:val="20"/>
                <w:szCs w:val="20"/>
              </w:rPr>
              <w:t>Faster onset of action leading to enhanced therapeutic efficacy</w:t>
            </w:r>
          </w:p>
        </w:tc>
      </w:tr>
      <w:tr w:rsidR="003031A8" w:rsidRPr="003031A8" w:rsidTr="00B56B91">
        <w:tc>
          <w:tcPr>
            <w:tcW w:w="2448" w:type="dxa"/>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Dosage strength</w:t>
            </w:r>
          </w:p>
        </w:tc>
        <w:tc>
          <w:tcPr>
            <w:tcW w:w="2160" w:type="dxa"/>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50 mg</w:t>
            </w:r>
          </w:p>
        </w:tc>
        <w:tc>
          <w:tcPr>
            <w:tcW w:w="4968" w:type="dxa"/>
          </w:tcPr>
          <w:p w:rsidR="003031A8" w:rsidRPr="003031A8" w:rsidRDefault="003031A8" w:rsidP="005A626C">
            <w:pPr>
              <w:rPr>
                <w:rFonts w:ascii="Times New Roman" w:hAnsi="Times New Roman"/>
                <w:sz w:val="20"/>
                <w:szCs w:val="20"/>
              </w:rPr>
            </w:pPr>
            <w:r w:rsidRPr="003031A8">
              <w:rPr>
                <w:rFonts w:ascii="Times New Roman" w:hAnsi="Times New Roman"/>
                <w:sz w:val="20"/>
                <w:szCs w:val="20"/>
              </w:rPr>
              <w:t>Unit dose of Atazanvir that can be incorporated into a 1 g of S</w:t>
            </w:r>
            <w:r w:rsidR="005A626C">
              <w:rPr>
                <w:rFonts w:ascii="Times New Roman" w:hAnsi="Times New Roman"/>
                <w:sz w:val="20"/>
                <w:szCs w:val="20"/>
              </w:rPr>
              <w:t>P</w:t>
            </w:r>
            <w:r w:rsidRPr="003031A8">
              <w:rPr>
                <w:rFonts w:ascii="Times New Roman" w:hAnsi="Times New Roman"/>
                <w:sz w:val="20"/>
                <w:szCs w:val="20"/>
              </w:rPr>
              <w:t>-</w:t>
            </w:r>
            <w:r w:rsidR="005A626C">
              <w:rPr>
                <w:rFonts w:ascii="Times New Roman" w:hAnsi="Times New Roman"/>
                <w:sz w:val="20"/>
                <w:szCs w:val="20"/>
              </w:rPr>
              <w:t>IM</w:t>
            </w:r>
          </w:p>
        </w:tc>
      </w:tr>
      <w:tr w:rsidR="003031A8" w:rsidRPr="003031A8" w:rsidTr="00B56B91">
        <w:tc>
          <w:tcPr>
            <w:tcW w:w="2448" w:type="dxa"/>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Route of administration</w:t>
            </w:r>
          </w:p>
        </w:tc>
        <w:tc>
          <w:tcPr>
            <w:tcW w:w="2160" w:type="dxa"/>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Oral</w:t>
            </w:r>
          </w:p>
        </w:tc>
        <w:tc>
          <w:tcPr>
            <w:tcW w:w="4968" w:type="dxa"/>
          </w:tcPr>
          <w:p w:rsidR="003031A8" w:rsidRPr="003031A8" w:rsidRDefault="003031A8" w:rsidP="003031A8">
            <w:pPr>
              <w:rPr>
                <w:rFonts w:ascii="Times New Roman" w:hAnsi="Times New Roman"/>
                <w:sz w:val="20"/>
                <w:szCs w:val="20"/>
              </w:rPr>
            </w:pPr>
            <w:r w:rsidRPr="003031A8">
              <w:rPr>
                <w:rFonts w:ascii="Times New Roman" w:hAnsi="Times New Roman"/>
                <w:sz w:val="20"/>
                <w:szCs w:val="20"/>
              </w:rPr>
              <w:t xml:space="preserve">Recommended route for the delivery of atazanavir </w:t>
            </w:r>
          </w:p>
        </w:tc>
      </w:tr>
      <w:tr w:rsidR="003031A8" w:rsidRPr="003031A8" w:rsidTr="00B56B91">
        <w:tc>
          <w:tcPr>
            <w:tcW w:w="2448" w:type="dxa"/>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Dispersity</w:t>
            </w:r>
          </w:p>
        </w:tc>
        <w:tc>
          <w:tcPr>
            <w:tcW w:w="2160" w:type="dxa"/>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High dispersity of the globules after emulsification</w:t>
            </w:r>
          </w:p>
        </w:tc>
        <w:tc>
          <w:tcPr>
            <w:tcW w:w="4968" w:type="dxa"/>
          </w:tcPr>
          <w:p w:rsidR="003031A8" w:rsidRPr="003031A8" w:rsidRDefault="003031A8" w:rsidP="003031A8">
            <w:pPr>
              <w:rPr>
                <w:rFonts w:ascii="Times New Roman" w:hAnsi="Times New Roman"/>
                <w:sz w:val="20"/>
                <w:szCs w:val="20"/>
              </w:rPr>
            </w:pPr>
            <w:r w:rsidRPr="003031A8">
              <w:rPr>
                <w:rFonts w:ascii="Times New Roman" w:hAnsi="Times New Roman"/>
                <w:sz w:val="20"/>
                <w:szCs w:val="20"/>
              </w:rPr>
              <w:t xml:space="preserve">Uniform size distribution is a crucial step for attaining the therapeutic effective concentration of ATZ </w:t>
            </w:r>
          </w:p>
        </w:tc>
      </w:tr>
      <w:tr w:rsidR="003031A8" w:rsidRPr="003031A8" w:rsidTr="00B56B91">
        <w:tc>
          <w:tcPr>
            <w:tcW w:w="2448" w:type="dxa"/>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Pharmacokinetics</w:t>
            </w:r>
          </w:p>
        </w:tc>
        <w:tc>
          <w:tcPr>
            <w:tcW w:w="2160" w:type="dxa"/>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Higher C</w:t>
            </w:r>
            <w:r w:rsidRPr="003031A8">
              <w:rPr>
                <w:rFonts w:ascii="Times New Roman" w:hAnsi="Times New Roman"/>
                <w:sz w:val="20"/>
                <w:szCs w:val="20"/>
                <w:vertAlign w:val="subscript"/>
              </w:rPr>
              <w:t>max</w:t>
            </w:r>
            <w:r w:rsidRPr="003031A8">
              <w:rPr>
                <w:rFonts w:ascii="Times New Roman" w:hAnsi="Times New Roman"/>
                <w:sz w:val="20"/>
                <w:szCs w:val="20"/>
              </w:rPr>
              <w:t xml:space="preserve"> and AUC</w:t>
            </w:r>
          </w:p>
        </w:tc>
        <w:tc>
          <w:tcPr>
            <w:tcW w:w="4968" w:type="dxa"/>
          </w:tcPr>
          <w:p w:rsidR="003031A8" w:rsidRPr="003031A8" w:rsidRDefault="003031A8" w:rsidP="003031A8">
            <w:pPr>
              <w:rPr>
                <w:rFonts w:ascii="Times New Roman" w:hAnsi="Times New Roman"/>
                <w:sz w:val="20"/>
                <w:szCs w:val="20"/>
              </w:rPr>
            </w:pPr>
            <w:r w:rsidRPr="003031A8">
              <w:rPr>
                <w:rFonts w:ascii="Times New Roman" w:hAnsi="Times New Roman"/>
                <w:sz w:val="20"/>
                <w:szCs w:val="20"/>
              </w:rPr>
              <w:t xml:space="preserve">For attaining the required therapeutic concentration in the systemic circulation </w:t>
            </w:r>
          </w:p>
        </w:tc>
      </w:tr>
      <w:tr w:rsidR="003031A8" w:rsidRPr="003031A8" w:rsidTr="00B56B91">
        <w:tc>
          <w:tcPr>
            <w:tcW w:w="2448" w:type="dxa"/>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Stability</w:t>
            </w:r>
          </w:p>
        </w:tc>
        <w:tc>
          <w:tcPr>
            <w:tcW w:w="2160" w:type="dxa"/>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As per the conditions of ICH Q1A (R2) stability study</w:t>
            </w:r>
          </w:p>
        </w:tc>
        <w:tc>
          <w:tcPr>
            <w:tcW w:w="4968" w:type="dxa"/>
          </w:tcPr>
          <w:p w:rsidR="003031A8" w:rsidRPr="003031A8" w:rsidRDefault="003031A8" w:rsidP="003031A8">
            <w:pPr>
              <w:rPr>
                <w:rFonts w:ascii="Times New Roman" w:hAnsi="Times New Roman"/>
                <w:sz w:val="20"/>
                <w:szCs w:val="20"/>
              </w:rPr>
            </w:pPr>
            <w:r w:rsidRPr="003031A8">
              <w:rPr>
                <w:rFonts w:ascii="Times New Roman" w:hAnsi="Times New Roman"/>
                <w:sz w:val="20"/>
                <w:szCs w:val="20"/>
              </w:rPr>
              <w:t xml:space="preserve">To maintain the therapeutic level of the drug during the shelf life </w:t>
            </w:r>
          </w:p>
        </w:tc>
      </w:tr>
      <w:tr w:rsidR="003031A8" w:rsidRPr="003031A8" w:rsidTr="00B56B91">
        <w:tc>
          <w:tcPr>
            <w:tcW w:w="2448" w:type="dxa"/>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Container closure system</w:t>
            </w:r>
          </w:p>
        </w:tc>
        <w:tc>
          <w:tcPr>
            <w:tcW w:w="2160" w:type="dxa"/>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Air-tight glass bottle</w:t>
            </w:r>
          </w:p>
        </w:tc>
        <w:tc>
          <w:tcPr>
            <w:tcW w:w="4968" w:type="dxa"/>
          </w:tcPr>
          <w:p w:rsidR="003031A8" w:rsidRPr="003031A8" w:rsidRDefault="003031A8" w:rsidP="003031A8">
            <w:pPr>
              <w:rPr>
                <w:rFonts w:ascii="Times New Roman" w:hAnsi="Times New Roman"/>
                <w:sz w:val="20"/>
                <w:szCs w:val="20"/>
              </w:rPr>
            </w:pPr>
            <w:r w:rsidRPr="003031A8">
              <w:rPr>
                <w:rFonts w:ascii="Times New Roman" w:hAnsi="Times New Roman"/>
                <w:sz w:val="20"/>
                <w:szCs w:val="20"/>
              </w:rPr>
              <w:t>To protect against the degradation of drug and lipids in the presence of atmospheric air</w:t>
            </w:r>
          </w:p>
        </w:tc>
      </w:tr>
      <w:tr w:rsidR="003031A8" w:rsidRPr="003031A8" w:rsidTr="00B56B91">
        <w:tc>
          <w:tcPr>
            <w:tcW w:w="2448" w:type="dxa"/>
            <w:tcBorders>
              <w:bottom w:val="single" w:sz="4" w:space="0" w:color="auto"/>
            </w:tcBorders>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Contraindications</w:t>
            </w:r>
          </w:p>
        </w:tc>
        <w:tc>
          <w:tcPr>
            <w:tcW w:w="2160" w:type="dxa"/>
            <w:tcBorders>
              <w:bottom w:val="single" w:sz="4" w:space="0" w:color="auto"/>
            </w:tcBorders>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None</w:t>
            </w:r>
          </w:p>
        </w:tc>
        <w:tc>
          <w:tcPr>
            <w:tcW w:w="4968" w:type="dxa"/>
            <w:tcBorders>
              <w:bottom w:val="single" w:sz="4" w:space="0" w:color="auto"/>
            </w:tcBorders>
          </w:tcPr>
          <w:p w:rsidR="003031A8" w:rsidRPr="003031A8" w:rsidRDefault="003031A8" w:rsidP="003031A8">
            <w:pPr>
              <w:rPr>
                <w:rFonts w:ascii="Times New Roman" w:hAnsi="Times New Roman"/>
                <w:sz w:val="20"/>
                <w:szCs w:val="20"/>
              </w:rPr>
            </w:pPr>
            <w:r w:rsidRPr="003031A8">
              <w:rPr>
                <w:rFonts w:ascii="Times New Roman" w:hAnsi="Times New Roman"/>
                <w:sz w:val="20"/>
                <w:szCs w:val="20"/>
              </w:rPr>
              <w:t>None</w:t>
            </w:r>
          </w:p>
        </w:tc>
      </w:tr>
    </w:tbl>
    <w:p w:rsidR="00902FB0" w:rsidRDefault="00902FB0" w:rsidP="003031A8">
      <w:pPr>
        <w:spacing w:line="240" w:lineRule="auto"/>
        <w:rPr>
          <w:rFonts w:ascii="Times New Roman" w:hAnsi="Times New Roman"/>
          <w:b/>
          <w:sz w:val="20"/>
          <w:szCs w:val="20"/>
        </w:rPr>
      </w:pPr>
    </w:p>
    <w:p w:rsidR="003031A8" w:rsidRPr="00902FB0" w:rsidRDefault="003031A8" w:rsidP="003031A8">
      <w:pPr>
        <w:spacing w:line="240" w:lineRule="auto"/>
        <w:rPr>
          <w:rFonts w:ascii="Times New Roman" w:hAnsi="Times New Roman"/>
          <w:sz w:val="20"/>
          <w:szCs w:val="20"/>
        </w:rPr>
      </w:pPr>
      <w:r w:rsidRPr="00902FB0">
        <w:rPr>
          <w:rFonts w:ascii="Times New Roman" w:hAnsi="Times New Roman"/>
          <w:b/>
          <w:sz w:val="20"/>
          <w:szCs w:val="20"/>
        </w:rPr>
        <w:t>Table S2:</w:t>
      </w:r>
      <w:r w:rsidRPr="00902FB0">
        <w:rPr>
          <w:rFonts w:ascii="Times New Roman" w:hAnsi="Times New Roman"/>
          <w:sz w:val="20"/>
          <w:szCs w:val="20"/>
        </w:rPr>
        <w:t xml:space="preserve"> Critical quality attributes (CQAs) involved in formulating S</w:t>
      </w:r>
      <w:r w:rsidR="005A626C">
        <w:rPr>
          <w:rFonts w:ascii="Times New Roman" w:hAnsi="Times New Roman"/>
          <w:sz w:val="20"/>
          <w:szCs w:val="20"/>
        </w:rPr>
        <w:t>P</w:t>
      </w:r>
      <w:r w:rsidRPr="00902FB0">
        <w:rPr>
          <w:rFonts w:ascii="Times New Roman" w:hAnsi="Times New Roman"/>
          <w:sz w:val="20"/>
          <w:szCs w:val="20"/>
        </w:rPr>
        <w:t>-</w:t>
      </w:r>
      <w:r w:rsidR="005A626C">
        <w:rPr>
          <w:rFonts w:ascii="Times New Roman" w:hAnsi="Times New Roman"/>
          <w:sz w:val="20"/>
          <w:szCs w:val="20"/>
        </w:rPr>
        <w:t>IM</w:t>
      </w:r>
      <w:r w:rsidRPr="00902FB0">
        <w:rPr>
          <w:rFonts w:ascii="Times New Roman" w:hAnsi="Times New Roman"/>
          <w:sz w:val="20"/>
          <w:szCs w:val="20"/>
        </w:rPr>
        <w:t xml:space="preserve"> of Atazanavir and their justification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100"/>
        <w:gridCol w:w="1428"/>
        <w:gridCol w:w="1845"/>
        <w:gridCol w:w="4203"/>
      </w:tblGrid>
      <w:tr w:rsidR="003031A8" w:rsidRPr="003031A8" w:rsidTr="005A626C">
        <w:tc>
          <w:tcPr>
            <w:tcW w:w="2100" w:type="dxa"/>
            <w:tcBorders>
              <w:top w:val="single" w:sz="4" w:space="0" w:color="auto"/>
              <w:bottom w:val="single" w:sz="4" w:space="0" w:color="auto"/>
            </w:tcBorders>
          </w:tcPr>
          <w:p w:rsidR="003031A8" w:rsidRPr="003031A8" w:rsidRDefault="003031A8" w:rsidP="003031A8">
            <w:pPr>
              <w:jc w:val="center"/>
              <w:rPr>
                <w:rFonts w:ascii="Times New Roman" w:hAnsi="Times New Roman"/>
                <w:b/>
                <w:sz w:val="20"/>
                <w:szCs w:val="20"/>
              </w:rPr>
            </w:pPr>
            <w:r w:rsidRPr="003031A8">
              <w:rPr>
                <w:rFonts w:ascii="Times New Roman" w:hAnsi="Times New Roman"/>
                <w:b/>
                <w:sz w:val="20"/>
                <w:szCs w:val="20"/>
              </w:rPr>
              <w:t>Quality attributes of the drug product</w:t>
            </w:r>
          </w:p>
        </w:tc>
        <w:tc>
          <w:tcPr>
            <w:tcW w:w="1428" w:type="dxa"/>
            <w:tcBorders>
              <w:top w:val="single" w:sz="4" w:space="0" w:color="auto"/>
              <w:bottom w:val="single" w:sz="4" w:space="0" w:color="auto"/>
            </w:tcBorders>
          </w:tcPr>
          <w:p w:rsidR="003031A8" w:rsidRPr="003031A8" w:rsidRDefault="003031A8" w:rsidP="003031A8">
            <w:pPr>
              <w:jc w:val="center"/>
              <w:rPr>
                <w:rFonts w:ascii="Times New Roman" w:hAnsi="Times New Roman"/>
                <w:b/>
                <w:sz w:val="20"/>
                <w:szCs w:val="20"/>
              </w:rPr>
            </w:pPr>
            <w:r w:rsidRPr="003031A8">
              <w:rPr>
                <w:rFonts w:ascii="Times New Roman" w:hAnsi="Times New Roman"/>
                <w:b/>
                <w:sz w:val="20"/>
                <w:szCs w:val="20"/>
              </w:rPr>
              <w:t>Target</w:t>
            </w:r>
          </w:p>
        </w:tc>
        <w:tc>
          <w:tcPr>
            <w:tcW w:w="1845" w:type="dxa"/>
            <w:tcBorders>
              <w:top w:val="single" w:sz="4" w:space="0" w:color="auto"/>
              <w:bottom w:val="single" w:sz="4" w:space="0" w:color="auto"/>
            </w:tcBorders>
          </w:tcPr>
          <w:p w:rsidR="003031A8" w:rsidRPr="003031A8" w:rsidRDefault="003031A8" w:rsidP="003031A8">
            <w:pPr>
              <w:jc w:val="center"/>
              <w:rPr>
                <w:rFonts w:ascii="Times New Roman" w:hAnsi="Times New Roman"/>
                <w:b/>
                <w:sz w:val="20"/>
                <w:szCs w:val="20"/>
              </w:rPr>
            </w:pPr>
            <w:r w:rsidRPr="003031A8">
              <w:rPr>
                <w:rFonts w:ascii="Times New Roman" w:hAnsi="Times New Roman"/>
                <w:b/>
                <w:sz w:val="20"/>
                <w:szCs w:val="20"/>
              </w:rPr>
              <w:t>Is this a CQA?</w:t>
            </w:r>
          </w:p>
        </w:tc>
        <w:tc>
          <w:tcPr>
            <w:tcW w:w="4203" w:type="dxa"/>
            <w:tcBorders>
              <w:top w:val="single" w:sz="4" w:space="0" w:color="auto"/>
              <w:bottom w:val="single" w:sz="4" w:space="0" w:color="auto"/>
            </w:tcBorders>
          </w:tcPr>
          <w:p w:rsidR="003031A8" w:rsidRPr="003031A8" w:rsidRDefault="003031A8" w:rsidP="003031A8">
            <w:pPr>
              <w:jc w:val="center"/>
              <w:rPr>
                <w:rFonts w:ascii="Times New Roman" w:hAnsi="Times New Roman"/>
                <w:b/>
                <w:sz w:val="20"/>
                <w:szCs w:val="20"/>
              </w:rPr>
            </w:pPr>
            <w:r w:rsidRPr="003031A8">
              <w:rPr>
                <w:rFonts w:ascii="Times New Roman" w:hAnsi="Times New Roman"/>
                <w:b/>
                <w:sz w:val="20"/>
                <w:szCs w:val="20"/>
              </w:rPr>
              <w:t>Justification</w:t>
            </w:r>
          </w:p>
        </w:tc>
      </w:tr>
      <w:tr w:rsidR="003031A8" w:rsidRPr="003031A8" w:rsidTr="005A626C">
        <w:tc>
          <w:tcPr>
            <w:tcW w:w="2100" w:type="dxa"/>
            <w:tcBorders>
              <w:top w:val="single" w:sz="4" w:space="0" w:color="auto"/>
            </w:tcBorders>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Physical attributes</w:t>
            </w:r>
          </w:p>
          <w:p w:rsidR="003031A8" w:rsidRPr="003031A8" w:rsidRDefault="003031A8" w:rsidP="003031A8">
            <w:pPr>
              <w:jc w:val="both"/>
              <w:rPr>
                <w:rFonts w:ascii="Times New Roman" w:hAnsi="Times New Roman"/>
                <w:sz w:val="20"/>
                <w:szCs w:val="20"/>
              </w:rPr>
            </w:pPr>
            <w:r w:rsidRPr="003031A8">
              <w:rPr>
                <w:rFonts w:ascii="Times New Roman" w:hAnsi="Times New Roman"/>
                <w:sz w:val="20"/>
                <w:szCs w:val="20"/>
              </w:rPr>
              <w:t>(i) Color</w:t>
            </w:r>
          </w:p>
          <w:p w:rsidR="003031A8" w:rsidRPr="003031A8" w:rsidRDefault="003031A8" w:rsidP="003031A8">
            <w:pPr>
              <w:jc w:val="both"/>
              <w:rPr>
                <w:rFonts w:ascii="Times New Roman" w:hAnsi="Times New Roman"/>
                <w:sz w:val="20"/>
                <w:szCs w:val="20"/>
              </w:rPr>
            </w:pPr>
            <w:r w:rsidRPr="003031A8">
              <w:rPr>
                <w:rFonts w:ascii="Times New Roman" w:hAnsi="Times New Roman"/>
                <w:sz w:val="20"/>
                <w:szCs w:val="20"/>
              </w:rPr>
              <w:t>(ii) Odor</w:t>
            </w:r>
          </w:p>
          <w:p w:rsidR="003031A8" w:rsidRPr="003031A8" w:rsidRDefault="003031A8" w:rsidP="003031A8">
            <w:pPr>
              <w:jc w:val="both"/>
              <w:rPr>
                <w:rFonts w:ascii="Times New Roman" w:hAnsi="Times New Roman"/>
                <w:sz w:val="20"/>
                <w:szCs w:val="20"/>
              </w:rPr>
            </w:pPr>
            <w:r w:rsidRPr="003031A8">
              <w:rPr>
                <w:rFonts w:ascii="Times New Roman" w:hAnsi="Times New Roman"/>
                <w:sz w:val="20"/>
                <w:szCs w:val="20"/>
              </w:rPr>
              <w:t>(iii) Appearance</w:t>
            </w:r>
          </w:p>
        </w:tc>
        <w:tc>
          <w:tcPr>
            <w:tcW w:w="1428" w:type="dxa"/>
            <w:tcBorders>
              <w:top w:val="single" w:sz="4" w:space="0" w:color="auto"/>
            </w:tcBorders>
          </w:tcPr>
          <w:p w:rsidR="003031A8" w:rsidRPr="003031A8" w:rsidRDefault="003031A8" w:rsidP="003031A8">
            <w:pPr>
              <w:rPr>
                <w:rFonts w:ascii="Times New Roman" w:hAnsi="Times New Roman"/>
                <w:sz w:val="20"/>
                <w:szCs w:val="20"/>
              </w:rPr>
            </w:pPr>
          </w:p>
          <w:p w:rsidR="003031A8" w:rsidRPr="003031A8" w:rsidRDefault="003031A8" w:rsidP="003031A8">
            <w:pPr>
              <w:jc w:val="both"/>
              <w:rPr>
                <w:rFonts w:ascii="Times New Roman" w:hAnsi="Times New Roman"/>
                <w:sz w:val="20"/>
                <w:szCs w:val="20"/>
              </w:rPr>
            </w:pPr>
            <w:r w:rsidRPr="003031A8">
              <w:rPr>
                <w:rFonts w:ascii="Times New Roman" w:hAnsi="Times New Roman"/>
                <w:sz w:val="20"/>
                <w:szCs w:val="20"/>
              </w:rPr>
              <w:t>Acceptable to patients</w:t>
            </w:r>
          </w:p>
          <w:p w:rsidR="003031A8" w:rsidRPr="003031A8" w:rsidRDefault="003031A8" w:rsidP="003031A8">
            <w:pPr>
              <w:jc w:val="both"/>
              <w:rPr>
                <w:rFonts w:ascii="Times New Roman" w:hAnsi="Times New Roman"/>
                <w:sz w:val="20"/>
                <w:szCs w:val="20"/>
              </w:rPr>
            </w:pPr>
            <w:r w:rsidRPr="003031A8">
              <w:rPr>
                <w:rFonts w:ascii="Times New Roman" w:hAnsi="Times New Roman"/>
                <w:sz w:val="20"/>
                <w:szCs w:val="20"/>
              </w:rPr>
              <w:t>No unpleasant odor</w:t>
            </w:r>
          </w:p>
          <w:p w:rsidR="003031A8" w:rsidRPr="003031A8" w:rsidRDefault="003031A8" w:rsidP="003031A8">
            <w:pPr>
              <w:jc w:val="both"/>
              <w:rPr>
                <w:rFonts w:ascii="Times New Roman" w:hAnsi="Times New Roman"/>
                <w:sz w:val="20"/>
                <w:szCs w:val="20"/>
              </w:rPr>
            </w:pPr>
            <w:r w:rsidRPr="003031A8">
              <w:rPr>
                <w:rFonts w:ascii="Times New Roman" w:hAnsi="Times New Roman"/>
                <w:sz w:val="20"/>
                <w:szCs w:val="20"/>
              </w:rPr>
              <w:t>Acceptable to patients</w:t>
            </w:r>
          </w:p>
        </w:tc>
        <w:tc>
          <w:tcPr>
            <w:tcW w:w="1845" w:type="dxa"/>
            <w:tcBorders>
              <w:top w:val="single" w:sz="4" w:space="0" w:color="auto"/>
            </w:tcBorders>
            <w:vAlign w:val="center"/>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No</w:t>
            </w:r>
          </w:p>
        </w:tc>
        <w:tc>
          <w:tcPr>
            <w:tcW w:w="4203" w:type="dxa"/>
            <w:tcBorders>
              <w:top w:val="single" w:sz="4" w:space="0" w:color="auto"/>
            </w:tcBorders>
            <w:vAlign w:val="center"/>
          </w:tcPr>
          <w:p w:rsidR="003031A8" w:rsidRPr="003031A8" w:rsidRDefault="003031A8" w:rsidP="003031A8">
            <w:pPr>
              <w:jc w:val="both"/>
              <w:rPr>
                <w:rFonts w:ascii="Times New Roman" w:hAnsi="Times New Roman"/>
                <w:sz w:val="20"/>
                <w:szCs w:val="20"/>
              </w:rPr>
            </w:pPr>
            <w:r w:rsidRPr="003031A8">
              <w:rPr>
                <w:rFonts w:ascii="Times New Roman" w:hAnsi="Times New Roman"/>
                <w:sz w:val="20"/>
                <w:szCs w:val="20"/>
              </w:rPr>
              <w:t>Color, odor and appearance were not considered as CQA, as these are not directly associated with patient efficacy and safety.</w:t>
            </w:r>
          </w:p>
        </w:tc>
      </w:tr>
      <w:tr w:rsidR="003031A8" w:rsidRPr="003031A8" w:rsidTr="005A626C">
        <w:tc>
          <w:tcPr>
            <w:tcW w:w="2100" w:type="dxa"/>
            <w:vAlign w:val="center"/>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Particle Size (nm)</w:t>
            </w:r>
          </w:p>
        </w:tc>
        <w:tc>
          <w:tcPr>
            <w:tcW w:w="1428" w:type="dxa"/>
            <w:vAlign w:val="center"/>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&lt;100 nm</w:t>
            </w:r>
          </w:p>
        </w:tc>
        <w:tc>
          <w:tcPr>
            <w:tcW w:w="1845" w:type="dxa"/>
            <w:vAlign w:val="center"/>
          </w:tcPr>
          <w:p w:rsidR="003031A8" w:rsidRPr="003031A8" w:rsidRDefault="003031A8" w:rsidP="003031A8">
            <w:pPr>
              <w:jc w:val="center"/>
              <w:rPr>
                <w:rFonts w:ascii="Times New Roman" w:hAnsi="Times New Roman"/>
                <w:sz w:val="20"/>
                <w:szCs w:val="20"/>
                <w:vertAlign w:val="superscript"/>
              </w:rPr>
            </w:pPr>
            <w:r w:rsidRPr="003031A8">
              <w:rPr>
                <w:rFonts w:ascii="Times New Roman" w:hAnsi="Times New Roman"/>
                <w:sz w:val="20"/>
                <w:szCs w:val="20"/>
              </w:rPr>
              <w:t>Yes</w:t>
            </w:r>
            <w:r w:rsidRPr="003031A8">
              <w:rPr>
                <w:rFonts w:ascii="Times New Roman" w:hAnsi="Times New Roman"/>
                <w:sz w:val="20"/>
                <w:szCs w:val="20"/>
                <w:vertAlign w:val="superscript"/>
              </w:rPr>
              <w:t>*</w:t>
            </w:r>
          </w:p>
        </w:tc>
        <w:tc>
          <w:tcPr>
            <w:tcW w:w="4203" w:type="dxa"/>
            <w:vAlign w:val="center"/>
          </w:tcPr>
          <w:p w:rsidR="003031A8" w:rsidRPr="003031A8" w:rsidRDefault="003031A8" w:rsidP="003031A8">
            <w:pPr>
              <w:jc w:val="both"/>
              <w:rPr>
                <w:rFonts w:ascii="Times New Roman" w:hAnsi="Times New Roman"/>
                <w:sz w:val="20"/>
                <w:szCs w:val="20"/>
              </w:rPr>
            </w:pPr>
            <w:r w:rsidRPr="003031A8">
              <w:rPr>
                <w:rFonts w:ascii="Times New Roman" w:hAnsi="Times New Roman"/>
                <w:sz w:val="20"/>
                <w:szCs w:val="20"/>
              </w:rPr>
              <w:t>Nanoparticulate of smaller particle size allows ease in penetration across GI epithelial lining and paracellular pathways; therefore considered as highly critical.</w:t>
            </w:r>
          </w:p>
        </w:tc>
      </w:tr>
      <w:tr w:rsidR="003031A8" w:rsidRPr="003031A8" w:rsidTr="005A626C">
        <w:tc>
          <w:tcPr>
            <w:tcW w:w="2100" w:type="dxa"/>
            <w:vAlign w:val="center"/>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Polydispersity index (PDI)</w:t>
            </w:r>
          </w:p>
        </w:tc>
        <w:tc>
          <w:tcPr>
            <w:tcW w:w="1428" w:type="dxa"/>
            <w:vAlign w:val="center"/>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0 to 0.3</w:t>
            </w:r>
          </w:p>
        </w:tc>
        <w:tc>
          <w:tcPr>
            <w:tcW w:w="1845" w:type="dxa"/>
            <w:vAlign w:val="center"/>
          </w:tcPr>
          <w:p w:rsidR="003031A8" w:rsidRPr="003031A8" w:rsidRDefault="003031A8" w:rsidP="003031A8">
            <w:pPr>
              <w:jc w:val="center"/>
              <w:rPr>
                <w:rFonts w:ascii="Times New Roman" w:hAnsi="Times New Roman"/>
                <w:sz w:val="20"/>
                <w:szCs w:val="20"/>
                <w:vertAlign w:val="superscript"/>
              </w:rPr>
            </w:pPr>
            <w:r w:rsidRPr="003031A8">
              <w:rPr>
                <w:rFonts w:ascii="Times New Roman" w:hAnsi="Times New Roman"/>
                <w:sz w:val="20"/>
                <w:szCs w:val="20"/>
              </w:rPr>
              <w:t>Yes</w:t>
            </w:r>
            <w:r w:rsidRPr="003031A8">
              <w:rPr>
                <w:rFonts w:ascii="Times New Roman" w:hAnsi="Times New Roman"/>
                <w:sz w:val="20"/>
                <w:szCs w:val="20"/>
                <w:vertAlign w:val="superscript"/>
              </w:rPr>
              <w:t>*</w:t>
            </w:r>
          </w:p>
        </w:tc>
        <w:tc>
          <w:tcPr>
            <w:tcW w:w="4203" w:type="dxa"/>
            <w:vAlign w:val="center"/>
          </w:tcPr>
          <w:p w:rsidR="003031A8" w:rsidRPr="003031A8" w:rsidRDefault="003031A8" w:rsidP="003031A8">
            <w:pPr>
              <w:jc w:val="both"/>
              <w:rPr>
                <w:rFonts w:ascii="Times New Roman" w:hAnsi="Times New Roman"/>
                <w:sz w:val="20"/>
                <w:szCs w:val="20"/>
              </w:rPr>
            </w:pPr>
            <w:r w:rsidRPr="003031A8">
              <w:rPr>
                <w:rFonts w:ascii="Times New Roman" w:hAnsi="Times New Roman"/>
                <w:sz w:val="20"/>
                <w:szCs w:val="20"/>
              </w:rPr>
              <w:t>Uniform size distribution of ATZ nanoparticulates formed after reconstitution is important for achieving the desired therapeutic efficacy; hence considered as highly critical.</w:t>
            </w:r>
          </w:p>
        </w:tc>
      </w:tr>
      <w:tr w:rsidR="003031A8" w:rsidRPr="003031A8" w:rsidTr="005A626C">
        <w:tc>
          <w:tcPr>
            <w:tcW w:w="2100" w:type="dxa"/>
            <w:vAlign w:val="center"/>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Emulsification Time (s)</w:t>
            </w:r>
          </w:p>
        </w:tc>
        <w:tc>
          <w:tcPr>
            <w:tcW w:w="1428" w:type="dxa"/>
            <w:vAlign w:val="center"/>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0 to 60 s</w:t>
            </w:r>
          </w:p>
        </w:tc>
        <w:tc>
          <w:tcPr>
            <w:tcW w:w="1845" w:type="dxa"/>
            <w:vAlign w:val="center"/>
          </w:tcPr>
          <w:p w:rsidR="003031A8" w:rsidRPr="003031A8" w:rsidRDefault="003031A8" w:rsidP="003031A8">
            <w:pPr>
              <w:jc w:val="center"/>
              <w:rPr>
                <w:rFonts w:ascii="Times New Roman" w:hAnsi="Times New Roman"/>
                <w:sz w:val="20"/>
                <w:szCs w:val="20"/>
                <w:vertAlign w:val="superscript"/>
              </w:rPr>
            </w:pPr>
            <w:r w:rsidRPr="003031A8">
              <w:rPr>
                <w:rFonts w:ascii="Times New Roman" w:hAnsi="Times New Roman"/>
                <w:sz w:val="20"/>
                <w:szCs w:val="20"/>
              </w:rPr>
              <w:t>Yes</w:t>
            </w:r>
            <w:r w:rsidRPr="003031A8">
              <w:rPr>
                <w:rFonts w:ascii="Times New Roman" w:hAnsi="Times New Roman"/>
                <w:sz w:val="20"/>
                <w:szCs w:val="20"/>
                <w:vertAlign w:val="superscript"/>
              </w:rPr>
              <w:t>*</w:t>
            </w:r>
          </w:p>
        </w:tc>
        <w:tc>
          <w:tcPr>
            <w:tcW w:w="4203" w:type="dxa"/>
            <w:vAlign w:val="center"/>
          </w:tcPr>
          <w:p w:rsidR="003031A8" w:rsidRPr="003031A8" w:rsidRDefault="003031A8" w:rsidP="003031A8">
            <w:pPr>
              <w:jc w:val="both"/>
              <w:rPr>
                <w:rFonts w:ascii="Times New Roman" w:hAnsi="Times New Roman"/>
                <w:sz w:val="20"/>
                <w:szCs w:val="20"/>
              </w:rPr>
            </w:pPr>
            <w:r w:rsidRPr="003031A8">
              <w:rPr>
                <w:rFonts w:ascii="Times New Roman" w:hAnsi="Times New Roman"/>
                <w:sz w:val="20"/>
                <w:szCs w:val="20"/>
              </w:rPr>
              <w:t>Lower values of emulsification time helps in ease of forming microemulsion after reconstitution; hence regarded as highly critical.</w:t>
            </w:r>
          </w:p>
        </w:tc>
      </w:tr>
      <w:tr w:rsidR="003031A8" w:rsidRPr="003031A8" w:rsidTr="005A626C">
        <w:trPr>
          <w:trHeight w:val="1232"/>
        </w:trPr>
        <w:tc>
          <w:tcPr>
            <w:tcW w:w="2100" w:type="dxa"/>
            <w:vAlign w:val="center"/>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Drug Content (%)</w:t>
            </w:r>
          </w:p>
        </w:tc>
        <w:tc>
          <w:tcPr>
            <w:tcW w:w="1428" w:type="dxa"/>
            <w:vAlign w:val="center"/>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High</w:t>
            </w:r>
          </w:p>
        </w:tc>
        <w:tc>
          <w:tcPr>
            <w:tcW w:w="1845" w:type="dxa"/>
            <w:vAlign w:val="center"/>
          </w:tcPr>
          <w:p w:rsidR="003031A8" w:rsidRPr="003031A8" w:rsidRDefault="003031A8" w:rsidP="003031A8">
            <w:pPr>
              <w:jc w:val="center"/>
              <w:rPr>
                <w:rFonts w:ascii="Times New Roman" w:hAnsi="Times New Roman"/>
                <w:sz w:val="20"/>
                <w:szCs w:val="20"/>
                <w:vertAlign w:val="superscript"/>
              </w:rPr>
            </w:pPr>
            <w:r w:rsidRPr="003031A8">
              <w:rPr>
                <w:rFonts w:ascii="Times New Roman" w:hAnsi="Times New Roman"/>
                <w:sz w:val="20"/>
                <w:szCs w:val="20"/>
              </w:rPr>
              <w:t>Yes</w:t>
            </w:r>
            <w:r w:rsidRPr="003031A8">
              <w:rPr>
                <w:rFonts w:ascii="Times New Roman" w:hAnsi="Times New Roman"/>
                <w:sz w:val="20"/>
                <w:szCs w:val="20"/>
                <w:vertAlign w:val="superscript"/>
              </w:rPr>
              <w:t>*</w:t>
            </w:r>
          </w:p>
        </w:tc>
        <w:tc>
          <w:tcPr>
            <w:tcW w:w="4203" w:type="dxa"/>
            <w:vAlign w:val="center"/>
          </w:tcPr>
          <w:p w:rsidR="003031A8" w:rsidRPr="003031A8" w:rsidRDefault="003031A8" w:rsidP="005A626C">
            <w:pPr>
              <w:jc w:val="both"/>
              <w:rPr>
                <w:rFonts w:ascii="Times New Roman" w:hAnsi="Times New Roman"/>
                <w:sz w:val="20"/>
                <w:szCs w:val="20"/>
              </w:rPr>
            </w:pPr>
            <w:r w:rsidRPr="003031A8">
              <w:rPr>
                <w:rFonts w:ascii="Times New Roman" w:hAnsi="Times New Roman"/>
                <w:sz w:val="20"/>
                <w:szCs w:val="20"/>
              </w:rPr>
              <w:t>As S</w:t>
            </w:r>
            <w:r w:rsidR="005A626C">
              <w:rPr>
                <w:rFonts w:ascii="Times New Roman" w:hAnsi="Times New Roman"/>
                <w:sz w:val="20"/>
                <w:szCs w:val="20"/>
              </w:rPr>
              <w:t>P</w:t>
            </w:r>
            <w:r w:rsidRPr="003031A8">
              <w:rPr>
                <w:rFonts w:ascii="Times New Roman" w:hAnsi="Times New Roman"/>
                <w:sz w:val="20"/>
                <w:szCs w:val="20"/>
              </w:rPr>
              <w:t>-</w:t>
            </w:r>
            <w:r w:rsidR="005A626C">
              <w:rPr>
                <w:rFonts w:ascii="Times New Roman" w:hAnsi="Times New Roman"/>
                <w:sz w:val="20"/>
                <w:szCs w:val="20"/>
              </w:rPr>
              <w:t>IM</w:t>
            </w:r>
            <w:r w:rsidRPr="003031A8">
              <w:rPr>
                <w:rFonts w:ascii="Times New Roman" w:hAnsi="Times New Roman"/>
                <w:sz w:val="20"/>
                <w:szCs w:val="20"/>
              </w:rPr>
              <w:t xml:space="preserve"> being the homogenous dispersions containing ATZ solubilized in the blend of oil, surfactant and co-surfactant. Hence, this variable was regarded as highly critical.</w:t>
            </w:r>
          </w:p>
        </w:tc>
      </w:tr>
      <w:tr w:rsidR="003031A8" w:rsidRPr="003031A8" w:rsidTr="005A626C">
        <w:tc>
          <w:tcPr>
            <w:tcW w:w="2100" w:type="dxa"/>
            <w:tcBorders>
              <w:bottom w:val="single" w:sz="4" w:space="0" w:color="auto"/>
            </w:tcBorders>
            <w:vAlign w:val="center"/>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Percent Transmittance (%)</w:t>
            </w:r>
          </w:p>
        </w:tc>
        <w:tc>
          <w:tcPr>
            <w:tcW w:w="1428" w:type="dxa"/>
            <w:tcBorders>
              <w:bottom w:val="single" w:sz="4" w:space="0" w:color="auto"/>
            </w:tcBorders>
            <w:vAlign w:val="center"/>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90 to 100%</w:t>
            </w:r>
          </w:p>
        </w:tc>
        <w:tc>
          <w:tcPr>
            <w:tcW w:w="1845" w:type="dxa"/>
            <w:tcBorders>
              <w:bottom w:val="single" w:sz="4" w:space="0" w:color="auto"/>
            </w:tcBorders>
            <w:vAlign w:val="center"/>
          </w:tcPr>
          <w:p w:rsidR="003031A8" w:rsidRPr="003031A8" w:rsidRDefault="003031A8" w:rsidP="003031A8">
            <w:pPr>
              <w:jc w:val="center"/>
              <w:rPr>
                <w:rFonts w:ascii="Times New Roman" w:hAnsi="Times New Roman"/>
                <w:sz w:val="20"/>
                <w:szCs w:val="20"/>
                <w:vertAlign w:val="superscript"/>
              </w:rPr>
            </w:pPr>
            <w:r w:rsidRPr="003031A8">
              <w:rPr>
                <w:rFonts w:ascii="Times New Roman" w:hAnsi="Times New Roman"/>
                <w:sz w:val="20"/>
                <w:szCs w:val="20"/>
              </w:rPr>
              <w:t>Yes</w:t>
            </w:r>
            <w:r w:rsidRPr="003031A8">
              <w:rPr>
                <w:rFonts w:ascii="Times New Roman" w:hAnsi="Times New Roman"/>
                <w:sz w:val="20"/>
                <w:szCs w:val="20"/>
                <w:vertAlign w:val="superscript"/>
              </w:rPr>
              <w:t>*</w:t>
            </w:r>
          </w:p>
        </w:tc>
        <w:tc>
          <w:tcPr>
            <w:tcW w:w="4203" w:type="dxa"/>
            <w:tcBorders>
              <w:bottom w:val="single" w:sz="4" w:space="0" w:color="auto"/>
            </w:tcBorders>
          </w:tcPr>
          <w:p w:rsidR="003031A8" w:rsidRPr="003031A8" w:rsidRDefault="003031A8" w:rsidP="005A626C">
            <w:pPr>
              <w:jc w:val="both"/>
              <w:rPr>
                <w:rFonts w:ascii="Times New Roman" w:hAnsi="Times New Roman"/>
                <w:sz w:val="20"/>
                <w:szCs w:val="20"/>
              </w:rPr>
            </w:pPr>
            <w:r w:rsidRPr="003031A8">
              <w:rPr>
                <w:rFonts w:ascii="Times New Roman" w:hAnsi="Times New Roman"/>
                <w:sz w:val="20"/>
                <w:szCs w:val="20"/>
              </w:rPr>
              <w:t>Higher the values of % transmittance of S</w:t>
            </w:r>
            <w:r w:rsidR="005A626C">
              <w:rPr>
                <w:rFonts w:ascii="Times New Roman" w:hAnsi="Times New Roman"/>
                <w:sz w:val="20"/>
                <w:szCs w:val="20"/>
              </w:rPr>
              <w:t>P</w:t>
            </w:r>
            <w:r w:rsidRPr="003031A8">
              <w:rPr>
                <w:rFonts w:ascii="Times New Roman" w:hAnsi="Times New Roman"/>
                <w:sz w:val="20"/>
                <w:szCs w:val="20"/>
              </w:rPr>
              <w:t>-</w:t>
            </w:r>
            <w:r w:rsidR="005A626C">
              <w:rPr>
                <w:rFonts w:ascii="Times New Roman" w:hAnsi="Times New Roman"/>
                <w:sz w:val="20"/>
                <w:szCs w:val="20"/>
              </w:rPr>
              <w:t>IM</w:t>
            </w:r>
            <w:r w:rsidRPr="003031A8">
              <w:rPr>
                <w:rFonts w:ascii="Times New Roman" w:hAnsi="Times New Roman"/>
                <w:sz w:val="20"/>
                <w:szCs w:val="20"/>
              </w:rPr>
              <w:t xml:space="preserve"> formed after reconstitution shows the stability of the microemulsion and in addition to it lower will be the particle size; hence considered as highly critical.</w:t>
            </w:r>
          </w:p>
        </w:tc>
      </w:tr>
    </w:tbl>
    <w:p w:rsidR="00F60EB8" w:rsidRDefault="00F60EB8" w:rsidP="00F6762E">
      <w:pPr>
        <w:jc w:val="center"/>
        <w:rPr>
          <w:rFonts w:ascii="Times New Roman" w:hAnsi="Times New Roman"/>
          <w:noProof/>
          <w:sz w:val="24"/>
          <w:szCs w:val="24"/>
        </w:rPr>
      </w:pPr>
    </w:p>
    <w:p w:rsidR="00D52F74" w:rsidRDefault="00460DDD" w:rsidP="00F6762E">
      <w:pPr>
        <w:jc w:val="center"/>
        <w:rPr>
          <w:rFonts w:ascii="Times New Roman" w:hAnsi="Times New Roman"/>
          <w:b/>
          <w:sz w:val="20"/>
          <w:szCs w:val="20"/>
        </w:rPr>
      </w:pPr>
      <w:r w:rsidRPr="00460DDD">
        <w:rPr>
          <w:rFonts w:ascii="Times New Roman" w:hAnsi="Times New Roman"/>
          <w:noProof/>
          <w:sz w:val="24"/>
          <w:szCs w:val="24"/>
        </w:rPr>
        <w:drawing>
          <wp:inline distT="0" distB="0" distL="0" distR="0">
            <wp:extent cx="5940328" cy="32194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5943600" cy="3221223"/>
                    </a:xfrm>
                    <a:prstGeom prst="rect">
                      <a:avLst/>
                    </a:prstGeom>
                    <a:noFill/>
                    <a:ln w="9525">
                      <a:noFill/>
                      <a:miter lim="800000"/>
                      <a:headEnd/>
                      <a:tailEnd/>
                    </a:ln>
                  </pic:spPr>
                </pic:pic>
              </a:graphicData>
            </a:graphic>
          </wp:inline>
        </w:drawing>
      </w:r>
    </w:p>
    <w:p w:rsidR="00D52F74" w:rsidRPr="00172AC5" w:rsidRDefault="00D52F74" w:rsidP="00D52F74">
      <w:pPr>
        <w:spacing w:line="240" w:lineRule="auto"/>
        <w:jc w:val="both"/>
        <w:rPr>
          <w:rFonts w:ascii="Times New Roman" w:hAnsi="Times New Roman"/>
          <w:noProof/>
          <w:sz w:val="20"/>
          <w:szCs w:val="20"/>
        </w:rPr>
      </w:pPr>
      <w:r w:rsidRPr="00172AC5">
        <w:rPr>
          <w:rFonts w:ascii="Times New Roman" w:hAnsi="Times New Roman"/>
          <w:b/>
          <w:noProof/>
          <w:sz w:val="20"/>
          <w:szCs w:val="20"/>
        </w:rPr>
        <w:t>Fig. S1:</w:t>
      </w:r>
      <w:r w:rsidRPr="00172AC5">
        <w:rPr>
          <w:rFonts w:ascii="Times New Roman" w:hAnsi="Times New Roman"/>
          <w:noProof/>
          <w:sz w:val="20"/>
          <w:szCs w:val="20"/>
        </w:rPr>
        <w:t xml:space="preserve"> Ishikawa fish-bone diagram depicting the cause-and-effect relationship among the formulation and process variables for the development of S</w:t>
      </w:r>
      <w:r w:rsidR="005A626C">
        <w:rPr>
          <w:rFonts w:ascii="Times New Roman" w:hAnsi="Times New Roman"/>
          <w:noProof/>
          <w:sz w:val="20"/>
          <w:szCs w:val="20"/>
        </w:rPr>
        <w:t>P</w:t>
      </w:r>
      <w:r w:rsidRPr="00172AC5">
        <w:rPr>
          <w:rFonts w:ascii="Times New Roman" w:hAnsi="Times New Roman"/>
          <w:noProof/>
          <w:sz w:val="20"/>
          <w:szCs w:val="20"/>
        </w:rPr>
        <w:t>-</w:t>
      </w:r>
      <w:r w:rsidR="005A626C">
        <w:rPr>
          <w:rFonts w:ascii="Times New Roman" w:hAnsi="Times New Roman"/>
          <w:noProof/>
          <w:sz w:val="20"/>
          <w:szCs w:val="20"/>
        </w:rPr>
        <w:t>IM</w:t>
      </w:r>
    </w:p>
    <w:p w:rsidR="00902FB0" w:rsidRDefault="00902FB0" w:rsidP="00902FB0">
      <w:pPr>
        <w:rPr>
          <w:rFonts w:ascii="Times New Roman" w:hAnsi="Times New Roman"/>
          <w:sz w:val="24"/>
          <w:szCs w:val="24"/>
        </w:rPr>
      </w:pPr>
      <w:r w:rsidRPr="00902FB0">
        <w:rPr>
          <w:rFonts w:ascii="Times New Roman" w:hAnsi="Times New Roman"/>
          <w:b/>
          <w:sz w:val="20"/>
          <w:szCs w:val="20"/>
        </w:rPr>
        <w:t xml:space="preserve">Table S3: </w:t>
      </w:r>
      <w:r w:rsidRPr="00902FB0">
        <w:rPr>
          <w:rFonts w:ascii="Times New Roman" w:hAnsi="Times New Roman"/>
          <w:sz w:val="20"/>
          <w:szCs w:val="20"/>
        </w:rPr>
        <w:t>FMEA matrix enlisting RPN scores for the material attributes and process parameters</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758"/>
        <w:gridCol w:w="2246"/>
        <w:gridCol w:w="1250"/>
        <w:gridCol w:w="1471"/>
        <w:gridCol w:w="1215"/>
        <w:gridCol w:w="1216"/>
        <w:gridCol w:w="1420"/>
      </w:tblGrid>
      <w:tr w:rsidR="00902FB0" w:rsidRPr="00902FB0" w:rsidTr="00B56B91">
        <w:trPr>
          <w:jc w:val="center"/>
        </w:trPr>
        <w:tc>
          <w:tcPr>
            <w:tcW w:w="795" w:type="dxa"/>
            <w:tcBorders>
              <w:top w:val="single" w:sz="4" w:space="0" w:color="auto"/>
              <w:bottom w:val="single" w:sz="4" w:space="0" w:color="auto"/>
            </w:tcBorders>
          </w:tcPr>
          <w:p w:rsidR="00902FB0" w:rsidRPr="00902FB0" w:rsidRDefault="00902FB0" w:rsidP="00B56B91">
            <w:pPr>
              <w:jc w:val="center"/>
              <w:rPr>
                <w:rFonts w:ascii="Times New Roman" w:hAnsi="Times New Roman"/>
                <w:b/>
                <w:sz w:val="20"/>
                <w:szCs w:val="20"/>
              </w:rPr>
            </w:pPr>
            <w:r w:rsidRPr="00902FB0">
              <w:rPr>
                <w:rFonts w:ascii="Times New Roman" w:hAnsi="Times New Roman"/>
                <w:b/>
                <w:sz w:val="20"/>
                <w:szCs w:val="20"/>
              </w:rPr>
              <w:t>S.No.</w:t>
            </w:r>
          </w:p>
        </w:tc>
        <w:tc>
          <w:tcPr>
            <w:tcW w:w="2650" w:type="dxa"/>
            <w:tcBorders>
              <w:top w:val="single" w:sz="4" w:space="0" w:color="auto"/>
              <w:bottom w:val="single" w:sz="4" w:space="0" w:color="auto"/>
            </w:tcBorders>
          </w:tcPr>
          <w:p w:rsidR="00902FB0" w:rsidRPr="00902FB0" w:rsidRDefault="00902FB0" w:rsidP="00B56B91">
            <w:pPr>
              <w:jc w:val="center"/>
              <w:rPr>
                <w:rFonts w:ascii="Times New Roman" w:hAnsi="Times New Roman"/>
                <w:b/>
                <w:sz w:val="20"/>
                <w:szCs w:val="20"/>
              </w:rPr>
            </w:pPr>
            <w:r w:rsidRPr="00902FB0">
              <w:rPr>
                <w:rFonts w:ascii="Times New Roman" w:hAnsi="Times New Roman"/>
                <w:b/>
                <w:sz w:val="20"/>
                <w:szCs w:val="20"/>
              </w:rPr>
              <w:t>Failure Steps</w:t>
            </w:r>
          </w:p>
        </w:tc>
        <w:tc>
          <w:tcPr>
            <w:tcW w:w="1350" w:type="dxa"/>
            <w:tcBorders>
              <w:top w:val="single" w:sz="4" w:space="0" w:color="auto"/>
              <w:bottom w:val="single" w:sz="4" w:space="0" w:color="auto"/>
            </w:tcBorders>
          </w:tcPr>
          <w:p w:rsidR="00902FB0" w:rsidRPr="00902FB0" w:rsidRDefault="00902FB0" w:rsidP="00B56B91">
            <w:pPr>
              <w:jc w:val="center"/>
              <w:rPr>
                <w:rFonts w:ascii="Times New Roman" w:hAnsi="Times New Roman"/>
                <w:b/>
                <w:sz w:val="20"/>
                <w:szCs w:val="20"/>
              </w:rPr>
            </w:pPr>
            <w:r w:rsidRPr="00902FB0">
              <w:rPr>
                <w:rFonts w:ascii="Times New Roman" w:hAnsi="Times New Roman"/>
                <w:b/>
                <w:sz w:val="20"/>
                <w:szCs w:val="20"/>
              </w:rPr>
              <w:t>Severity*</w:t>
            </w:r>
          </w:p>
          <w:p w:rsidR="00902FB0" w:rsidRPr="00902FB0" w:rsidRDefault="00902FB0" w:rsidP="00B56B91">
            <w:pPr>
              <w:jc w:val="center"/>
              <w:rPr>
                <w:rFonts w:ascii="Times New Roman" w:hAnsi="Times New Roman"/>
                <w:b/>
                <w:sz w:val="20"/>
                <w:szCs w:val="20"/>
              </w:rPr>
            </w:pPr>
            <w:r w:rsidRPr="00902FB0">
              <w:rPr>
                <w:rFonts w:ascii="Times New Roman" w:hAnsi="Times New Roman"/>
                <w:b/>
                <w:sz w:val="20"/>
                <w:szCs w:val="20"/>
              </w:rPr>
              <w:t>(S)</w:t>
            </w:r>
          </w:p>
        </w:tc>
        <w:tc>
          <w:tcPr>
            <w:tcW w:w="1537" w:type="dxa"/>
            <w:tcBorders>
              <w:top w:val="single" w:sz="4" w:space="0" w:color="auto"/>
              <w:bottom w:val="single" w:sz="4" w:space="0" w:color="auto"/>
            </w:tcBorders>
          </w:tcPr>
          <w:p w:rsidR="00902FB0" w:rsidRPr="00902FB0" w:rsidRDefault="00902FB0" w:rsidP="00B56B91">
            <w:pPr>
              <w:jc w:val="center"/>
              <w:rPr>
                <w:rFonts w:ascii="Times New Roman" w:hAnsi="Times New Roman"/>
                <w:b/>
                <w:sz w:val="20"/>
                <w:szCs w:val="20"/>
              </w:rPr>
            </w:pPr>
            <w:r w:rsidRPr="00902FB0">
              <w:rPr>
                <w:rFonts w:ascii="Times New Roman" w:hAnsi="Times New Roman"/>
                <w:b/>
                <w:sz w:val="20"/>
                <w:szCs w:val="20"/>
              </w:rPr>
              <w:t>Occurrence* (O)</w:t>
            </w:r>
          </w:p>
        </w:tc>
        <w:tc>
          <w:tcPr>
            <w:tcW w:w="1253" w:type="dxa"/>
            <w:tcBorders>
              <w:top w:val="single" w:sz="4" w:space="0" w:color="auto"/>
              <w:bottom w:val="single" w:sz="4" w:space="0" w:color="auto"/>
            </w:tcBorders>
          </w:tcPr>
          <w:p w:rsidR="00902FB0" w:rsidRPr="00902FB0" w:rsidRDefault="00902FB0" w:rsidP="00B56B91">
            <w:pPr>
              <w:jc w:val="center"/>
              <w:rPr>
                <w:rFonts w:ascii="Times New Roman" w:hAnsi="Times New Roman"/>
                <w:b/>
                <w:sz w:val="20"/>
                <w:szCs w:val="20"/>
              </w:rPr>
            </w:pPr>
            <w:r w:rsidRPr="00902FB0">
              <w:rPr>
                <w:rFonts w:ascii="Times New Roman" w:hAnsi="Times New Roman"/>
                <w:b/>
                <w:sz w:val="20"/>
                <w:szCs w:val="20"/>
              </w:rPr>
              <w:t>Detection* (D)</w:t>
            </w:r>
          </w:p>
        </w:tc>
        <w:tc>
          <w:tcPr>
            <w:tcW w:w="1440" w:type="dxa"/>
            <w:tcBorders>
              <w:top w:val="single" w:sz="4" w:space="0" w:color="auto"/>
              <w:bottom w:val="single" w:sz="4" w:space="0" w:color="auto"/>
            </w:tcBorders>
          </w:tcPr>
          <w:p w:rsidR="00902FB0" w:rsidRPr="00902FB0" w:rsidRDefault="00902FB0" w:rsidP="00B56B91">
            <w:pPr>
              <w:jc w:val="center"/>
              <w:rPr>
                <w:rFonts w:ascii="Times New Roman" w:hAnsi="Times New Roman"/>
                <w:b/>
                <w:sz w:val="20"/>
                <w:szCs w:val="20"/>
              </w:rPr>
            </w:pPr>
            <w:r w:rsidRPr="00902FB0">
              <w:rPr>
                <w:rFonts w:ascii="Times New Roman" w:hAnsi="Times New Roman"/>
                <w:b/>
                <w:sz w:val="20"/>
                <w:szCs w:val="20"/>
              </w:rPr>
              <w:t>RPN Score</w:t>
            </w:r>
          </w:p>
        </w:tc>
        <w:tc>
          <w:tcPr>
            <w:tcW w:w="1645" w:type="dxa"/>
            <w:tcBorders>
              <w:top w:val="single" w:sz="4" w:space="0" w:color="auto"/>
              <w:bottom w:val="single" w:sz="4" w:space="0" w:color="auto"/>
            </w:tcBorders>
          </w:tcPr>
          <w:p w:rsidR="00902FB0" w:rsidRPr="00902FB0" w:rsidRDefault="00902FB0" w:rsidP="00B56B91">
            <w:pPr>
              <w:jc w:val="center"/>
              <w:rPr>
                <w:rFonts w:ascii="Times New Roman" w:hAnsi="Times New Roman"/>
                <w:b/>
                <w:sz w:val="20"/>
                <w:szCs w:val="20"/>
              </w:rPr>
            </w:pPr>
            <w:r w:rsidRPr="00902FB0">
              <w:rPr>
                <w:rFonts w:ascii="Times New Roman" w:hAnsi="Times New Roman"/>
                <w:b/>
                <w:sz w:val="20"/>
                <w:szCs w:val="20"/>
              </w:rPr>
              <w:t>Risk Factor</w:t>
            </w:r>
          </w:p>
        </w:tc>
      </w:tr>
      <w:tr w:rsidR="00902FB0" w:rsidRPr="00902FB0" w:rsidTr="00B56B91">
        <w:trPr>
          <w:jc w:val="center"/>
        </w:trPr>
        <w:tc>
          <w:tcPr>
            <w:tcW w:w="10670" w:type="dxa"/>
            <w:gridSpan w:val="7"/>
            <w:tcBorders>
              <w:top w:val="single" w:sz="4" w:space="0" w:color="auto"/>
              <w:bottom w:val="single" w:sz="4" w:space="0" w:color="auto"/>
            </w:tcBorders>
          </w:tcPr>
          <w:p w:rsidR="00902FB0" w:rsidRPr="00902FB0" w:rsidRDefault="00902FB0" w:rsidP="00B56B91">
            <w:pPr>
              <w:jc w:val="center"/>
              <w:rPr>
                <w:rFonts w:ascii="Times New Roman" w:hAnsi="Times New Roman"/>
                <w:b/>
                <w:sz w:val="20"/>
                <w:szCs w:val="20"/>
              </w:rPr>
            </w:pPr>
            <w:r w:rsidRPr="00902FB0">
              <w:rPr>
                <w:rFonts w:ascii="Times New Roman" w:hAnsi="Times New Roman"/>
                <w:b/>
                <w:sz w:val="20"/>
                <w:szCs w:val="20"/>
              </w:rPr>
              <w:t>Material Attributes</w:t>
            </w:r>
          </w:p>
        </w:tc>
      </w:tr>
      <w:tr w:rsidR="00902FB0" w:rsidRPr="00902FB0" w:rsidTr="00B56B91">
        <w:trPr>
          <w:jc w:val="center"/>
        </w:trPr>
        <w:tc>
          <w:tcPr>
            <w:tcW w:w="795" w:type="dxa"/>
            <w:tcBorders>
              <w:top w:val="single" w:sz="4" w:space="0" w:color="auto"/>
            </w:tcBorders>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1.</w:t>
            </w:r>
          </w:p>
        </w:tc>
        <w:tc>
          <w:tcPr>
            <w:tcW w:w="2650" w:type="dxa"/>
            <w:tcBorders>
              <w:top w:val="single" w:sz="4" w:space="0" w:color="auto"/>
            </w:tcBorders>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Type of Oil</w:t>
            </w:r>
          </w:p>
        </w:tc>
        <w:tc>
          <w:tcPr>
            <w:tcW w:w="1350" w:type="dxa"/>
            <w:tcBorders>
              <w:top w:val="single" w:sz="4" w:space="0" w:color="auto"/>
            </w:tcBorders>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5</w:t>
            </w:r>
          </w:p>
        </w:tc>
        <w:tc>
          <w:tcPr>
            <w:tcW w:w="1537" w:type="dxa"/>
            <w:tcBorders>
              <w:top w:val="single" w:sz="4" w:space="0" w:color="auto"/>
            </w:tcBorders>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5</w:t>
            </w:r>
          </w:p>
        </w:tc>
        <w:tc>
          <w:tcPr>
            <w:tcW w:w="1253" w:type="dxa"/>
            <w:tcBorders>
              <w:top w:val="single" w:sz="4" w:space="0" w:color="auto"/>
            </w:tcBorders>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5</w:t>
            </w:r>
          </w:p>
        </w:tc>
        <w:tc>
          <w:tcPr>
            <w:tcW w:w="1440" w:type="dxa"/>
            <w:tcBorders>
              <w:top w:val="single" w:sz="4" w:space="0" w:color="auto"/>
            </w:tcBorders>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125</w:t>
            </w:r>
          </w:p>
        </w:tc>
        <w:tc>
          <w:tcPr>
            <w:tcW w:w="1645" w:type="dxa"/>
            <w:tcBorders>
              <w:top w:val="single" w:sz="4" w:space="0" w:color="auto"/>
            </w:tcBorders>
            <w:vAlign w:val="center"/>
          </w:tcPr>
          <w:p w:rsidR="00902FB0" w:rsidRPr="00902FB0" w:rsidRDefault="00902FB0" w:rsidP="00B56B91">
            <w:pPr>
              <w:jc w:val="center"/>
              <w:rPr>
                <w:rFonts w:ascii="Times New Roman" w:hAnsi="Times New Roman"/>
                <w:sz w:val="20"/>
                <w:szCs w:val="20"/>
                <w:highlight w:val="green"/>
              </w:rPr>
            </w:pPr>
            <w:r w:rsidRPr="00902FB0">
              <w:rPr>
                <w:rFonts w:ascii="Times New Roman" w:hAnsi="Times New Roman"/>
                <w:sz w:val="20"/>
                <w:szCs w:val="20"/>
                <w:highlight w:val="green"/>
              </w:rPr>
              <w:t>Low</w:t>
            </w:r>
          </w:p>
        </w:tc>
      </w:tr>
      <w:tr w:rsidR="00902FB0" w:rsidRPr="00902FB0" w:rsidTr="00B56B91">
        <w:trPr>
          <w:jc w:val="center"/>
        </w:trPr>
        <w:tc>
          <w:tcPr>
            <w:tcW w:w="795" w:type="dxa"/>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2.</w:t>
            </w:r>
          </w:p>
        </w:tc>
        <w:tc>
          <w:tcPr>
            <w:tcW w:w="2650"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Type of Surfactant</w:t>
            </w:r>
          </w:p>
        </w:tc>
        <w:tc>
          <w:tcPr>
            <w:tcW w:w="1350"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5</w:t>
            </w:r>
          </w:p>
        </w:tc>
        <w:tc>
          <w:tcPr>
            <w:tcW w:w="1537"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4</w:t>
            </w:r>
          </w:p>
        </w:tc>
        <w:tc>
          <w:tcPr>
            <w:tcW w:w="1253"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5</w:t>
            </w:r>
          </w:p>
        </w:tc>
        <w:tc>
          <w:tcPr>
            <w:tcW w:w="1440"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100</w:t>
            </w:r>
          </w:p>
        </w:tc>
        <w:tc>
          <w:tcPr>
            <w:tcW w:w="1645" w:type="dxa"/>
            <w:vAlign w:val="center"/>
          </w:tcPr>
          <w:p w:rsidR="00902FB0" w:rsidRPr="00902FB0" w:rsidRDefault="00902FB0" w:rsidP="00B56B91">
            <w:pPr>
              <w:jc w:val="center"/>
              <w:rPr>
                <w:rFonts w:ascii="Times New Roman" w:hAnsi="Times New Roman"/>
                <w:sz w:val="20"/>
                <w:szCs w:val="20"/>
                <w:highlight w:val="green"/>
              </w:rPr>
            </w:pPr>
            <w:r w:rsidRPr="00902FB0">
              <w:rPr>
                <w:rFonts w:ascii="Times New Roman" w:hAnsi="Times New Roman"/>
                <w:sz w:val="20"/>
                <w:szCs w:val="20"/>
                <w:highlight w:val="green"/>
              </w:rPr>
              <w:t>Low</w:t>
            </w:r>
          </w:p>
        </w:tc>
      </w:tr>
      <w:tr w:rsidR="00902FB0" w:rsidRPr="00902FB0" w:rsidTr="00B56B91">
        <w:trPr>
          <w:jc w:val="center"/>
        </w:trPr>
        <w:tc>
          <w:tcPr>
            <w:tcW w:w="795" w:type="dxa"/>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3.</w:t>
            </w:r>
          </w:p>
        </w:tc>
        <w:tc>
          <w:tcPr>
            <w:tcW w:w="2650"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Type of Co-Surfactant</w:t>
            </w:r>
          </w:p>
        </w:tc>
        <w:tc>
          <w:tcPr>
            <w:tcW w:w="1350"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4</w:t>
            </w:r>
          </w:p>
        </w:tc>
        <w:tc>
          <w:tcPr>
            <w:tcW w:w="1537"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5</w:t>
            </w:r>
          </w:p>
        </w:tc>
        <w:tc>
          <w:tcPr>
            <w:tcW w:w="1253"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5</w:t>
            </w:r>
          </w:p>
        </w:tc>
        <w:tc>
          <w:tcPr>
            <w:tcW w:w="1440"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100</w:t>
            </w:r>
          </w:p>
        </w:tc>
        <w:tc>
          <w:tcPr>
            <w:tcW w:w="1645" w:type="dxa"/>
            <w:vAlign w:val="center"/>
          </w:tcPr>
          <w:p w:rsidR="00902FB0" w:rsidRPr="00902FB0" w:rsidRDefault="00902FB0" w:rsidP="00B56B91">
            <w:pPr>
              <w:jc w:val="center"/>
              <w:rPr>
                <w:rFonts w:ascii="Times New Roman" w:hAnsi="Times New Roman"/>
                <w:sz w:val="20"/>
                <w:szCs w:val="20"/>
                <w:highlight w:val="green"/>
              </w:rPr>
            </w:pPr>
            <w:r w:rsidRPr="00902FB0">
              <w:rPr>
                <w:rFonts w:ascii="Times New Roman" w:hAnsi="Times New Roman"/>
                <w:sz w:val="20"/>
                <w:szCs w:val="20"/>
                <w:highlight w:val="green"/>
              </w:rPr>
              <w:t>Low</w:t>
            </w:r>
          </w:p>
        </w:tc>
      </w:tr>
      <w:tr w:rsidR="00902FB0" w:rsidRPr="00902FB0" w:rsidTr="00B56B91">
        <w:trPr>
          <w:jc w:val="center"/>
        </w:trPr>
        <w:tc>
          <w:tcPr>
            <w:tcW w:w="795" w:type="dxa"/>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4.</w:t>
            </w:r>
          </w:p>
        </w:tc>
        <w:tc>
          <w:tcPr>
            <w:tcW w:w="2650"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Conc. of Oil</w:t>
            </w:r>
          </w:p>
        </w:tc>
        <w:tc>
          <w:tcPr>
            <w:tcW w:w="1350"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8</w:t>
            </w:r>
          </w:p>
        </w:tc>
        <w:tc>
          <w:tcPr>
            <w:tcW w:w="1537"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8</w:t>
            </w:r>
          </w:p>
        </w:tc>
        <w:tc>
          <w:tcPr>
            <w:tcW w:w="1253"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7</w:t>
            </w:r>
          </w:p>
        </w:tc>
        <w:tc>
          <w:tcPr>
            <w:tcW w:w="1440"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448</w:t>
            </w:r>
          </w:p>
        </w:tc>
        <w:tc>
          <w:tcPr>
            <w:tcW w:w="1645" w:type="dxa"/>
            <w:vAlign w:val="center"/>
          </w:tcPr>
          <w:p w:rsidR="00902FB0" w:rsidRPr="00902FB0" w:rsidRDefault="00902FB0" w:rsidP="00B56B91">
            <w:pPr>
              <w:jc w:val="center"/>
              <w:rPr>
                <w:rFonts w:ascii="Times New Roman" w:hAnsi="Times New Roman"/>
                <w:sz w:val="20"/>
                <w:szCs w:val="20"/>
                <w:highlight w:val="red"/>
              </w:rPr>
            </w:pPr>
            <w:r w:rsidRPr="00902FB0">
              <w:rPr>
                <w:rFonts w:ascii="Times New Roman" w:hAnsi="Times New Roman"/>
                <w:sz w:val="20"/>
                <w:szCs w:val="20"/>
                <w:highlight w:val="red"/>
              </w:rPr>
              <w:t>High</w:t>
            </w:r>
          </w:p>
        </w:tc>
      </w:tr>
      <w:tr w:rsidR="00902FB0" w:rsidRPr="00902FB0" w:rsidTr="00B56B91">
        <w:trPr>
          <w:jc w:val="center"/>
        </w:trPr>
        <w:tc>
          <w:tcPr>
            <w:tcW w:w="795" w:type="dxa"/>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5.</w:t>
            </w:r>
          </w:p>
        </w:tc>
        <w:tc>
          <w:tcPr>
            <w:tcW w:w="2650"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Conc. of Surfactant</w:t>
            </w:r>
          </w:p>
        </w:tc>
        <w:tc>
          <w:tcPr>
            <w:tcW w:w="1350"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8</w:t>
            </w:r>
          </w:p>
        </w:tc>
        <w:tc>
          <w:tcPr>
            <w:tcW w:w="1537"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6</w:t>
            </w:r>
          </w:p>
        </w:tc>
        <w:tc>
          <w:tcPr>
            <w:tcW w:w="1253"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8</w:t>
            </w:r>
          </w:p>
        </w:tc>
        <w:tc>
          <w:tcPr>
            <w:tcW w:w="1440"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384</w:t>
            </w:r>
          </w:p>
        </w:tc>
        <w:tc>
          <w:tcPr>
            <w:tcW w:w="1645" w:type="dxa"/>
            <w:vAlign w:val="center"/>
          </w:tcPr>
          <w:p w:rsidR="00902FB0" w:rsidRPr="00902FB0" w:rsidRDefault="00902FB0" w:rsidP="00B56B91">
            <w:pPr>
              <w:jc w:val="center"/>
              <w:rPr>
                <w:rFonts w:ascii="Times New Roman" w:hAnsi="Times New Roman"/>
                <w:sz w:val="20"/>
                <w:szCs w:val="20"/>
                <w:highlight w:val="red"/>
              </w:rPr>
            </w:pPr>
            <w:r w:rsidRPr="00902FB0">
              <w:rPr>
                <w:rFonts w:ascii="Times New Roman" w:hAnsi="Times New Roman"/>
                <w:sz w:val="20"/>
                <w:szCs w:val="20"/>
                <w:highlight w:val="red"/>
              </w:rPr>
              <w:t>High</w:t>
            </w:r>
          </w:p>
        </w:tc>
      </w:tr>
      <w:tr w:rsidR="00902FB0" w:rsidRPr="00902FB0" w:rsidTr="00B56B91">
        <w:trPr>
          <w:jc w:val="center"/>
        </w:trPr>
        <w:tc>
          <w:tcPr>
            <w:tcW w:w="795" w:type="dxa"/>
            <w:tcBorders>
              <w:bottom w:val="single" w:sz="4" w:space="0" w:color="auto"/>
            </w:tcBorders>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6.</w:t>
            </w:r>
          </w:p>
        </w:tc>
        <w:tc>
          <w:tcPr>
            <w:tcW w:w="2650" w:type="dxa"/>
            <w:tcBorders>
              <w:bottom w:val="single" w:sz="4" w:space="0" w:color="auto"/>
            </w:tcBorders>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Conc. of Co-Surfactant</w:t>
            </w:r>
          </w:p>
        </w:tc>
        <w:tc>
          <w:tcPr>
            <w:tcW w:w="1350" w:type="dxa"/>
            <w:tcBorders>
              <w:bottom w:val="single" w:sz="4" w:space="0" w:color="auto"/>
            </w:tcBorders>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8</w:t>
            </w:r>
          </w:p>
        </w:tc>
        <w:tc>
          <w:tcPr>
            <w:tcW w:w="1537" w:type="dxa"/>
            <w:tcBorders>
              <w:bottom w:val="single" w:sz="4" w:space="0" w:color="auto"/>
            </w:tcBorders>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8</w:t>
            </w:r>
          </w:p>
        </w:tc>
        <w:tc>
          <w:tcPr>
            <w:tcW w:w="1253" w:type="dxa"/>
            <w:tcBorders>
              <w:bottom w:val="single" w:sz="4" w:space="0" w:color="auto"/>
            </w:tcBorders>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8</w:t>
            </w:r>
          </w:p>
        </w:tc>
        <w:tc>
          <w:tcPr>
            <w:tcW w:w="1440" w:type="dxa"/>
            <w:tcBorders>
              <w:bottom w:val="single" w:sz="4" w:space="0" w:color="auto"/>
            </w:tcBorders>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512</w:t>
            </w:r>
          </w:p>
        </w:tc>
        <w:tc>
          <w:tcPr>
            <w:tcW w:w="1645" w:type="dxa"/>
            <w:tcBorders>
              <w:bottom w:val="single" w:sz="4" w:space="0" w:color="auto"/>
            </w:tcBorders>
            <w:vAlign w:val="center"/>
          </w:tcPr>
          <w:p w:rsidR="00902FB0" w:rsidRPr="00902FB0" w:rsidRDefault="00902FB0" w:rsidP="00B56B91">
            <w:pPr>
              <w:jc w:val="center"/>
              <w:rPr>
                <w:rFonts w:ascii="Times New Roman" w:hAnsi="Times New Roman"/>
                <w:sz w:val="20"/>
                <w:szCs w:val="20"/>
                <w:highlight w:val="red"/>
              </w:rPr>
            </w:pPr>
            <w:r w:rsidRPr="00902FB0">
              <w:rPr>
                <w:rFonts w:ascii="Times New Roman" w:hAnsi="Times New Roman"/>
                <w:sz w:val="20"/>
                <w:szCs w:val="20"/>
                <w:highlight w:val="red"/>
              </w:rPr>
              <w:t>High</w:t>
            </w:r>
          </w:p>
        </w:tc>
      </w:tr>
      <w:tr w:rsidR="00902FB0" w:rsidRPr="00902FB0" w:rsidTr="00B56B91">
        <w:trPr>
          <w:jc w:val="center"/>
        </w:trPr>
        <w:tc>
          <w:tcPr>
            <w:tcW w:w="10670" w:type="dxa"/>
            <w:gridSpan w:val="7"/>
            <w:tcBorders>
              <w:top w:val="single" w:sz="4" w:space="0" w:color="auto"/>
              <w:bottom w:val="single" w:sz="4" w:space="0" w:color="auto"/>
            </w:tcBorders>
          </w:tcPr>
          <w:p w:rsidR="00902FB0" w:rsidRPr="00902FB0" w:rsidRDefault="00902FB0" w:rsidP="00B56B91">
            <w:pPr>
              <w:jc w:val="center"/>
              <w:rPr>
                <w:rFonts w:ascii="Times New Roman" w:hAnsi="Times New Roman"/>
                <w:b/>
                <w:sz w:val="20"/>
                <w:szCs w:val="20"/>
              </w:rPr>
            </w:pPr>
            <w:r w:rsidRPr="00902FB0">
              <w:rPr>
                <w:rFonts w:ascii="Times New Roman" w:hAnsi="Times New Roman"/>
                <w:b/>
                <w:sz w:val="20"/>
                <w:szCs w:val="20"/>
              </w:rPr>
              <w:t>Process Parameters</w:t>
            </w:r>
          </w:p>
        </w:tc>
      </w:tr>
      <w:tr w:rsidR="00902FB0" w:rsidRPr="00902FB0" w:rsidTr="00B56B91">
        <w:trPr>
          <w:jc w:val="center"/>
        </w:trPr>
        <w:tc>
          <w:tcPr>
            <w:tcW w:w="795" w:type="dxa"/>
            <w:tcBorders>
              <w:top w:val="single" w:sz="4" w:space="0" w:color="auto"/>
            </w:tcBorders>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7.</w:t>
            </w:r>
          </w:p>
        </w:tc>
        <w:tc>
          <w:tcPr>
            <w:tcW w:w="2650" w:type="dxa"/>
            <w:tcBorders>
              <w:top w:val="single" w:sz="4" w:space="0" w:color="auto"/>
            </w:tcBorders>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Temperature required for solubilization of ATZ</w:t>
            </w:r>
          </w:p>
        </w:tc>
        <w:tc>
          <w:tcPr>
            <w:tcW w:w="1350" w:type="dxa"/>
            <w:tcBorders>
              <w:top w:val="single" w:sz="4" w:space="0" w:color="auto"/>
            </w:tcBorders>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8</w:t>
            </w:r>
          </w:p>
        </w:tc>
        <w:tc>
          <w:tcPr>
            <w:tcW w:w="1537" w:type="dxa"/>
            <w:tcBorders>
              <w:top w:val="single" w:sz="4" w:space="0" w:color="auto"/>
            </w:tcBorders>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7</w:t>
            </w:r>
          </w:p>
        </w:tc>
        <w:tc>
          <w:tcPr>
            <w:tcW w:w="1253" w:type="dxa"/>
            <w:tcBorders>
              <w:top w:val="single" w:sz="4" w:space="0" w:color="auto"/>
            </w:tcBorders>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8</w:t>
            </w:r>
          </w:p>
        </w:tc>
        <w:tc>
          <w:tcPr>
            <w:tcW w:w="1440" w:type="dxa"/>
            <w:tcBorders>
              <w:top w:val="single" w:sz="4" w:space="0" w:color="auto"/>
            </w:tcBorders>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448</w:t>
            </w:r>
          </w:p>
        </w:tc>
        <w:tc>
          <w:tcPr>
            <w:tcW w:w="1645" w:type="dxa"/>
            <w:tcBorders>
              <w:top w:val="single" w:sz="4" w:space="0" w:color="auto"/>
            </w:tcBorders>
            <w:vAlign w:val="center"/>
          </w:tcPr>
          <w:p w:rsidR="00902FB0" w:rsidRPr="00902FB0" w:rsidRDefault="00902FB0" w:rsidP="00B56B91">
            <w:pPr>
              <w:jc w:val="center"/>
              <w:rPr>
                <w:rFonts w:ascii="Times New Roman" w:hAnsi="Times New Roman"/>
                <w:sz w:val="20"/>
                <w:szCs w:val="20"/>
                <w:highlight w:val="red"/>
              </w:rPr>
            </w:pPr>
            <w:r w:rsidRPr="00902FB0">
              <w:rPr>
                <w:rFonts w:ascii="Times New Roman" w:hAnsi="Times New Roman"/>
                <w:sz w:val="20"/>
                <w:szCs w:val="20"/>
                <w:highlight w:val="red"/>
              </w:rPr>
              <w:t>High</w:t>
            </w:r>
          </w:p>
        </w:tc>
      </w:tr>
      <w:tr w:rsidR="00902FB0" w:rsidRPr="00902FB0" w:rsidTr="00B56B91">
        <w:trPr>
          <w:jc w:val="center"/>
        </w:trPr>
        <w:tc>
          <w:tcPr>
            <w:tcW w:w="795"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8.</w:t>
            </w:r>
          </w:p>
        </w:tc>
        <w:tc>
          <w:tcPr>
            <w:tcW w:w="2650"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Order of Mixing</w:t>
            </w:r>
          </w:p>
        </w:tc>
        <w:tc>
          <w:tcPr>
            <w:tcW w:w="1350"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7</w:t>
            </w:r>
          </w:p>
        </w:tc>
        <w:tc>
          <w:tcPr>
            <w:tcW w:w="1537"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6</w:t>
            </w:r>
          </w:p>
        </w:tc>
        <w:tc>
          <w:tcPr>
            <w:tcW w:w="1253"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7</w:t>
            </w:r>
          </w:p>
        </w:tc>
        <w:tc>
          <w:tcPr>
            <w:tcW w:w="1440"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294</w:t>
            </w:r>
          </w:p>
        </w:tc>
        <w:tc>
          <w:tcPr>
            <w:tcW w:w="1645" w:type="dxa"/>
            <w:vAlign w:val="center"/>
          </w:tcPr>
          <w:p w:rsidR="00902FB0" w:rsidRPr="00902FB0" w:rsidRDefault="00902FB0" w:rsidP="00B56B91">
            <w:pPr>
              <w:jc w:val="center"/>
              <w:rPr>
                <w:rFonts w:ascii="Times New Roman" w:hAnsi="Times New Roman"/>
                <w:sz w:val="20"/>
                <w:szCs w:val="20"/>
                <w:highlight w:val="red"/>
              </w:rPr>
            </w:pPr>
            <w:r w:rsidRPr="00902FB0">
              <w:rPr>
                <w:rFonts w:ascii="Times New Roman" w:hAnsi="Times New Roman"/>
                <w:sz w:val="20"/>
                <w:szCs w:val="20"/>
                <w:highlight w:val="yellow"/>
              </w:rPr>
              <w:t>Medium</w:t>
            </w:r>
          </w:p>
        </w:tc>
      </w:tr>
      <w:tr w:rsidR="00902FB0" w:rsidRPr="00902FB0" w:rsidTr="00B56B91">
        <w:trPr>
          <w:jc w:val="center"/>
        </w:trPr>
        <w:tc>
          <w:tcPr>
            <w:tcW w:w="795"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9.</w:t>
            </w:r>
          </w:p>
        </w:tc>
        <w:tc>
          <w:tcPr>
            <w:tcW w:w="2650"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Stirrer Type</w:t>
            </w:r>
          </w:p>
        </w:tc>
        <w:tc>
          <w:tcPr>
            <w:tcW w:w="1350"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6</w:t>
            </w:r>
          </w:p>
        </w:tc>
        <w:tc>
          <w:tcPr>
            <w:tcW w:w="1537"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7</w:t>
            </w:r>
          </w:p>
        </w:tc>
        <w:tc>
          <w:tcPr>
            <w:tcW w:w="1253"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6</w:t>
            </w:r>
          </w:p>
        </w:tc>
        <w:tc>
          <w:tcPr>
            <w:tcW w:w="1440"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252</w:t>
            </w:r>
          </w:p>
        </w:tc>
        <w:tc>
          <w:tcPr>
            <w:tcW w:w="1645" w:type="dxa"/>
            <w:vAlign w:val="center"/>
          </w:tcPr>
          <w:p w:rsidR="00902FB0" w:rsidRPr="00902FB0" w:rsidRDefault="00902FB0" w:rsidP="00B56B91">
            <w:pPr>
              <w:jc w:val="center"/>
              <w:rPr>
                <w:rFonts w:ascii="Times New Roman" w:hAnsi="Times New Roman"/>
                <w:sz w:val="20"/>
                <w:szCs w:val="20"/>
                <w:highlight w:val="yellow"/>
              </w:rPr>
            </w:pPr>
            <w:r w:rsidRPr="00902FB0">
              <w:rPr>
                <w:rFonts w:ascii="Times New Roman" w:hAnsi="Times New Roman"/>
                <w:sz w:val="20"/>
                <w:szCs w:val="20"/>
                <w:highlight w:val="yellow"/>
              </w:rPr>
              <w:t>Medium</w:t>
            </w:r>
          </w:p>
        </w:tc>
      </w:tr>
      <w:tr w:rsidR="00902FB0" w:rsidRPr="00902FB0" w:rsidTr="00B56B91">
        <w:trPr>
          <w:jc w:val="center"/>
        </w:trPr>
        <w:tc>
          <w:tcPr>
            <w:tcW w:w="795"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10.</w:t>
            </w:r>
          </w:p>
        </w:tc>
        <w:tc>
          <w:tcPr>
            <w:tcW w:w="2650"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Stirring speed</w:t>
            </w:r>
          </w:p>
        </w:tc>
        <w:tc>
          <w:tcPr>
            <w:tcW w:w="1350"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5</w:t>
            </w:r>
          </w:p>
        </w:tc>
        <w:tc>
          <w:tcPr>
            <w:tcW w:w="1537"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6</w:t>
            </w:r>
          </w:p>
        </w:tc>
        <w:tc>
          <w:tcPr>
            <w:tcW w:w="1253"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6</w:t>
            </w:r>
          </w:p>
        </w:tc>
        <w:tc>
          <w:tcPr>
            <w:tcW w:w="1440"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180</w:t>
            </w:r>
          </w:p>
        </w:tc>
        <w:tc>
          <w:tcPr>
            <w:tcW w:w="1645" w:type="dxa"/>
            <w:vAlign w:val="center"/>
          </w:tcPr>
          <w:p w:rsidR="00902FB0" w:rsidRPr="00902FB0" w:rsidRDefault="00902FB0" w:rsidP="00B56B91">
            <w:pPr>
              <w:jc w:val="center"/>
              <w:rPr>
                <w:rFonts w:ascii="Times New Roman" w:hAnsi="Times New Roman"/>
                <w:sz w:val="20"/>
                <w:szCs w:val="20"/>
                <w:highlight w:val="yellow"/>
              </w:rPr>
            </w:pPr>
            <w:r w:rsidRPr="00902FB0">
              <w:rPr>
                <w:rFonts w:ascii="Times New Roman" w:hAnsi="Times New Roman"/>
                <w:sz w:val="20"/>
                <w:szCs w:val="20"/>
                <w:highlight w:val="yellow"/>
              </w:rPr>
              <w:t>Medium</w:t>
            </w:r>
          </w:p>
        </w:tc>
      </w:tr>
      <w:tr w:rsidR="00902FB0" w:rsidRPr="00902FB0" w:rsidTr="00B56B91">
        <w:trPr>
          <w:jc w:val="center"/>
        </w:trPr>
        <w:tc>
          <w:tcPr>
            <w:tcW w:w="795"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11.</w:t>
            </w:r>
          </w:p>
        </w:tc>
        <w:tc>
          <w:tcPr>
            <w:tcW w:w="2650"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Stirring Time</w:t>
            </w:r>
          </w:p>
        </w:tc>
        <w:tc>
          <w:tcPr>
            <w:tcW w:w="1350"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7</w:t>
            </w:r>
          </w:p>
        </w:tc>
        <w:tc>
          <w:tcPr>
            <w:tcW w:w="1537"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7</w:t>
            </w:r>
          </w:p>
        </w:tc>
        <w:tc>
          <w:tcPr>
            <w:tcW w:w="1253"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6</w:t>
            </w:r>
          </w:p>
        </w:tc>
        <w:tc>
          <w:tcPr>
            <w:tcW w:w="1440" w:type="dxa"/>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294</w:t>
            </w:r>
          </w:p>
        </w:tc>
        <w:tc>
          <w:tcPr>
            <w:tcW w:w="1645" w:type="dxa"/>
            <w:vAlign w:val="center"/>
          </w:tcPr>
          <w:p w:rsidR="00902FB0" w:rsidRPr="00902FB0" w:rsidRDefault="00902FB0" w:rsidP="00B56B91">
            <w:pPr>
              <w:jc w:val="center"/>
              <w:rPr>
                <w:rFonts w:ascii="Times New Roman" w:hAnsi="Times New Roman"/>
                <w:sz w:val="20"/>
                <w:szCs w:val="20"/>
                <w:highlight w:val="yellow"/>
              </w:rPr>
            </w:pPr>
            <w:r w:rsidRPr="00902FB0">
              <w:rPr>
                <w:rFonts w:ascii="Times New Roman" w:hAnsi="Times New Roman"/>
                <w:sz w:val="20"/>
                <w:szCs w:val="20"/>
                <w:highlight w:val="yellow"/>
              </w:rPr>
              <w:t>Medium</w:t>
            </w:r>
          </w:p>
        </w:tc>
      </w:tr>
      <w:tr w:rsidR="00902FB0" w:rsidRPr="00902FB0" w:rsidTr="00B56B91">
        <w:trPr>
          <w:jc w:val="center"/>
        </w:trPr>
        <w:tc>
          <w:tcPr>
            <w:tcW w:w="795" w:type="dxa"/>
            <w:tcBorders>
              <w:bottom w:val="single" w:sz="4" w:space="0" w:color="auto"/>
            </w:tcBorders>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12.</w:t>
            </w:r>
          </w:p>
        </w:tc>
        <w:tc>
          <w:tcPr>
            <w:tcW w:w="2650" w:type="dxa"/>
            <w:tcBorders>
              <w:bottom w:val="single" w:sz="4" w:space="0" w:color="auto"/>
            </w:tcBorders>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Humidity</w:t>
            </w:r>
          </w:p>
        </w:tc>
        <w:tc>
          <w:tcPr>
            <w:tcW w:w="1350" w:type="dxa"/>
            <w:tcBorders>
              <w:bottom w:val="single" w:sz="4" w:space="0" w:color="auto"/>
            </w:tcBorders>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5</w:t>
            </w:r>
          </w:p>
        </w:tc>
        <w:tc>
          <w:tcPr>
            <w:tcW w:w="1537" w:type="dxa"/>
            <w:tcBorders>
              <w:bottom w:val="single" w:sz="4" w:space="0" w:color="auto"/>
            </w:tcBorders>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5</w:t>
            </w:r>
          </w:p>
        </w:tc>
        <w:tc>
          <w:tcPr>
            <w:tcW w:w="1253" w:type="dxa"/>
            <w:tcBorders>
              <w:bottom w:val="single" w:sz="4" w:space="0" w:color="auto"/>
            </w:tcBorders>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3</w:t>
            </w:r>
          </w:p>
        </w:tc>
        <w:tc>
          <w:tcPr>
            <w:tcW w:w="1440" w:type="dxa"/>
            <w:tcBorders>
              <w:bottom w:val="single" w:sz="4" w:space="0" w:color="auto"/>
            </w:tcBorders>
            <w:vAlign w:val="center"/>
          </w:tcPr>
          <w:p w:rsidR="00902FB0" w:rsidRPr="00902FB0" w:rsidRDefault="00902FB0" w:rsidP="00B56B91">
            <w:pPr>
              <w:jc w:val="center"/>
              <w:rPr>
                <w:rFonts w:ascii="Times New Roman" w:hAnsi="Times New Roman"/>
                <w:sz w:val="20"/>
                <w:szCs w:val="20"/>
              </w:rPr>
            </w:pPr>
            <w:r w:rsidRPr="00902FB0">
              <w:rPr>
                <w:rFonts w:ascii="Times New Roman" w:hAnsi="Times New Roman"/>
                <w:sz w:val="20"/>
                <w:szCs w:val="20"/>
              </w:rPr>
              <w:t>75</w:t>
            </w:r>
          </w:p>
        </w:tc>
        <w:tc>
          <w:tcPr>
            <w:tcW w:w="1645" w:type="dxa"/>
            <w:tcBorders>
              <w:bottom w:val="single" w:sz="4" w:space="0" w:color="auto"/>
            </w:tcBorders>
            <w:vAlign w:val="center"/>
          </w:tcPr>
          <w:p w:rsidR="00902FB0" w:rsidRPr="00902FB0" w:rsidRDefault="00902FB0" w:rsidP="00B56B91">
            <w:pPr>
              <w:jc w:val="center"/>
              <w:rPr>
                <w:rFonts w:ascii="Times New Roman" w:hAnsi="Times New Roman"/>
                <w:sz w:val="20"/>
                <w:szCs w:val="20"/>
                <w:highlight w:val="green"/>
              </w:rPr>
            </w:pPr>
            <w:r w:rsidRPr="00902FB0">
              <w:rPr>
                <w:rFonts w:ascii="Times New Roman" w:hAnsi="Times New Roman"/>
                <w:sz w:val="20"/>
                <w:szCs w:val="20"/>
                <w:highlight w:val="green"/>
              </w:rPr>
              <w:t>Low</w:t>
            </w:r>
          </w:p>
        </w:tc>
      </w:tr>
    </w:tbl>
    <w:p w:rsidR="00902FB0" w:rsidRDefault="00902FB0" w:rsidP="00902FB0">
      <w:pPr>
        <w:spacing w:line="240" w:lineRule="auto"/>
        <w:rPr>
          <w:rFonts w:ascii="Times New Roman" w:hAnsi="Times New Roman"/>
          <w:sz w:val="20"/>
          <w:szCs w:val="20"/>
        </w:rPr>
      </w:pPr>
      <w:r w:rsidRPr="00902FB0">
        <w:rPr>
          <w:rFonts w:ascii="Times New Roman" w:hAnsi="Times New Roman"/>
          <w:sz w:val="20"/>
          <w:szCs w:val="20"/>
        </w:rPr>
        <w:t>*Minimum value is assigned as 1; maximum value is assigned as 10</w:t>
      </w:r>
    </w:p>
    <w:p w:rsidR="00902FB0" w:rsidRPr="00902FB0" w:rsidRDefault="00902FB0" w:rsidP="00902FB0">
      <w:pPr>
        <w:spacing w:line="240" w:lineRule="auto"/>
        <w:rPr>
          <w:rFonts w:ascii="Times New Roman" w:hAnsi="Times New Roman"/>
          <w:sz w:val="20"/>
          <w:szCs w:val="20"/>
        </w:rPr>
      </w:pPr>
      <w:r w:rsidRPr="00902FB0">
        <w:rPr>
          <w:rFonts w:ascii="Times New Roman" w:hAnsi="Times New Roman"/>
          <w:sz w:val="20"/>
          <w:szCs w:val="20"/>
        </w:rPr>
        <w:t xml:space="preserve">@ </w:t>
      </w:r>
      <w:r w:rsidRPr="00902FB0">
        <w:rPr>
          <w:rFonts w:ascii="Times New Roman" w:hAnsi="Times New Roman"/>
          <w:sz w:val="20"/>
          <w:szCs w:val="20"/>
          <w:highlight w:val="green"/>
        </w:rPr>
        <w:t>0-125 Low risk</w:t>
      </w:r>
      <w:r w:rsidRPr="00902FB0">
        <w:rPr>
          <w:rFonts w:ascii="Times New Roman" w:hAnsi="Times New Roman"/>
          <w:sz w:val="20"/>
          <w:szCs w:val="20"/>
        </w:rPr>
        <w:t xml:space="preserve">    </w:t>
      </w:r>
      <w:r w:rsidRPr="00902FB0">
        <w:rPr>
          <w:rFonts w:ascii="Times New Roman" w:hAnsi="Times New Roman"/>
          <w:sz w:val="20"/>
          <w:szCs w:val="20"/>
          <w:highlight w:val="yellow"/>
        </w:rPr>
        <w:t>126-300 Medium risk</w:t>
      </w:r>
      <w:r w:rsidRPr="00902FB0">
        <w:rPr>
          <w:rFonts w:ascii="Times New Roman" w:hAnsi="Times New Roman"/>
          <w:sz w:val="20"/>
          <w:szCs w:val="20"/>
        </w:rPr>
        <w:t xml:space="preserve">      </w:t>
      </w:r>
      <w:r w:rsidRPr="00902FB0">
        <w:rPr>
          <w:rFonts w:ascii="Times New Roman" w:hAnsi="Times New Roman"/>
          <w:sz w:val="20"/>
          <w:szCs w:val="20"/>
          <w:highlight w:val="red"/>
        </w:rPr>
        <w:t>301-1000 High risk</w:t>
      </w:r>
    </w:p>
    <w:p w:rsidR="00902FB0" w:rsidRDefault="00902FB0" w:rsidP="00902FB0">
      <w:pPr>
        <w:rPr>
          <w:rFonts w:ascii="Times New Roman" w:hAnsi="Times New Roman"/>
          <w:noProof/>
          <w:sz w:val="24"/>
          <w:szCs w:val="24"/>
        </w:rPr>
      </w:pPr>
    </w:p>
    <w:p w:rsidR="00172AC5" w:rsidRDefault="00172AC5" w:rsidP="00902FB0">
      <w:pPr>
        <w:rPr>
          <w:rFonts w:ascii="Times New Roman" w:hAnsi="Times New Roman"/>
          <w:noProof/>
          <w:sz w:val="24"/>
          <w:szCs w:val="24"/>
        </w:rPr>
      </w:pPr>
    </w:p>
    <w:p w:rsidR="00172AC5" w:rsidRPr="00172AC5" w:rsidRDefault="00172AC5" w:rsidP="00172AC5">
      <w:pPr>
        <w:spacing w:line="240" w:lineRule="auto"/>
        <w:jc w:val="both"/>
        <w:rPr>
          <w:rFonts w:ascii="Times New Roman" w:hAnsi="Times New Roman"/>
          <w:sz w:val="20"/>
          <w:szCs w:val="20"/>
        </w:rPr>
      </w:pPr>
      <w:r w:rsidRPr="00172AC5">
        <w:rPr>
          <w:rFonts w:ascii="Times New Roman" w:hAnsi="Times New Roman"/>
          <w:b/>
          <w:sz w:val="20"/>
          <w:szCs w:val="20"/>
        </w:rPr>
        <w:lastRenderedPageBreak/>
        <w:t>Table S4:</w:t>
      </w:r>
      <w:r w:rsidRPr="00172AC5">
        <w:rPr>
          <w:sz w:val="20"/>
          <w:szCs w:val="20"/>
        </w:rPr>
        <w:t xml:space="preserve"> </w:t>
      </w:r>
      <w:r w:rsidRPr="00172AC5">
        <w:rPr>
          <w:rFonts w:ascii="Times New Roman" w:hAnsi="Times New Roman"/>
          <w:sz w:val="20"/>
          <w:szCs w:val="20"/>
        </w:rPr>
        <w:t xml:space="preserve">Traingular prism design for selecting the appropriate temperature required for the complete solubilization of ATZ into </w:t>
      </w:r>
      <w:r w:rsidR="005A626C">
        <w:rPr>
          <w:rFonts w:ascii="Times New Roman" w:hAnsi="Times New Roman"/>
          <w:sz w:val="20"/>
          <w:szCs w:val="20"/>
        </w:rPr>
        <w:t>IM</w:t>
      </w:r>
      <w:r w:rsidRPr="00172AC5">
        <w:rPr>
          <w:rFonts w:ascii="Times New Roman" w:hAnsi="Times New Roman"/>
          <w:sz w:val="20"/>
          <w:szCs w:val="20"/>
        </w:rPr>
        <w:t>.</w:t>
      </w:r>
    </w:p>
    <w:tbl>
      <w:tblPr>
        <w:tblW w:w="10514" w:type="dxa"/>
        <w:jc w:val="center"/>
        <w:tblCellSpacing w:w="15" w:type="dxa"/>
        <w:tblInd w:w="-143" w:type="dxa"/>
        <w:tblLayout w:type="fixed"/>
        <w:tblCellMar>
          <w:top w:w="15" w:type="dxa"/>
          <w:left w:w="15" w:type="dxa"/>
          <w:bottom w:w="15" w:type="dxa"/>
          <w:right w:w="15" w:type="dxa"/>
        </w:tblCellMar>
        <w:tblLook w:val="04A0"/>
      </w:tblPr>
      <w:tblGrid>
        <w:gridCol w:w="699"/>
        <w:gridCol w:w="1292"/>
        <w:gridCol w:w="1170"/>
        <w:gridCol w:w="1080"/>
        <w:gridCol w:w="1018"/>
        <w:gridCol w:w="1350"/>
        <w:gridCol w:w="1170"/>
        <w:gridCol w:w="1620"/>
        <w:gridCol w:w="1115"/>
      </w:tblGrid>
      <w:tr w:rsidR="00172AC5" w:rsidRPr="00172AC5" w:rsidTr="00B56B91">
        <w:trPr>
          <w:tblCellSpacing w:w="15" w:type="dxa"/>
          <w:jc w:val="center"/>
        </w:trPr>
        <w:tc>
          <w:tcPr>
            <w:tcW w:w="654" w:type="dxa"/>
            <w:tcBorders>
              <w:top w:val="single" w:sz="4" w:space="0" w:color="auto"/>
              <w:bottom w:val="single" w:sz="4" w:space="0" w:color="auto"/>
            </w:tcBorders>
            <w:shd w:val="clear" w:color="auto" w:fill="FFFFFF"/>
            <w:vAlign w:val="center"/>
            <w:hideMark/>
          </w:tcPr>
          <w:p w:rsidR="00172AC5" w:rsidRPr="00172AC5" w:rsidRDefault="00172AC5" w:rsidP="00B56B91">
            <w:pPr>
              <w:spacing w:after="0"/>
              <w:jc w:val="center"/>
              <w:rPr>
                <w:rFonts w:ascii="Times New Roman" w:hAnsi="Times New Roman"/>
                <w:b/>
                <w:color w:val="000000"/>
                <w:sz w:val="20"/>
                <w:szCs w:val="20"/>
              </w:rPr>
            </w:pPr>
            <w:r w:rsidRPr="00172AC5">
              <w:rPr>
                <w:rFonts w:ascii="Times New Roman" w:hAnsi="Times New Roman"/>
                <w:b/>
                <w:color w:val="000000"/>
                <w:sz w:val="20"/>
                <w:szCs w:val="20"/>
              </w:rPr>
              <w:t>F.No.</w:t>
            </w:r>
          </w:p>
        </w:tc>
        <w:tc>
          <w:tcPr>
            <w:tcW w:w="1262" w:type="dxa"/>
            <w:tcBorders>
              <w:top w:val="single" w:sz="4" w:space="0" w:color="auto"/>
              <w:bottom w:val="single" w:sz="4" w:space="0" w:color="auto"/>
            </w:tcBorders>
            <w:shd w:val="clear" w:color="auto" w:fill="FFFFFF"/>
            <w:hideMark/>
          </w:tcPr>
          <w:p w:rsidR="00172AC5" w:rsidRPr="00172AC5" w:rsidRDefault="00172AC5" w:rsidP="00B56B91">
            <w:pPr>
              <w:spacing w:after="0"/>
              <w:jc w:val="center"/>
              <w:rPr>
                <w:rFonts w:ascii="Times New Roman" w:hAnsi="Times New Roman"/>
                <w:b/>
                <w:color w:val="000000"/>
                <w:sz w:val="20"/>
                <w:szCs w:val="20"/>
              </w:rPr>
            </w:pPr>
            <w:r w:rsidRPr="00172AC5">
              <w:rPr>
                <w:rFonts w:ascii="Times New Roman" w:hAnsi="Times New Roman"/>
                <w:b/>
                <w:color w:val="000000"/>
                <w:sz w:val="20"/>
                <w:szCs w:val="20"/>
              </w:rPr>
              <w:t>(X</w:t>
            </w:r>
            <w:r w:rsidRPr="00172AC5">
              <w:rPr>
                <w:rFonts w:ascii="Times New Roman" w:hAnsi="Times New Roman"/>
                <w:b/>
                <w:color w:val="000000"/>
                <w:sz w:val="20"/>
                <w:szCs w:val="20"/>
                <w:vertAlign w:val="subscript"/>
              </w:rPr>
              <w:t>1</w:t>
            </w:r>
            <w:r w:rsidRPr="00172AC5">
              <w:rPr>
                <w:rFonts w:ascii="Times New Roman" w:hAnsi="Times New Roman"/>
                <w:b/>
                <w:color w:val="000000"/>
                <w:sz w:val="20"/>
                <w:szCs w:val="20"/>
              </w:rPr>
              <w:t>)</w:t>
            </w:r>
          </w:p>
          <w:p w:rsidR="00172AC5" w:rsidRPr="00172AC5" w:rsidRDefault="00172AC5" w:rsidP="00B56B91">
            <w:pPr>
              <w:spacing w:after="0"/>
              <w:jc w:val="center"/>
              <w:rPr>
                <w:rFonts w:ascii="Times New Roman" w:hAnsi="Times New Roman"/>
                <w:b/>
                <w:color w:val="000000"/>
                <w:sz w:val="20"/>
                <w:szCs w:val="20"/>
              </w:rPr>
            </w:pPr>
            <w:r w:rsidRPr="00172AC5">
              <w:rPr>
                <w:rFonts w:ascii="Times New Roman" w:hAnsi="Times New Roman"/>
                <w:b/>
                <w:color w:val="000000"/>
                <w:sz w:val="20"/>
                <w:szCs w:val="20"/>
              </w:rPr>
              <w:t>Oil (CO:OA)</w:t>
            </w:r>
          </w:p>
          <w:p w:rsidR="00172AC5" w:rsidRPr="00172AC5" w:rsidRDefault="00172AC5" w:rsidP="00B56B91">
            <w:pPr>
              <w:spacing w:after="0"/>
              <w:jc w:val="center"/>
              <w:rPr>
                <w:rFonts w:ascii="Times New Roman" w:hAnsi="Times New Roman"/>
                <w:b/>
                <w:color w:val="000000"/>
                <w:sz w:val="20"/>
                <w:szCs w:val="20"/>
              </w:rPr>
            </w:pPr>
            <w:r w:rsidRPr="00172AC5">
              <w:rPr>
                <w:rFonts w:ascii="Times New Roman" w:hAnsi="Times New Roman"/>
                <w:b/>
                <w:color w:val="000000"/>
                <w:sz w:val="20"/>
                <w:szCs w:val="20"/>
              </w:rPr>
              <w:t>(1:1)</w:t>
            </w:r>
          </w:p>
          <w:p w:rsidR="00172AC5" w:rsidRPr="00172AC5" w:rsidRDefault="00F11FA5" w:rsidP="00B56B91">
            <w:pPr>
              <w:spacing w:after="0"/>
              <w:jc w:val="center"/>
              <w:rPr>
                <w:rFonts w:ascii="Times New Roman" w:hAnsi="Times New Roman"/>
                <w:b/>
                <w:color w:val="000000"/>
                <w:sz w:val="20"/>
                <w:szCs w:val="20"/>
              </w:rPr>
            </w:pPr>
            <w:r>
              <w:rPr>
                <w:rFonts w:ascii="Times New Roman" w:hAnsi="Times New Roman"/>
                <w:b/>
                <w:color w:val="000000"/>
                <w:sz w:val="20"/>
                <w:szCs w:val="20"/>
              </w:rPr>
              <w:t>(g</w:t>
            </w:r>
            <w:r w:rsidR="00172AC5" w:rsidRPr="00172AC5">
              <w:rPr>
                <w:rFonts w:ascii="Times New Roman" w:hAnsi="Times New Roman"/>
                <w:b/>
                <w:color w:val="000000"/>
                <w:sz w:val="20"/>
                <w:szCs w:val="20"/>
              </w:rPr>
              <w:t>)</w:t>
            </w:r>
          </w:p>
        </w:tc>
        <w:tc>
          <w:tcPr>
            <w:tcW w:w="1140" w:type="dxa"/>
            <w:tcBorders>
              <w:top w:val="single" w:sz="4" w:space="0" w:color="auto"/>
              <w:bottom w:val="single" w:sz="4" w:space="0" w:color="auto"/>
            </w:tcBorders>
            <w:shd w:val="clear" w:color="auto" w:fill="FFFFFF"/>
            <w:hideMark/>
          </w:tcPr>
          <w:p w:rsidR="00172AC5" w:rsidRPr="00172AC5" w:rsidRDefault="00172AC5" w:rsidP="00B56B91">
            <w:pPr>
              <w:spacing w:after="0"/>
              <w:jc w:val="center"/>
              <w:rPr>
                <w:rFonts w:ascii="Times New Roman" w:hAnsi="Times New Roman"/>
                <w:b/>
                <w:color w:val="000000"/>
                <w:sz w:val="20"/>
                <w:szCs w:val="20"/>
              </w:rPr>
            </w:pPr>
            <w:r w:rsidRPr="00172AC5">
              <w:rPr>
                <w:rFonts w:ascii="Times New Roman" w:hAnsi="Times New Roman"/>
                <w:b/>
                <w:color w:val="000000"/>
                <w:sz w:val="20"/>
                <w:szCs w:val="20"/>
              </w:rPr>
              <w:t>(X</w:t>
            </w:r>
            <w:r w:rsidRPr="00172AC5">
              <w:rPr>
                <w:rFonts w:ascii="Times New Roman" w:hAnsi="Times New Roman"/>
                <w:b/>
                <w:color w:val="000000"/>
                <w:sz w:val="20"/>
                <w:szCs w:val="20"/>
                <w:vertAlign w:val="subscript"/>
              </w:rPr>
              <w:t>2</w:t>
            </w:r>
            <w:r w:rsidRPr="00172AC5">
              <w:rPr>
                <w:rFonts w:ascii="Times New Roman" w:hAnsi="Times New Roman"/>
                <w:b/>
                <w:color w:val="000000"/>
                <w:sz w:val="20"/>
                <w:szCs w:val="20"/>
              </w:rPr>
              <w:t>)</w:t>
            </w:r>
          </w:p>
          <w:p w:rsidR="00172AC5" w:rsidRPr="00172AC5" w:rsidRDefault="00172AC5" w:rsidP="00B56B91">
            <w:pPr>
              <w:spacing w:after="0"/>
              <w:jc w:val="center"/>
              <w:rPr>
                <w:rFonts w:ascii="Times New Roman" w:hAnsi="Times New Roman"/>
                <w:b/>
                <w:color w:val="000000"/>
                <w:sz w:val="20"/>
                <w:szCs w:val="20"/>
              </w:rPr>
            </w:pPr>
          </w:p>
          <w:p w:rsidR="00172AC5" w:rsidRPr="00172AC5" w:rsidRDefault="00172AC5" w:rsidP="00B56B91">
            <w:pPr>
              <w:spacing w:after="0"/>
              <w:jc w:val="center"/>
              <w:rPr>
                <w:rFonts w:ascii="Times New Roman" w:hAnsi="Times New Roman"/>
                <w:b/>
                <w:color w:val="000000"/>
                <w:sz w:val="20"/>
                <w:szCs w:val="20"/>
              </w:rPr>
            </w:pPr>
            <w:r w:rsidRPr="00172AC5">
              <w:rPr>
                <w:rFonts w:ascii="Times New Roman" w:hAnsi="Times New Roman"/>
                <w:b/>
                <w:color w:val="000000"/>
                <w:sz w:val="20"/>
                <w:szCs w:val="20"/>
              </w:rPr>
              <w:t>Surfactant</w:t>
            </w:r>
          </w:p>
          <w:p w:rsidR="00172AC5" w:rsidRPr="00172AC5" w:rsidRDefault="00172AC5" w:rsidP="00B56B91">
            <w:pPr>
              <w:spacing w:after="0"/>
              <w:jc w:val="center"/>
              <w:rPr>
                <w:rFonts w:ascii="Times New Roman" w:hAnsi="Times New Roman"/>
                <w:b/>
                <w:color w:val="000000"/>
                <w:sz w:val="20"/>
                <w:szCs w:val="20"/>
              </w:rPr>
            </w:pPr>
            <w:r w:rsidRPr="00172AC5">
              <w:rPr>
                <w:rFonts w:ascii="Times New Roman" w:hAnsi="Times New Roman"/>
                <w:b/>
                <w:color w:val="000000"/>
                <w:sz w:val="20"/>
                <w:szCs w:val="20"/>
              </w:rPr>
              <w:t>(T80)</w:t>
            </w:r>
          </w:p>
          <w:p w:rsidR="00172AC5" w:rsidRPr="00172AC5" w:rsidRDefault="00F11FA5" w:rsidP="00B56B91">
            <w:pPr>
              <w:spacing w:after="0"/>
              <w:jc w:val="center"/>
              <w:rPr>
                <w:rFonts w:ascii="Times New Roman" w:hAnsi="Times New Roman"/>
                <w:b/>
                <w:color w:val="000000"/>
                <w:sz w:val="20"/>
                <w:szCs w:val="20"/>
              </w:rPr>
            </w:pPr>
            <w:r>
              <w:rPr>
                <w:rFonts w:ascii="Times New Roman" w:hAnsi="Times New Roman"/>
                <w:b/>
                <w:color w:val="000000"/>
                <w:sz w:val="20"/>
                <w:szCs w:val="20"/>
              </w:rPr>
              <w:t>(g</w:t>
            </w:r>
            <w:r w:rsidR="00172AC5" w:rsidRPr="00172AC5">
              <w:rPr>
                <w:rFonts w:ascii="Times New Roman" w:hAnsi="Times New Roman"/>
                <w:b/>
                <w:color w:val="000000"/>
                <w:sz w:val="20"/>
                <w:szCs w:val="20"/>
              </w:rPr>
              <w:t>)</w:t>
            </w:r>
          </w:p>
        </w:tc>
        <w:tc>
          <w:tcPr>
            <w:tcW w:w="1050" w:type="dxa"/>
            <w:tcBorders>
              <w:top w:val="single" w:sz="4" w:space="0" w:color="auto"/>
              <w:bottom w:val="single" w:sz="4" w:space="0" w:color="auto"/>
            </w:tcBorders>
            <w:shd w:val="clear" w:color="auto" w:fill="FFFFFF"/>
            <w:hideMark/>
          </w:tcPr>
          <w:p w:rsidR="00172AC5" w:rsidRPr="00172AC5" w:rsidRDefault="00172AC5" w:rsidP="00B56B91">
            <w:pPr>
              <w:spacing w:after="0"/>
              <w:jc w:val="center"/>
              <w:rPr>
                <w:rFonts w:ascii="Times New Roman" w:hAnsi="Times New Roman"/>
                <w:b/>
                <w:color w:val="000000"/>
                <w:sz w:val="20"/>
                <w:szCs w:val="20"/>
              </w:rPr>
            </w:pPr>
            <w:r w:rsidRPr="00172AC5">
              <w:rPr>
                <w:rFonts w:ascii="Times New Roman" w:hAnsi="Times New Roman"/>
                <w:b/>
                <w:color w:val="000000"/>
                <w:sz w:val="20"/>
                <w:szCs w:val="20"/>
              </w:rPr>
              <w:t>(X</w:t>
            </w:r>
            <w:r w:rsidRPr="00172AC5">
              <w:rPr>
                <w:rFonts w:ascii="Times New Roman" w:hAnsi="Times New Roman"/>
                <w:b/>
                <w:color w:val="000000"/>
                <w:sz w:val="20"/>
                <w:szCs w:val="20"/>
                <w:vertAlign w:val="subscript"/>
              </w:rPr>
              <w:t>3</w:t>
            </w:r>
            <w:r w:rsidRPr="00172AC5">
              <w:rPr>
                <w:rFonts w:ascii="Times New Roman" w:hAnsi="Times New Roman"/>
                <w:b/>
                <w:color w:val="000000"/>
                <w:sz w:val="20"/>
                <w:szCs w:val="20"/>
              </w:rPr>
              <w:t>)</w:t>
            </w:r>
          </w:p>
          <w:p w:rsidR="00172AC5" w:rsidRPr="00172AC5" w:rsidRDefault="00172AC5" w:rsidP="00B56B91">
            <w:pPr>
              <w:spacing w:after="0"/>
              <w:jc w:val="center"/>
              <w:rPr>
                <w:rFonts w:ascii="Times New Roman" w:hAnsi="Times New Roman"/>
                <w:b/>
                <w:color w:val="000000"/>
                <w:sz w:val="20"/>
                <w:szCs w:val="20"/>
              </w:rPr>
            </w:pPr>
            <w:r w:rsidRPr="00172AC5">
              <w:rPr>
                <w:rFonts w:ascii="Times New Roman" w:hAnsi="Times New Roman"/>
                <w:b/>
                <w:color w:val="000000"/>
                <w:sz w:val="20"/>
                <w:szCs w:val="20"/>
              </w:rPr>
              <w:t>Co-Surfactant</w:t>
            </w:r>
          </w:p>
          <w:p w:rsidR="00172AC5" w:rsidRPr="00172AC5" w:rsidRDefault="00172AC5" w:rsidP="00B56B91">
            <w:pPr>
              <w:spacing w:after="0"/>
              <w:jc w:val="center"/>
              <w:rPr>
                <w:rFonts w:ascii="Times New Roman" w:hAnsi="Times New Roman"/>
                <w:b/>
                <w:color w:val="000000"/>
                <w:sz w:val="20"/>
                <w:szCs w:val="20"/>
              </w:rPr>
            </w:pPr>
            <w:r w:rsidRPr="00172AC5">
              <w:rPr>
                <w:rFonts w:ascii="Times New Roman" w:hAnsi="Times New Roman"/>
                <w:b/>
                <w:color w:val="000000"/>
                <w:sz w:val="20"/>
                <w:szCs w:val="20"/>
              </w:rPr>
              <w:t>(PG)</w:t>
            </w:r>
          </w:p>
          <w:p w:rsidR="00172AC5" w:rsidRPr="00172AC5" w:rsidRDefault="00F11FA5" w:rsidP="00B56B91">
            <w:pPr>
              <w:spacing w:after="0"/>
              <w:jc w:val="center"/>
              <w:rPr>
                <w:rFonts w:ascii="Times New Roman" w:hAnsi="Times New Roman"/>
                <w:b/>
                <w:color w:val="000000"/>
                <w:sz w:val="20"/>
                <w:szCs w:val="20"/>
              </w:rPr>
            </w:pPr>
            <w:r>
              <w:rPr>
                <w:rFonts w:ascii="Times New Roman" w:hAnsi="Times New Roman"/>
                <w:b/>
                <w:color w:val="000000"/>
                <w:sz w:val="20"/>
                <w:szCs w:val="20"/>
              </w:rPr>
              <w:t>(g</w:t>
            </w:r>
            <w:r w:rsidR="00172AC5" w:rsidRPr="00172AC5">
              <w:rPr>
                <w:rFonts w:ascii="Times New Roman" w:hAnsi="Times New Roman"/>
                <w:b/>
                <w:color w:val="000000"/>
                <w:sz w:val="20"/>
                <w:szCs w:val="20"/>
              </w:rPr>
              <w:t>)</w:t>
            </w:r>
          </w:p>
        </w:tc>
        <w:tc>
          <w:tcPr>
            <w:tcW w:w="988" w:type="dxa"/>
            <w:tcBorders>
              <w:top w:val="single" w:sz="4" w:space="0" w:color="auto"/>
              <w:bottom w:val="single" w:sz="4" w:space="0" w:color="auto"/>
            </w:tcBorders>
            <w:shd w:val="clear" w:color="auto" w:fill="FFFFFF"/>
            <w:hideMark/>
          </w:tcPr>
          <w:p w:rsidR="00172AC5" w:rsidRPr="00172AC5" w:rsidRDefault="00172AC5" w:rsidP="00B56B91">
            <w:pPr>
              <w:spacing w:after="0"/>
              <w:jc w:val="center"/>
              <w:rPr>
                <w:rFonts w:ascii="Times New Roman" w:hAnsi="Times New Roman"/>
                <w:b/>
                <w:color w:val="000000"/>
                <w:sz w:val="20"/>
                <w:szCs w:val="20"/>
              </w:rPr>
            </w:pPr>
            <w:r w:rsidRPr="00172AC5">
              <w:rPr>
                <w:rFonts w:ascii="Times New Roman" w:hAnsi="Times New Roman"/>
                <w:b/>
                <w:color w:val="000000"/>
                <w:sz w:val="20"/>
                <w:szCs w:val="20"/>
              </w:rPr>
              <w:t>(Z</w:t>
            </w:r>
            <w:r w:rsidRPr="00172AC5">
              <w:rPr>
                <w:rFonts w:ascii="Times New Roman" w:hAnsi="Times New Roman"/>
                <w:b/>
                <w:color w:val="000000"/>
                <w:sz w:val="20"/>
                <w:szCs w:val="20"/>
                <w:vertAlign w:val="subscript"/>
              </w:rPr>
              <w:t>4</w:t>
            </w:r>
            <w:r w:rsidRPr="00172AC5">
              <w:rPr>
                <w:rFonts w:ascii="Times New Roman" w:hAnsi="Times New Roman"/>
                <w:b/>
                <w:color w:val="000000"/>
                <w:sz w:val="20"/>
                <w:szCs w:val="20"/>
              </w:rPr>
              <w:t>)</w:t>
            </w:r>
          </w:p>
          <w:p w:rsidR="00172AC5" w:rsidRPr="00172AC5" w:rsidRDefault="00172AC5" w:rsidP="00B56B91">
            <w:pPr>
              <w:spacing w:after="0"/>
              <w:jc w:val="center"/>
              <w:rPr>
                <w:rFonts w:ascii="Times New Roman" w:hAnsi="Times New Roman"/>
                <w:b/>
                <w:color w:val="000000"/>
                <w:sz w:val="20"/>
                <w:szCs w:val="20"/>
              </w:rPr>
            </w:pPr>
          </w:p>
          <w:p w:rsidR="00172AC5" w:rsidRPr="00172AC5" w:rsidRDefault="00172AC5" w:rsidP="00B56B91">
            <w:pPr>
              <w:spacing w:after="0"/>
              <w:jc w:val="center"/>
              <w:rPr>
                <w:rFonts w:ascii="Times New Roman" w:hAnsi="Times New Roman"/>
                <w:b/>
                <w:color w:val="000000"/>
                <w:sz w:val="20"/>
                <w:szCs w:val="20"/>
              </w:rPr>
            </w:pPr>
            <w:r w:rsidRPr="00172AC5">
              <w:rPr>
                <w:rFonts w:ascii="Times New Roman" w:hAnsi="Times New Roman"/>
                <w:b/>
                <w:color w:val="000000"/>
                <w:sz w:val="20"/>
                <w:szCs w:val="20"/>
              </w:rPr>
              <w:t>Temp.</w:t>
            </w:r>
          </w:p>
          <w:p w:rsidR="00172AC5" w:rsidRPr="00172AC5" w:rsidRDefault="00172AC5" w:rsidP="00B56B91">
            <w:pPr>
              <w:spacing w:after="0"/>
              <w:jc w:val="center"/>
              <w:rPr>
                <w:rFonts w:ascii="Times New Roman" w:hAnsi="Times New Roman"/>
                <w:b/>
                <w:color w:val="000000"/>
                <w:sz w:val="20"/>
                <w:szCs w:val="20"/>
              </w:rPr>
            </w:pPr>
            <w:r w:rsidRPr="00172AC5">
              <w:rPr>
                <w:rFonts w:ascii="Times New Roman" w:hAnsi="Times New Roman"/>
                <w:b/>
                <w:color w:val="000000"/>
                <w:sz w:val="20"/>
                <w:szCs w:val="20"/>
              </w:rPr>
              <w:t>(˚C)</w:t>
            </w:r>
          </w:p>
        </w:tc>
        <w:tc>
          <w:tcPr>
            <w:tcW w:w="1320" w:type="dxa"/>
            <w:tcBorders>
              <w:top w:val="single" w:sz="4" w:space="0" w:color="auto"/>
              <w:bottom w:val="single" w:sz="4" w:space="0" w:color="auto"/>
            </w:tcBorders>
            <w:shd w:val="clear" w:color="auto" w:fill="FFFFFF"/>
            <w:vAlign w:val="center"/>
            <w:hideMark/>
          </w:tcPr>
          <w:p w:rsidR="00172AC5" w:rsidRPr="00172AC5" w:rsidRDefault="00172AC5" w:rsidP="00B56B91">
            <w:pPr>
              <w:spacing w:after="0"/>
              <w:jc w:val="center"/>
              <w:rPr>
                <w:rFonts w:ascii="Times New Roman" w:hAnsi="Times New Roman"/>
                <w:b/>
                <w:color w:val="000000"/>
                <w:sz w:val="20"/>
                <w:szCs w:val="20"/>
              </w:rPr>
            </w:pPr>
            <w:r w:rsidRPr="00172AC5">
              <w:rPr>
                <w:rFonts w:ascii="Times New Roman" w:hAnsi="Times New Roman"/>
                <w:b/>
                <w:color w:val="000000"/>
                <w:sz w:val="20"/>
                <w:szCs w:val="20"/>
              </w:rPr>
              <w:t>% T</w:t>
            </w:r>
          </w:p>
        </w:tc>
        <w:tc>
          <w:tcPr>
            <w:tcW w:w="1140" w:type="dxa"/>
            <w:tcBorders>
              <w:top w:val="single" w:sz="4" w:space="0" w:color="auto"/>
              <w:bottom w:val="single" w:sz="4" w:space="0" w:color="auto"/>
            </w:tcBorders>
            <w:shd w:val="clear" w:color="auto" w:fill="FFFFFF"/>
            <w:vAlign w:val="center"/>
            <w:hideMark/>
          </w:tcPr>
          <w:p w:rsidR="00172AC5" w:rsidRPr="00172AC5" w:rsidRDefault="00172AC5" w:rsidP="00B56B91">
            <w:pPr>
              <w:spacing w:after="0"/>
              <w:jc w:val="center"/>
              <w:rPr>
                <w:rFonts w:ascii="Times New Roman" w:hAnsi="Times New Roman"/>
                <w:b/>
                <w:color w:val="000000"/>
                <w:sz w:val="20"/>
                <w:szCs w:val="20"/>
              </w:rPr>
            </w:pPr>
            <w:r w:rsidRPr="00172AC5">
              <w:rPr>
                <w:rFonts w:ascii="Times New Roman" w:hAnsi="Times New Roman"/>
                <w:b/>
                <w:color w:val="000000"/>
                <w:sz w:val="20"/>
                <w:szCs w:val="20"/>
              </w:rPr>
              <w:t>PS</w:t>
            </w:r>
          </w:p>
          <w:p w:rsidR="00172AC5" w:rsidRPr="00172AC5" w:rsidRDefault="00172AC5" w:rsidP="00B56B91">
            <w:pPr>
              <w:spacing w:after="0"/>
              <w:jc w:val="center"/>
              <w:rPr>
                <w:rFonts w:ascii="Times New Roman" w:hAnsi="Times New Roman"/>
                <w:b/>
                <w:color w:val="000000"/>
                <w:sz w:val="20"/>
                <w:szCs w:val="20"/>
              </w:rPr>
            </w:pPr>
            <w:r w:rsidRPr="00172AC5">
              <w:rPr>
                <w:rFonts w:ascii="Times New Roman" w:hAnsi="Times New Roman"/>
                <w:b/>
                <w:color w:val="000000"/>
                <w:sz w:val="20"/>
                <w:szCs w:val="20"/>
              </w:rPr>
              <w:t>(nm)</w:t>
            </w:r>
          </w:p>
        </w:tc>
        <w:tc>
          <w:tcPr>
            <w:tcW w:w="1590" w:type="dxa"/>
            <w:tcBorders>
              <w:top w:val="single" w:sz="4" w:space="0" w:color="auto"/>
              <w:bottom w:val="single" w:sz="4" w:space="0" w:color="auto"/>
            </w:tcBorders>
            <w:shd w:val="clear" w:color="auto" w:fill="FFFFFF"/>
            <w:vAlign w:val="center"/>
            <w:hideMark/>
          </w:tcPr>
          <w:p w:rsidR="00172AC5" w:rsidRPr="00172AC5" w:rsidRDefault="00172AC5" w:rsidP="00B56B91">
            <w:pPr>
              <w:spacing w:after="0"/>
              <w:jc w:val="center"/>
              <w:rPr>
                <w:rFonts w:ascii="Times New Roman" w:hAnsi="Times New Roman"/>
                <w:b/>
                <w:color w:val="000000"/>
                <w:sz w:val="20"/>
                <w:szCs w:val="20"/>
              </w:rPr>
            </w:pPr>
            <w:r w:rsidRPr="00172AC5">
              <w:rPr>
                <w:rFonts w:ascii="Times New Roman" w:hAnsi="Times New Roman"/>
                <w:b/>
                <w:color w:val="000000"/>
                <w:sz w:val="20"/>
                <w:szCs w:val="20"/>
              </w:rPr>
              <w:t>PDI</w:t>
            </w:r>
          </w:p>
        </w:tc>
        <w:tc>
          <w:tcPr>
            <w:tcW w:w="1070" w:type="dxa"/>
            <w:tcBorders>
              <w:top w:val="single" w:sz="4" w:space="0" w:color="auto"/>
              <w:bottom w:val="single" w:sz="4" w:space="0" w:color="auto"/>
            </w:tcBorders>
            <w:shd w:val="clear" w:color="auto" w:fill="FFFFFF"/>
            <w:vAlign w:val="center"/>
            <w:hideMark/>
          </w:tcPr>
          <w:p w:rsidR="00172AC5" w:rsidRPr="00172AC5" w:rsidRDefault="00172AC5" w:rsidP="00B56B91">
            <w:pPr>
              <w:spacing w:after="0"/>
              <w:jc w:val="center"/>
              <w:rPr>
                <w:rFonts w:ascii="Times New Roman" w:hAnsi="Times New Roman"/>
                <w:b/>
                <w:color w:val="000000"/>
                <w:sz w:val="20"/>
                <w:szCs w:val="20"/>
              </w:rPr>
            </w:pPr>
            <w:r w:rsidRPr="00172AC5">
              <w:rPr>
                <w:rFonts w:ascii="Times New Roman" w:hAnsi="Times New Roman"/>
                <w:b/>
                <w:color w:val="000000"/>
                <w:sz w:val="20"/>
                <w:szCs w:val="20"/>
              </w:rPr>
              <w:t>DC</w:t>
            </w:r>
          </w:p>
          <w:p w:rsidR="00172AC5" w:rsidRPr="00172AC5" w:rsidRDefault="00172AC5" w:rsidP="00B56B91">
            <w:pPr>
              <w:spacing w:after="0"/>
              <w:jc w:val="center"/>
              <w:rPr>
                <w:rFonts w:ascii="Times New Roman" w:hAnsi="Times New Roman"/>
                <w:b/>
                <w:color w:val="000000"/>
                <w:sz w:val="20"/>
                <w:szCs w:val="20"/>
              </w:rPr>
            </w:pPr>
            <w:r w:rsidRPr="00172AC5">
              <w:rPr>
                <w:rFonts w:ascii="Times New Roman" w:hAnsi="Times New Roman"/>
                <w:b/>
                <w:color w:val="000000"/>
                <w:sz w:val="20"/>
                <w:szCs w:val="20"/>
              </w:rPr>
              <w:t>(%)</w:t>
            </w:r>
          </w:p>
        </w:tc>
      </w:tr>
      <w:tr w:rsidR="00172AC5" w:rsidRPr="00172AC5" w:rsidTr="00B56B91">
        <w:trPr>
          <w:tblCellSpacing w:w="15" w:type="dxa"/>
          <w:jc w:val="center"/>
        </w:trPr>
        <w:tc>
          <w:tcPr>
            <w:tcW w:w="654"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1.</w:t>
            </w:r>
          </w:p>
        </w:tc>
        <w:tc>
          <w:tcPr>
            <w:tcW w:w="1262" w:type="dxa"/>
            <w:shd w:val="clear" w:color="auto" w:fill="FFFFFF"/>
            <w:vAlign w:val="center"/>
            <w:hideMark/>
          </w:tcPr>
          <w:p w:rsidR="00172AC5" w:rsidRPr="00172AC5" w:rsidRDefault="00F11FA5" w:rsidP="00F11FA5">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1</w:t>
            </w:r>
          </w:p>
        </w:tc>
        <w:tc>
          <w:tcPr>
            <w:tcW w:w="1140" w:type="dxa"/>
            <w:shd w:val="clear" w:color="auto" w:fill="FFFFFF"/>
            <w:vAlign w:val="center"/>
            <w:hideMark/>
          </w:tcPr>
          <w:p w:rsidR="00172AC5" w:rsidRPr="00172AC5" w:rsidRDefault="00F11FA5" w:rsidP="00B56B91">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55</w:t>
            </w:r>
          </w:p>
        </w:tc>
        <w:tc>
          <w:tcPr>
            <w:tcW w:w="1050" w:type="dxa"/>
            <w:shd w:val="clear" w:color="auto" w:fill="FFFFFF"/>
            <w:vAlign w:val="center"/>
            <w:hideMark/>
          </w:tcPr>
          <w:p w:rsidR="00172AC5" w:rsidRPr="00172AC5" w:rsidRDefault="00F11FA5" w:rsidP="00B56B91">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35</w:t>
            </w:r>
          </w:p>
        </w:tc>
        <w:tc>
          <w:tcPr>
            <w:tcW w:w="988"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60</w:t>
            </w:r>
          </w:p>
        </w:tc>
        <w:tc>
          <w:tcPr>
            <w:tcW w:w="132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99.4±0.4</w:t>
            </w:r>
          </w:p>
        </w:tc>
        <w:tc>
          <w:tcPr>
            <w:tcW w:w="114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12.7±0.6</w:t>
            </w:r>
          </w:p>
        </w:tc>
        <w:tc>
          <w:tcPr>
            <w:tcW w:w="159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0.098±0.004</w:t>
            </w:r>
          </w:p>
        </w:tc>
        <w:tc>
          <w:tcPr>
            <w:tcW w:w="107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66.1±1.9</w:t>
            </w:r>
          </w:p>
        </w:tc>
      </w:tr>
      <w:tr w:rsidR="00172AC5" w:rsidRPr="00172AC5" w:rsidTr="00B56B91">
        <w:trPr>
          <w:tblCellSpacing w:w="15" w:type="dxa"/>
          <w:jc w:val="center"/>
        </w:trPr>
        <w:tc>
          <w:tcPr>
            <w:tcW w:w="654"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2.</w:t>
            </w:r>
          </w:p>
        </w:tc>
        <w:tc>
          <w:tcPr>
            <w:tcW w:w="1262" w:type="dxa"/>
            <w:shd w:val="clear" w:color="auto" w:fill="FFFFFF"/>
            <w:vAlign w:val="center"/>
            <w:hideMark/>
          </w:tcPr>
          <w:p w:rsidR="00172AC5" w:rsidRPr="00172AC5" w:rsidRDefault="00F11FA5" w:rsidP="00F11FA5">
            <w:pPr>
              <w:spacing w:after="0"/>
              <w:jc w:val="center"/>
              <w:rPr>
                <w:rFonts w:ascii="Times New Roman" w:hAnsi="Times New Roman"/>
                <w:color w:val="000000"/>
                <w:sz w:val="20"/>
                <w:szCs w:val="20"/>
              </w:rPr>
            </w:pPr>
            <w:r>
              <w:rPr>
                <w:rFonts w:ascii="Times New Roman" w:hAnsi="Times New Roman"/>
                <w:color w:val="000000"/>
                <w:sz w:val="20"/>
                <w:szCs w:val="20"/>
              </w:rPr>
              <w:t>0.1</w:t>
            </w:r>
          </w:p>
        </w:tc>
        <w:tc>
          <w:tcPr>
            <w:tcW w:w="1140" w:type="dxa"/>
            <w:shd w:val="clear" w:color="auto" w:fill="FFFFFF"/>
            <w:vAlign w:val="center"/>
            <w:hideMark/>
          </w:tcPr>
          <w:p w:rsidR="00172AC5" w:rsidRPr="00172AC5" w:rsidRDefault="00F11FA5" w:rsidP="00B56B91">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55</w:t>
            </w:r>
          </w:p>
        </w:tc>
        <w:tc>
          <w:tcPr>
            <w:tcW w:w="1050" w:type="dxa"/>
            <w:shd w:val="clear" w:color="auto" w:fill="FFFFFF"/>
            <w:vAlign w:val="center"/>
            <w:hideMark/>
          </w:tcPr>
          <w:p w:rsidR="00172AC5" w:rsidRPr="00172AC5" w:rsidRDefault="00F11FA5" w:rsidP="00B56B91">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35</w:t>
            </w:r>
          </w:p>
        </w:tc>
        <w:tc>
          <w:tcPr>
            <w:tcW w:w="988"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80</w:t>
            </w:r>
          </w:p>
        </w:tc>
        <w:tc>
          <w:tcPr>
            <w:tcW w:w="132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99.5±0.3</w:t>
            </w:r>
          </w:p>
        </w:tc>
        <w:tc>
          <w:tcPr>
            <w:tcW w:w="114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13.1±0.4</w:t>
            </w:r>
          </w:p>
        </w:tc>
        <w:tc>
          <w:tcPr>
            <w:tcW w:w="159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0.493±0.02</w:t>
            </w:r>
          </w:p>
        </w:tc>
        <w:tc>
          <w:tcPr>
            <w:tcW w:w="107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82.3±1.4</w:t>
            </w:r>
          </w:p>
        </w:tc>
      </w:tr>
      <w:tr w:rsidR="00172AC5" w:rsidRPr="00172AC5" w:rsidTr="00B56B91">
        <w:trPr>
          <w:tblCellSpacing w:w="15" w:type="dxa"/>
          <w:jc w:val="center"/>
        </w:trPr>
        <w:tc>
          <w:tcPr>
            <w:tcW w:w="654"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3.</w:t>
            </w:r>
          </w:p>
        </w:tc>
        <w:tc>
          <w:tcPr>
            <w:tcW w:w="1262" w:type="dxa"/>
            <w:shd w:val="clear" w:color="auto" w:fill="FFFFFF"/>
            <w:vAlign w:val="center"/>
            <w:hideMark/>
          </w:tcPr>
          <w:p w:rsidR="00172AC5" w:rsidRPr="00172AC5" w:rsidRDefault="00F11FA5" w:rsidP="00B56B91">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15</w:t>
            </w:r>
          </w:p>
        </w:tc>
        <w:tc>
          <w:tcPr>
            <w:tcW w:w="1140" w:type="dxa"/>
            <w:shd w:val="clear" w:color="auto" w:fill="FFFFFF"/>
            <w:vAlign w:val="center"/>
            <w:hideMark/>
          </w:tcPr>
          <w:p w:rsidR="00172AC5" w:rsidRPr="00172AC5" w:rsidRDefault="00F11FA5" w:rsidP="00B56B91">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5</w:t>
            </w:r>
          </w:p>
        </w:tc>
        <w:tc>
          <w:tcPr>
            <w:tcW w:w="1050" w:type="dxa"/>
            <w:shd w:val="clear" w:color="auto" w:fill="FFFFFF"/>
            <w:vAlign w:val="center"/>
            <w:hideMark/>
          </w:tcPr>
          <w:p w:rsidR="00172AC5" w:rsidRPr="00172AC5" w:rsidRDefault="00F11FA5" w:rsidP="00B56B91">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35</w:t>
            </w:r>
          </w:p>
        </w:tc>
        <w:tc>
          <w:tcPr>
            <w:tcW w:w="988"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80</w:t>
            </w:r>
          </w:p>
        </w:tc>
        <w:tc>
          <w:tcPr>
            <w:tcW w:w="132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99.5±0.2</w:t>
            </w:r>
          </w:p>
        </w:tc>
        <w:tc>
          <w:tcPr>
            <w:tcW w:w="114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15.4±0.7</w:t>
            </w:r>
          </w:p>
        </w:tc>
        <w:tc>
          <w:tcPr>
            <w:tcW w:w="159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0.194±0.009</w:t>
            </w:r>
          </w:p>
        </w:tc>
        <w:tc>
          <w:tcPr>
            <w:tcW w:w="107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81.5±1.2</w:t>
            </w:r>
          </w:p>
        </w:tc>
      </w:tr>
      <w:tr w:rsidR="00172AC5" w:rsidRPr="00172AC5" w:rsidTr="00B56B91">
        <w:trPr>
          <w:tblCellSpacing w:w="15" w:type="dxa"/>
          <w:jc w:val="center"/>
        </w:trPr>
        <w:tc>
          <w:tcPr>
            <w:tcW w:w="654"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4.</w:t>
            </w:r>
          </w:p>
        </w:tc>
        <w:tc>
          <w:tcPr>
            <w:tcW w:w="1262" w:type="dxa"/>
            <w:shd w:val="clear" w:color="auto" w:fill="FFFFFF"/>
            <w:vAlign w:val="center"/>
            <w:hideMark/>
          </w:tcPr>
          <w:p w:rsidR="00172AC5" w:rsidRPr="00172AC5" w:rsidRDefault="00F11FA5" w:rsidP="00B56B91">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15</w:t>
            </w:r>
          </w:p>
        </w:tc>
        <w:tc>
          <w:tcPr>
            <w:tcW w:w="1140" w:type="dxa"/>
            <w:shd w:val="clear" w:color="auto" w:fill="FFFFFF"/>
            <w:vAlign w:val="center"/>
            <w:hideMark/>
          </w:tcPr>
          <w:p w:rsidR="00172AC5" w:rsidRPr="00172AC5" w:rsidRDefault="00F11FA5" w:rsidP="00B56B91">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5</w:t>
            </w:r>
          </w:p>
        </w:tc>
        <w:tc>
          <w:tcPr>
            <w:tcW w:w="1050" w:type="dxa"/>
            <w:shd w:val="clear" w:color="auto" w:fill="FFFFFF"/>
            <w:vAlign w:val="center"/>
            <w:hideMark/>
          </w:tcPr>
          <w:p w:rsidR="00172AC5" w:rsidRPr="00172AC5" w:rsidRDefault="00F11FA5" w:rsidP="00B56B91">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35</w:t>
            </w:r>
          </w:p>
        </w:tc>
        <w:tc>
          <w:tcPr>
            <w:tcW w:w="988"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60</w:t>
            </w:r>
          </w:p>
        </w:tc>
        <w:tc>
          <w:tcPr>
            <w:tcW w:w="132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98.8±0.6</w:t>
            </w:r>
          </w:p>
        </w:tc>
        <w:tc>
          <w:tcPr>
            <w:tcW w:w="114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14.4±0.3</w:t>
            </w:r>
          </w:p>
        </w:tc>
        <w:tc>
          <w:tcPr>
            <w:tcW w:w="159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0.04±0.002</w:t>
            </w:r>
          </w:p>
        </w:tc>
        <w:tc>
          <w:tcPr>
            <w:tcW w:w="107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69.1±1.4</w:t>
            </w:r>
          </w:p>
        </w:tc>
      </w:tr>
      <w:tr w:rsidR="00172AC5" w:rsidRPr="00172AC5" w:rsidTr="00B56B91">
        <w:trPr>
          <w:tblCellSpacing w:w="15" w:type="dxa"/>
          <w:jc w:val="center"/>
        </w:trPr>
        <w:tc>
          <w:tcPr>
            <w:tcW w:w="654"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5.</w:t>
            </w:r>
          </w:p>
        </w:tc>
        <w:tc>
          <w:tcPr>
            <w:tcW w:w="1262" w:type="dxa"/>
            <w:shd w:val="clear" w:color="auto" w:fill="FFFFFF"/>
            <w:vAlign w:val="center"/>
            <w:hideMark/>
          </w:tcPr>
          <w:p w:rsidR="00172AC5" w:rsidRPr="00172AC5" w:rsidRDefault="00F11FA5" w:rsidP="00B56B91">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1</w:t>
            </w:r>
          </w:p>
        </w:tc>
        <w:tc>
          <w:tcPr>
            <w:tcW w:w="1140" w:type="dxa"/>
            <w:shd w:val="clear" w:color="auto" w:fill="FFFFFF"/>
            <w:vAlign w:val="center"/>
            <w:hideMark/>
          </w:tcPr>
          <w:p w:rsidR="00172AC5" w:rsidRPr="00172AC5" w:rsidRDefault="00F11FA5" w:rsidP="00B56B91">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6</w:t>
            </w:r>
          </w:p>
        </w:tc>
        <w:tc>
          <w:tcPr>
            <w:tcW w:w="1050" w:type="dxa"/>
            <w:shd w:val="clear" w:color="auto" w:fill="FFFFFF"/>
            <w:vAlign w:val="center"/>
            <w:hideMark/>
          </w:tcPr>
          <w:p w:rsidR="00172AC5" w:rsidRPr="00172AC5" w:rsidRDefault="00F11FA5" w:rsidP="00B56B91">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3</w:t>
            </w:r>
          </w:p>
        </w:tc>
        <w:tc>
          <w:tcPr>
            <w:tcW w:w="988"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60</w:t>
            </w:r>
          </w:p>
        </w:tc>
        <w:tc>
          <w:tcPr>
            <w:tcW w:w="132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99.4±0.3</w:t>
            </w:r>
          </w:p>
        </w:tc>
        <w:tc>
          <w:tcPr>
            <w:tcW w:w="114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13.1±0.5</w:t>
            </w:r>
          </w:p>
        </w:tc>
        <w:tc>
          <w:tcPr>
            <w:tcW w:w="159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0.045±0.002</w:t>
            </w:r>
          </w:p>
        </w:tc>
        <w:tc>
          <w:tcPr>
            <w:tcW w:w="107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54.3±1.1</w:t>
            </w:r>
          </w:p>
        </w:tc>
      </w:tr>
      <w:tr w:rsidR="00172AC5" w:rsidRPr="00172AC5" w:rsidTr="00B56B91">
        <w:trPr>
          <w:tblCellSpacing w:w="15" w:type="dxa"/>
          <w:jc w:val="center"/>
        </w:trPr>
        <w:tc>
          <w:tcPr>
            <w:tcW w:w="654"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6.</w:t>
            </w:r>
          </w:p>
        </w:tc>
        <w:tc>
          <w:tcPr>
            <w:tcW w:w="1262" w:type="dxa"/>
            <w:shd w:val="clear" w:color="auto" w:fill="FFFFFF"/>
            <w:vAlign w:val="center"/>
            <w:hideMark/>
          </w:tcPr>
          <w:p w:rsidR="00172AC5" w:rsidRPr="00172AC5" w:rsidRDefault="00F11FA5" w:rsidP="00B56B91">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15</w:t>
            </w:r>
          </w:p>
        </w:tc>
        <w:tc>
          <w:tcPr>
            <w:tcW w:w="1140" w:type="dxa"/>
            <w:shd w:val="clear" w:color="auto" w:fill="FFFFFF"/>
            <w:vAlign w:val="center"/>
            <w:hideMark/>
          </w:tcPr>
          <w:p w:rsidR="00172AC5" w:rsidRPr="00172AC5" w:rsidRDefault="00F11FA5" w:rsidP="00B56B91">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55</w:t>
            </w:r>
          </w:p>
        </w:tc>
        <w:tc>
          <w:tcPr>
            <w:tcW w:w="1050" w:type="dxa"/>
            <w:shd w:val="clear" w:color="auto" w:fill="FFFFFF"/>
            <w:vAlign w:val="center"/>
            <w:hideMark/>
          </w:tcPr>
          <w:p w:rsidR="00172AC5" w:rsidRPr="00172AC5" w:rsidRDefault="00F11FA5" w:rsidP="00B56B91">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3</w:t>
            </w:r>
          </w:p>
        </w:tc>
        <w:tc>
          <w:tcPr>
            <w:tcW w:w="988"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60</w:t>
            </w:r>
          </w:p>
        </w:tc>
        <w:tc>
          <w:tcPr>
            <w:tcW w:w="132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99.1±0.5</w:t>
            </w:r>
          </w:p>
        </w:tc>
        <w:tc>
          <w:tcPr>
            <w:tcW w:w="114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14.4±0.6</w:t>
            </w:r>
          </w:p>
        </w:tc>
        <w:tc>
          <w:tcPr>
            <w:tcW w:w="159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0.034±0.001</w:t>
            </w:r>
          </w:p>
        </w:tc>
        <w:tc>
          <w:tcPr>
            <w:tcW w:w="107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26.5±0.7</w:t>
            </w:r>
          </w:p>
        </w:tc>
      </w:tr>
      <w:tr w:rsidR="00172AC5" w:rsidRPr="00172AC5" w:rsidTr="00B56B91">
        <w:trPr>
          <w:tblCellSpacing w:w="15" w:type="dxa"/>
          <w:jc w:val="center"/>
        </w:trPr>
        <w:tc>
          <w:tcPr>
            <w:tcW w:w="654"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7.</w:t>
            </w:r>
          </w:p>
        </w:tc>
        <w:tc>
          <w:tcPr>
            <w:tcW w:w="1262" w:type="dxa"/>
            <w:shd w:val="clear" w:color="auto" w:fill="FFFFFF"/>
            <w:vAlign w:val="center"/>
            <w:hideMark/>
          </w:tcPr>
          <w:p w:rsidR="00172AC5" w:rsidRPr="00172AC5" w:rsidRDefault="00F11FA5" w:rsidP="00B56B91">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1</w:t>
            </w:r>
          </w:p>
        </w:tc>
        <w:tc>
          <w:tcPr>
            <w:tcW w:w="1140" w:type="dxa"/>
            <w:shd w:val="clear" w:color="auto" w:fill="FFFFFF"/>
            <w:vAlign w:val="center"/>
            <w:hideMark/>
          </w:tcPr>
          <w:p w:rsidR="00172AC5" w:rsidRPr="00172AC5" w:rsidRDefault="00F11FA5" w:rsidP="00B56B91">
            <w:pPr>
              <w:spacing w:after="0"/>
              <w:jc w:val="center"/>
              <w:rPr>
                <w:rFonts w:ascii="Times New Roman" w:hAnsi="Times New Roman"/>
                <w:color w:val="000000"/>
                <w:sz w:val="20"/>
                <w:szCs w:val="20"/>
              </w:rPr>
            </w:pPr>
            <w:r>
              <w:rPr>
                <w:rFonts w:ascii="Times New Roman" w:hAnsi="Times New Roman"/>
                <w:color w:val="000000"/>
                <w:sz w:val="20"/>
                <w:szCs w:val="20"/>
              </w:rPr>
              <w:t>0.6</w:t>
            </w:r>
            <w:r w:rsidR="00172AC5" w:rsidRPr="00172AC5">
              <w:rPr>
                <w:rFonts w:ascii="Times New Roman" w:hAnsi="Times New Roman"/>
                <w:color w:val="000000"/>
                <w:sz w:val="20"/>
                <w:szCs w:val="20"/>
              </w:rPr>
              <w:t>0</w:t>
            </w:r>
          </w:p>
        </w:tc>
        <w:tc>
          <w:tcPr>
            <w:tcW w:w="1050" w:type="dxa"/>
            <w:shd w:val="clear" w:color="auto" w:fill="FFFFFF"/>
            <w:vAlign w:val="center"/>
            <w:hideMark/>
          </w:tcPr>
          <w:p w:rsidR="00172AC5" w:rsidRPr="00172AC5" w:rsidRDefault="00F11FA5" w:rsidP="00B56B91">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3</w:t>
            </w:r>
          </w:p>
        </w:tc>
        <w:tc>
          <w:tcPr>
            <w:tcW w:w="988"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80</w:t>
            </w:r>
          </w:p>
        </w:tc>
        <w:tc>
          <w:tcPr>
            <w:tcW w:w="132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99.6±0.2</w:t>
            </w:r>
          </w:p>
        </w:tc>
        <w:tc>
          <w:tcPr>
            <w:tcW w:w="114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12.9±0.5</w:t>
            </w:r>
          </w:p>
        </w:tc>
        <w:tc>
          <w:tcPr>
            <w:tcW w:w="159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0.246±0.01</w:t>
            </w:r>
          </w:p>
        </w:tc>
        <w:tc>
          <w:tcPr>
            <w:tcW w:w="107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90.1±2.1</w:t>
            </w:r>
          </w:p>
        </w:tc>
      </w:tr>
      <w:tr w:rsidR="00172AC5" w:rsidRPr="00172AC5" w:rsidTr="00B56B91">
        <w:trPr>
          <w:tblCellSpacing w:w="15" w:type="dxa"/>
          <w:jc w:val="center"/>
        </w:trPr>
        <w:tc>
          <w:tcPr>
            <w:tcW w:w="654"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8.</w:t>
            </w:r>
          </w:p>
        </w:tc>
        <w:tc>
          <w:tcPr>
            <w:tcW w:w="1262" w:type="dxa"/>
            <w:shd w:val="clear" w:color="auto" w:fill="FFFFFF"/>
            <w:vAlign w:val="center"/>
            <w:hideMark/>
          </w:tcPr>
          <w:p w:rsidR="00172AC5" w:rsidRPr="00172AC5" w:rsidRDefault="00F11FA5" w:rsidP="00B56B91">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15</w:t>
            </w:r>
          </w:p>
        </w:tc>
        <w:tc>
          <w:tcPr>
            <w:tcW w:w="1140" w:type="dxa"/>
            <w:shd w:val="clear" w:color="auto" w:fill="FFFFFF"/>
            <w:vAlign w:val="center"/>
            <w:hideMark/>
          </w:tcPr>
          <w:p w:rsidR="00172AC5" w:rsidRPr="00172AC5" w:rsidRDefault="00F11FA5" w:rsidP="00B56B91">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55</w:t>
            </w:r>
          </w:p>
        </w:tc>
        <w:tc>
          <w:tcPr>
            <w:tcW w:w="1050" w:type="dxa"/>
            <w:shd w:val="clear" w:color="auto" w:fill="FFFFFF"/>
            <w:vAlign w:val="center"/>
            <w:hideMark/>
          </w:tcPr>
          <w:p w:rsidR="00172AC5" w:rsidRPr="00172AC5" w:rsidRDefault="00F11FA5" w:rsidP="00B56B91">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3</w:t>
            </w:r>
          </w:p>
        </w:tc>
        <w:tc>
          <w:tcPr>
            <w:tcW w:w="988"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80</w:t>
            </w:r>
          </w:p>
        </w:tc>
        <w:tc>
          <w:tcPr>
            <w:tcW w:w="132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99.4±0.4</w:t>
            </w:r>
          </w:p>
        </w:tc>
        <w:tc>
          <w:tcPr>
            <w:tcW w:w="114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14.7±0.7</w:t>
            </w:r>
          </w:p>
        </w:tc>
        <w:tc>
          <w:tcPr>
            <w:tcW w:w="159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0.097±0.003</w:t>
            </w:r>
          </w:p>
        </w:tc>
        <w:tc>
          <w:tcPr>
            <w:tcW w:w="107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73.8±1.7</w:t>
            </w:r>
          </w:p>
        </w:tc>
      </w:tr>
      <w:tr w:rsidR="00172AC5" w:rsidRPr="00172AC5" w:rsidTr="00B56B91">
        <w:trPr>
          <w:tblCellSpacing w:w="15" w:type="dxa"/>
          <w:jc w:val="center"/>
        </w:trPr>
        <w:tc>
          <w:tcPr>
            <w:tcW w:w="654"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9.</w:t>
            </w:r>
          </w:p>
        </w:tc>
        <w:tc>
          <w:tcPr>
            <w:tcW w:w="1262" w:type="dxa"/>
            <w:shd w:val="clear" w:color="auto" w:fill="FFFFFF"/>
            <w:vAlign w:val="center"/>
            <w:hideMark/>
          </w:tcPr>
          <w:p w:rsidR="00172AC5" w:rsidRPr="00172AC5" w:rsidRDefault="00F11FA5" w:rsidP="00B56B91">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2</w:t>
            </w:r>
          </w:p>
        </w:tc>
        <w:tc>
          <w:tcPr>
            <w:tcW w:w="1140" w:type="dxa"/>
            <w:shd w:val="clear" w:color="auto" w:fill="FFFFFF"/>
            <w:vAlign w:val="center"/>
            <w:hideMark/>
          </w:tcPr>
          <w:p w:rsidR="00172AC5" w:rsidRPr="00172AC5" w:rsidRDefault="00F11FA5" w:rsidP="00B56B91">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5</w:t>
            </w:r>
          </w:p>
        </w:tc>
        <w:tc>
          <w:tcPr>
            <w:tcW w:w="1050" w:type="dxa"/>
            <w:shd w:val="clear" w:color="auto" w:fill="FFFFFF"/>
            <w:vAlign w:val="center"/>
            <w:hideMark/>
          </w:tcPr>
          <w:p w:rsidR="00172AC5" w:rsidRPr="00172AC5" w:rsidRDefault="00F11FA5" w:rsidP="00B56B91">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3</w:t>
            </w:r>
          </w:p>
        </w:tc>
        <w:tc>
          <w:tcPr>
            <w:tcW w:w="988"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80</w:t>
            </w:r>
          </w:p>
        </w:tc>
        <w:tc>
          <w:tcPr>
            <w:tcW w:w="132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99±0.6</w:t>
            </w:r>
          </w:p>
        </w:tc>
        <w:tc>
          <w:tcPr>
            <w:tcW w:w="114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44.7±2.1</w:t>
            </w:r>
          </w:p>
        </w:tc>
        <w:tc>
          <w:tcPr>
            <w:tcW w:w="159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0.456±0.02</w:t>
            </w:r>
          </w:p>
        </w:tc>
        <w:tc>
          <w:tcPr>
            <w:tcW w:w="107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85.8±2.2</w:t>
            </w:r>
          </w:p>
        </w:tc>
      </w:tr>
      <w:tr w:rsidR="00172AC5" w:rsidRPr="00172AC5" w:rsidTr="00B56B91">
        <w:trPr>
          <w:tblCellSpacing w:w="15" w:type="dxa"/>
          <w:jc w:val="center"/>
        </w:trPr>
        <w:tc>
          <w:tcPr>
            <w:tcW w:w="654"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10.</w:t>
            </w:r>
          </w:p>
        </w:tc>
        <w:tc>
          <w:tcPr>
            <w:tcW w:w="1262" w:type="dxa"/>
            <w:shd w:val="clear" w:color="auto" w:fill="FFFFFF"/>
            <w:vAlign w:val="center"/>
            <w:hideMark/>
          </w:tcPr>
          <w:p w:rsidR="00172AC5" w:rsidRPr="00172AC5" w:rsidRDefault="00F11FA5" w:rsidP="00B56B91">
            <w:pPr>
              <w:spacing w:after="0"/>
              <w:jc w:val="center"/>
              <w:rPr>
                <w:rFonts w:ascii="Times New Roman" w:hAnsi="Times New Roman"/>
                <w:color w:val="000000"/>
                <w:sz w:val="20"/>
                <w:szCs w:val="20"/>
              </w:rPr>
            </w:pPr>
            <w:r>
              <w:rPr>
                <w:rFonts w:ascii="Times New Roman" w:hAnsi="Times New Roman"/>
                <w:color w:val="000000"/>
                <w:sz w:val="20"/>
                <w:szCs w:val="20"/>
              </w:rPr>
              <w:t>0.1</w:t>
            </w:r>
          </w:p>
        </w:tc>
        <w:tc>
          <w:tcPr>
            <w:tcW w:w="1140" w:type="dxa"/>
            <w:shd w:val="clear" w:color="auto" w:fill="FFFFFF"/>
            <w:vAlign w:val="center"/>
            <w:hideMark/>
          </w:tcPr>
          <w:p w:rsidR="00172AC5" w:rsidRPr="00172AC5" w:rsidRDefault="00F11FA5" w:rsidP="00B56B91">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5</w:t>
            </w:r>
          </w:p>
        </w:tc>
        <w:tc>
          <w:tcPr>
            <w:tcW w:w="1050" w:type="dxa"/>
            <w:shd w:val="clear" w:color="auto" w:fill="FFFFFF"/>
            <w:vAlign w:val="center"/>
            <w:hideMark/>
          </w:tcPr>
          <w:p w:rsidR="00172AC5" w:rsidRPr="00172AC5" w:rsidRDefault="00F11FA5" w:rsidP="00B56B91">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4</w:t>
            </w:r>
          </w:p>
        </w:tc>
        <w:tc>
          <w:tcPr>
            <w:tcW w:w="988"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80</w:t>
            </w:r>
          </w:p>
        </w:tc>
        <w:tc>
          <w:tcPr>
            <w:tcW w:w="132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99.5±0.2</w:t>
            </w:r>
          </w:p>
        </w:tc>
        <w:tc>
          <w:tcPr>
            <w:tcW w:w="114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13.2±0.4</w:t>
            </w:r>
          </w:p>
        </w:tc>
        <w:tc>
          <w:tcPr>
            <w:tcW w:w="159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0.63±0.03</w:t>
            </w:r>
          </w:p>
        </w:tc>
        <w:tc>
          <w:tcPr>
            <w:tcW w:w="107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87.6±1.8</w:t>
            </w:r>
          </w:p>
        </w:tc>
      </w:tr>
      <w:tr w:rsidR="00172AC5" w:rsidRPr="00172AC5" w:rsidTr="00B56B91">
        <w:trPr>
          <w:tblCellSpacing w:w="15" w:type="dxa"/>
          <w:jc w:val="center"/>
        </w:trPr>
        <w:tc>
          <w:tcPr>
            <w:tcW w:w="654"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11.</w:t>
            </w:r>
          </w:p>
        </w:tc>
        <w:tc>
          <w:tcPr>
            <w:tcW w:w="1262" w:type="dxa"/>
            <w:shd w:val="clear" w:color="auto" w:fill="FFFFFF"/>
            <w:vAlign w:val="center"/>
            <w:hideMark/>
          </w:tcPr>
          <w:p w:rsidR="00172AC5" w:rsidRPr="00172AC5" w:rsidRDefault="00F11FA5" w:rsidP="00B56B91">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1</w:t>
            </w:r>
          </w:p>
        </w:tc>
        <w:tc>
          <w:tcPr>
            <w:tcW w:w="1140" w:type="dxa"/>
            <w:shd w:val="clear" w:color="auto" w:fill="FFFFFF"/>
            <w:vAlign w:val="center"/>
            <w:hideMark/>
          </w:tcPr>
          <w:p w:rsidR="00172AC5" w:rsidRPr="00172AC5" w:rsidRDefault="00F11FA5" w:rsidP="00B56B91">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5</w:t>
            </w:r>
          </w:p>
        </w:tc>
        <w:tc>
          <w:tcPr>
            <w:tcW w:w="1050" w:type="dxa"/>
            <w:shd w:val="clear" w:color="auto" w:fill="FFFFFF"/>
            <w:vAlign w:val="center"/>
            <w:hideMark/>
          </w:tcPr>
          <w:p w:rsidR="00172AC5" w:rsidRPr="00172AC5" w:rsidRDefault="00F11FA5" w:rsidP="00B56B91">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4</w:t>
            </w:r>
          </w:p>
        </w:tc>
        <w:tc>
          <w:tcPr>
            <w:tcW w:w="988"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60</w:t>
            </w:r>
          </w:p>
        </w:tc>
        <w:tc>
          <w:tcPr>
            <w:tcW w:w="132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99.2±0.5</w:t>
            </w:r>
          </w:p>
        </w:tc>
        <w:tc>
          <w:tcPr>
            <w:tcW w:w="114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12.8±0.6</w:t>
            </w:r>
          </w:p>
        </w:tc>
        <w:tc>
          <w:tcPr>
            <w:tcW w:w="159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0.091±0.003</w:t>
            </w:r>
          </w:p>
        </w:tc>
        <w:tc>
          <w:tcPr>
            <w:tcW w:w="1070" w:type="dxa"/>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23.5±0.7</w:t>
            </w:r>
          </w:p>
        </w:tc>
      </w:tr>
      <w:tr w:rsidR="00172AC5" w:rsidRPr="00172AC5" w:rsidTr="00B56B91">
        <w:trPr>
          <w:tblCellSpacing w:w="15" w:type="dxa"/>
          <w:jc w:val="center"/>
        </w:trPr>
        <w:tc>
          <w:tcPr>
            <w:tcW w:w="654" w:type="dxa"/>
            <w:tcBorders>
              <w:bottom w:val="single" w:sz="4" w:space="0" w:color="auto"/>
            </w:tcBorders>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12.</w:t>
            </w:r>
          </w:p>
        </w:tc>
        <w:tc>
          <w:tcPr>
            <w:tcW w:w="1262" w:type="dxa"/>
            <w:tcBorders>
              <w:bottom w:val="single" w:sz="4" w:space="0" w:color="auto"/>
            </w:tcBorders>
            <w:shd w:val="clear" w:color="auto" w:fill="FFFFFF"/>
            <w:vAlign w:val="center"/>
            <w:hideMark/>
          </w:tcPr>
          <w:p w:rsidR="00172AC5" w:rsidRPr="00172AC5" w:rsidRDefault="00F11FA5" w:rsidP="00B56B91">
            <w:pPr>
              <w:spacing w:after="0"/>
              <w:jc w:val="center"/>
              <w:rPr>
                <w:rFonts w:ascii="Times New Roman" w:hAnsi="Times New Roman"/>
                <w:color w:val="000000"/>
                <w:sz w:val="20"/>
                <w:szCs w:val="20"/>
              </w:rPr>
            </w:pPr>
            <w:r>
              <w:rPr>
                <w:rFonts w:ascii="Times New Roman" w:hAnsi="Times New Roman"/>
                <w:color w:val="000000"/>
                <w:sz w:val="20"/>
                <w:szCs w:val="20"/>
              </w:rPr>
              <w:t>0.2</w:t>
            </w:r>
            <w:r w:rsidR="00172AC5" w:rsidRPr="00172AC5">
              <w:rPr>
                <w:rFonts w:ascii="Times New Roman" w:hAnsi="Times New Roman"/>
                <w:color w:val="000000"/>
                <w:sz w:val="20"/>
                <w:szCs w:val="20"/>
              </w:rPr>
              <w:t>0</w:t>
            </w:r>
          </w:p>
        </w:tc>
        <w:tc>
          <w:tcPr>
            <w:tcW w:w="1140" w:type="dxa"/>
            <w:tcBorders>
              <w:bottom w:val="single" w:sz="4" w:space="0" w:color="auto"/>
            </w:tcBorders>
            <w:shd w:val="clear" w:color="auto" w:fill="FFFFFF"/>
            <w:vAlign w:val="center"/>
            <w:hideMark/>
          </w:tcPr>
          <w:p w:rsidR="00172AC5" w:rsidRPr="00172AC5" w:rsidRDefault="00F11FA5" w:rsidP="00B56B91">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5</w:t>
            </w:r>
          </w:p>
        </w:tc>
        <w:tc>
          <w:tcPr>
            <w:tcW w:w="1050" w:type="dxa"/>
            <w:tcBorders>
              <w:bottom w:val="single" w:sz="4" w:space="0" w:color="auto"/>
            </w:tcBorders>
            <w:shd w:val="clear" w:color="auto" w:fill="FFFFFF"/>
            <w:vAlign w:val="center"/>
            <w:hideMark/>
          </w:tcPr>
          <w:p w:rsidR="00172AC5" w:rsidRPr="00172AC5" w:rsidRDefault="00F11FA5" w:rsidP="00B56B91">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3</w:t>
            </w:r>
          </w:p>
        </w:tc>
        <w:tc>
          <w:tcPr>
            <w:tcW w:w="988" w:type="dxa"/>
            <w:tcBorders>
              <w:bottom w:val="single" w:sz="4" w:space="0" w:color="auto"/>
            </w:tcBorders>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60</w:t>
            </w:r>
          </w:p>
        </w:tc>
        <w:tc>
          <w:tcPr>
            <w:tcW w:w="1320" w:type="dxa"/>
            <w:tcBorders>
              <w:bottom w:val="single" w:sz="4" w:space="0" w:color="auto"/>
            </w:tcBorders>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99±0.4</w:t>
            </w:r>
          </w:p>
        </w:tc>
        <w:tc>
          <w:tcPr>
            <w:tcW w:w="1140" w:type="dxa"/>
            <w:tcBorders>
              <w:bottom w:val="single" w:sz="4" w:space="0" w:color="auto"/>
            </w:tcBorders>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69.7±3.1</w:t>
            </w:r>
          </w:p>
        </w:tc>
        <w:tc>
          <w:tcPr>
            <w:tcW w:w="1590" w:type="dxa"/>
            <w:tcBorders>
              <w:bottom w:val="single" w:sz="4" w:space="0" w:color="auto"/>
            </w:tcBorders>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0.297±0.01</w:t>
            </w:r>
          </w:p>
        </w:tc>
        <w:tc>
          <w:tcPr>
            <w:tcW w:w="1070" w:type="dxa"/>
            <w:tcBorders>
              <w:bottom w:val="single" w:sz="4" w:space="0" w:color="auto"/>
            </w:tcBorders>
            <w:shd w:val="clear" w:color="auto" w:fill="FFFFFF"/>
            <w:vAlign w:val="center"/>
            <w:hideMark/>
          </w:tcPr>
          <w:p w:rsidR="00172AC5" w:rsidRPr="00172AC5" w:rsidRDefault="00172AC5" w:rsidP="00B56B91">
            <w:pPr>
              <w:spacing w:after="0"/>
              <w:jc w:val="center"/>
              <w:rPr>
                <w:rFonts w:ascii="Times New Roman" w:hAnsi="Times New Roman"/>
                <w:color w:val="000000"/>
                <w:sz w:val="20"/>
                <w:szCs w:val="20"/>
              </w:rPr>
            </w:pPr>
            <w:r w:rsidRPr="00172AC5">
              <w:rPr>
                <w:rFonts w:ascii="Times New Roman" w:hAnsi="Times New Roman"/>
                <w:color w:val="000000"/>
                <w:sz w:val="20"/>
                <w:szCs w:val="20"/>
              </w:rPr>
              <w:t>71.6±1.4</w:t>
            </w:r>
          </w:p>
        </w:tc>
      </w:tr>
    </w:tbl>
    <w:p w:rsidR="00172AC5" w:rsidRDefault="00172AC5" w:rsidP="00172AC5">
      <w:pPr>
        <w:rPr>
          <w:rFonts w:ascii="Times New Roman" w:hAnsi="Times New Roman"/>
          <w:sz w:val="20"/>
          <w:szCs w:val="20"/>
        </w:rPr>
      </w:pPr>
      <w:r w:rsidRPr="00865135">
        <w:rPr>
          <w:rFonts w:ascii="Times New Roman" w:hAnsi="Times New Roman"/>
          <w:sz w:val="20"/>
          <w:szCs w:val="20"/>
        </w:rPr>
        <w:t>*CO: Corn Oil; OA: Oleic Acid; T80: Tween 80; PG: Propylene Glycol</w:t>
      </w:r>
      <w:r>
        <w:rPr>
          <w:rFonts w:ascii="Times New Roman" w:hAnsi="Times New Roman"/>
          <w:sz w:val="20"/>
          <w:szCs w:val="20"/>
        </w:rPr>
        <w:t>; % T: Percent Transmittance; PS: Particle Size; PDI: Polydispersity Index; DC: Drug Content</w:t>
      </w:r>
    </w:p>
    <w:p w:rsidR="00172AC5" w:rsidRPr="00172AC5" w:rsidRDefault="00172AC5" w:rsidP="00172AC5">
      <w:pPr>
        <w:rPr>
          <w:rFonts w:ascii="Times New Roman" w:hAnsi="Times New Roman"/>
          <w:sz w:val="20"/>
          <w:szCs w:val="20"/>
        </w:rPr>
      </w:pPr>
      <w:r w:rsidRPr="00172AC5">
        <w:rPr>
          <w:rFonts w:ascii="Times New Roman" w:hAnsi="Times New Roman"/>
          <w:b/>
          <w:sz w:val="20"/>
          <w:szCs w:val="20"/>
        </w:rPr>
        <w:t>Table S5:</w:t>
      </w:r>
      <w:r w:rsidRPr="00172AC5">
        <w:rPr>
          <w:rFonts w:ascii="Times New Roman" w:hAnsi="Times New Roman"/>
          <w:sz w:val="20"/>
          <w:szCs w:val="20"/>
        </w:rPr>
        <w:t xml:space="preserve"> Multiple linear regression (MLR) analysis of various critical response variables (CRVs).</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915"/>
        <w:gridCol w:w="1915"/>
        <w:gridCol w:w="2180"/>
        <w:gridCol w:w="2050"/>
      </w:tblGrid>
      <w:tr w:rsidR="00172AC5" w:rsidRPr="00172AC5" w:rsidTr="00B56B91">
        <w:trPr>
          <w:jc w:val="center"/>
        </w:trPr>
        <w:tc>
          <w:tcPr>
            <w:tcW w:w="1915" w:type="dxa"/>
            <w:tcBorders>
              <w:top w:val="single" w:sz="4" w:space="0" w:color="auto"/>
              <w:bottom w:val="single" w:sz="4" w:space="0" w:color="auto"/>
            </w:tcBorders>
          </w:tcPr>
          <w:p w:rsidR="00172AC5" w:rsidRPr="00172AC5" w:rsidRDefault="00172AC5" w:rsidP="00B56B91">
            <w:pPr>
              <w:jc w:val="center"/>
              <w:rPr>
                <w:rFonts w:ascii="Times New Roman" w:hAnsi="Times New Roman"/>
                <w:b/>
                <w:sz w:val="20"/>
                <w:szCs w:val="20"/>
              </w:rPr>
            </w:pPr>
            <w:r w:rsidRPr="00172AC5">
              <w:rPr>
                <w:rFonts w:ascii="Times New Roman" w:hAnsi="Times New Roman"/>
                <w:b/>
                <w:sz w:val="20"/>
                <w:szCs w:val="20"/>
              </w:rPr>
              <w:t>Variables</w:t>
            </w:r>
          </w:p>
        </w:tc>
        <w:tc>
          <w:tcPr>
            <w:tcW w:w="1915" w:type="dxa"/>
            <w:tcBorders>
              <w:top w:val="single" w:sz="4" w:space="0" w:color="auto"/>
              <w:bottom w:val="single" w:sz="4" w:space="0" w:color="auto"/>
            </w:tcBorders>
          </w:tcPr>
          <w:p w:rsidR="00172AC5" w:rsidRPr="00172AC5" w:rsidRDefault="00172AC5" w:rsidP="00B56B91">
            <w:pPr>
              <w:jc w:val="center"/>
              <w:rPr>
                <w:rFonts w:ascii="Times New Roman" w:hAnsi="Times New Roman"/>
                <w:b/>
                <w:sz w:val="20"/>
                <w:szCs w:val="20"/>
              </w:rPr>
            </w:pPr>
            <w:r w:rsidRPr="00172AC5">
              <w:rPr>
                <w:rFonts w:ascii="Times New Roman" w:hAnsi="Times New Roman"/>
                <w:b/>
                <w:sz w:val="20"/>
                <w:szCs w:val="20"/>
              </w:rPr>
              <w:t>Intercept</w:t>
            </w:r>
          </w:p>
        </w:tc>
        <w:tc>
          <w:tcPr>
            <w:tcW w:w="2180" w:type="dxa"/>
            <w:tcBorders>
              <w:top w:val="single" w:sz="4" w:space="0" w:color="auto"/>
              <w:bottom w:val="single" w:sz="4" w:space="0" w:color="auto"/>
            </w:tcBorders>
          </w:tcPr>
          <w:p w:rsidR="00172AC5" w:rsidRPr="00172AC5" w:rsidRDefault="00172AC5" w:rsidP="00B56B91">
            <w:pPr>
              <w:jc w:val="center"/>
              <w:rPr>
                <w:rFonts w:ascii="Times New Roman" w:hAnsi="Times New Roman"/>
                <w:b/>
                <w:sz w:val="20"/>
                <w:szCs w:val="20"/>
              </w:rPr>
            </w:pPr>
            <w:r w:rsidRPr="00172AC5">
              <w:rPr>
                <w:rFonts w:ascii="Times New Roman" w:hAnsi="Times New Roman"/>
                <w:b/>
                <w:sz w:val="20"/>
                <w:szCs w:val="20"/>
              </w:rPr>
              <w:t>B</w:t>
            </w:r>
          </w:p>
        </w:tc>
        <w:tc>
          <w:tcPr>
            <w:tcW w:w="2050" w:type="dxa"/>
            <w:tcBorders>
              <w:top w:val="single" w:sz="4" w:space="0" w:color="auto"/>
              <w:bottom w:val="single" w:sz="4" w:space="0" w:color="auto"/>
            </w:tcBorders>
          </w:tcPr>
          <w:p w:rsidR="00172AC5" w:rsidRPr="00172AC5" w:rsidRDefault="00172AC5" w:rsidP="00B56B91">
            <w:pPr>
              <w:jc w:val="center"/>
              <w:rPr>
                <w:rFonts w:ascii="Times New Roman" w:hAnsi="Times New Roman"/>
                <w:b/>
                <w:sz w:val="20"/>
                <w:szCs w:val="20"/>
              </w:rPr>
            </w:pPr>
            <w:r w:rsidRPr="00172AC5">
              <w:rPr>
                <w:rFonts w:ascii="Times New Roman" w:hAnsi="Times New Roman"/>
                <w:b/>
                <w:sz w:val="20"/>
                <w:szCs w:val="20"/>
              </w:rPr>
              <w:t>Active variable</w:t>
            </w:r>
          </w:p>
        </w:tc>
      </w:tr>
      <w:tr w:rsidR="00172AC5" w:rsidRPr="00172AC5" w:rsidTr="00B56B91">
        <w:trPr>
          <w:jc w:val="center"/>
        </w:trPr>
        <w:tc>
          <w:tcPr>
            <w:tcW w:w="1915" w:type="dxa"/>
            <w:tcBorders>
              <w:top w:val="single" w:sz="4" w:space="0" w:color="auto"/>
            </w:tcBorders>
            <w:vAlign w:val="center"/>
          </w:tcPr>
          <w:p w:rsidR="00172AC5" w:rsidRPr="00172AC5" w:rsidRDefault="00172AC5" w:rsidP="00B56B91">
            <w:pPr>
              <w:jc w:val="center"/>
              <w:rPr>
                <w:rFonts w:ascii="Times New Roman" w:hAnsi="Times New Roman"/>
                <w:sz w:val="20"/>
                <w:szCs w:val="20"/>
              </w:rPr>
            </w:pPr>
            <w:r w:rsidRPr="00172AC5">
              <w:rPr>
                <w:rFonts w:ascii="Times New Roman" w:hAnsi="Times New Roman"/>
                <w:sz w:val="20"/>
                <w:szCs w:val="20"/>
              </w:rPr>
              <w:t>Particle Size</w:t>
            </w:r>
          </w:p>
        </w:tc>
        <w:tc>
          <w:tcPr>
            <w:tcW w:w="1915" w:type="dxa"/>
            <w:tcBorders>
              <w:top w:val="single" w:sz="4" w:space="0" w:color="auto"/>
            </w:tcBorders>
            <w:vAlign w:val="center"/>
          </w:tcPr>
          <w:p w:rsidR="00172AC5" w:rsidRPr="00172AC5" w:rsidRDefault="00172AC5" w:rsidP="00B56B91">
            <w:pPr>
              <w:jc w:val="center"/>
              <w:rPr>
                <w:rFonts w:ascii="Times New Roman" w:hAnsi="Times New Roman"/>
                <w:sz w:val="20"/>
                <w:szCs w:val="20"/>
              </w:rPr>
            </w:pPr>
            <w:r w:rsidRPr="00172AC5">
              <w:rPr>
                <w:rFonts w:ascii="Times New Roman" w:hAnsi="Times New Roman"/>
                <w:sz w:val="20"/>
                <w:szCs w:val="20"/>
              </w:rPr>
              <w:t>8.89;</w:t>
            </w:r>
          </w:p>
          <w:p w:rsidR="00172AC5" w:rsidRPr="00172AC5" w:rsidRDefault="00172AC5" w:rsidP="00B56B91">
            <w:pPr>
              <w:jc w:val="center"/>
              <w:rPr>
                <w:rFonts w:ascii="Times New Roman" w:hAnsi="Times New Roman"/>
                <w:sz w:val="20"/>
                <w:szCs w:val="20"/>
              </w:rPr>
            </w:pPr>
            <w:r w:rsidRPr="00172AC5">
              <w:rPr>
                <w:rFonts w:ascii="Times New Roman" w:hAnsi="Times New Roman"/>
                <w:sz w:val="20"/>
                <w:szCs w:val="20"/>
              </w:rPr>
              <w:t>p = 0.072</w:t>
            </w:r>
          </w:p>
        </w:tc>
        <w:tc>
          <w:tcPr>
            <w:tcW w:w="2180" w:type="dxa"/>
            <w:tcBorders>
              <w:top w:val="single" w:sz="4" w:space="0" w:color="auto"/>
            </w:tcBorders>
            <w:vAlign w:val="center"/>
          </w:tcPr>
          <w:p w:rsidR="00172AC5" w:rsidRPr="00172AC5" w:rsidRDefault="00172AC5" w:rsidP="00B56B91">
            <w:pPr>
              <w:jc w:val="center"/>
              <w:rPr>
                <w:rFonts w:ascii="Times New Roman" w:hAnsi="Times New Roman"/>
                <w:sz w:val="20"/>
                <w:szCs w:val="20"/>
              </w:rPr>
            </w:pPr>
            <w:r w:rsidRPr="00172AC5">
              <w:rPr>
                <w:rFonts w:ascii="Times New Roman" w:hAnsi="Times New Roman"/>
                <w:sz w:val="20"/>
                <w:szCs w:val="20"/>
              </w:rPr>
              <w:t>36.09;</w:t>
            </w:r>
          </w:p>
          <w:p w:rsidR="00172AC5" w:rsidRPr="00172AC5" w:rsidRDefault="00172AC5" w:rsidP="00B56B91">
            <w:pPr>
              <w:jc w:val="center"/>
              <w:rPr>
                <w:rFonts w:ascii="Times New Roman" w:hAnsi="Times New Roman"/>
                <w:sz w:val="20"/>
                <w:szCs w:val="20"/>
              </w:rPr>
            </w:pPr>
            <w:r w:rsidRPr="00172AC5">
              <w:rPr>
                <w:rFonts w:ascii="Times New Roman" w:hAnsi="Times New Roman"/>
                <w:sz w:val="20"/>
                <w:szCs w:val="20"/>
              </w:rPr>
              <w:t>p = 0.0022</w:t>
            </w:r>
          </w:p>
        </w:tc>
        <w:tc>
          <w:tcPr>
            <w:tcW w:w="2050" w:type="dxa"/>
            <w:tcBorders>
              <w:top w:val="single" w:sz="4" w:space="0" w:color="auto"/>
            </w:tcBorders>
            <w:vAlign w:val="center"/>
          </w:tcPr>
          <w:p w:rsidR="00172AC5" w:rsidRPr="00172AC5" w:rsidRDefault="00172AC5" w:rsidP="00B56B91">
            <w:pPr>
              <w:jc w:val="center"/>
              <w:rPr>
                <w:rFonts w:ascii="Times New Roman" w:hAnsi="Times New Roman"/>
                <w:sz w:val="20"/>
                <w:szCs w:val="20"/>
                <w:vertAlign w:val="subscript"/>
              </w:rPr>
            </w:pPr>
            <w:r w:rsidRPr="00172AC5">
              <w:rPr>
                <w:rFonts w:ascii="Times New Roman" w:hAnsi="Times New Roman"/>
                <w:sz w:val="20"/>
                <w:szCs w:val="20"/>
              </w:rPr>
              <w:t>X</w:t>
            </w:r>
            <w:r w:rsidRPr="00172AC5">
              <w:rPr>
                <w:rFonts w:ascii="Times New Roman" w:hAnsi="Times New Roman"/>
                <w:sz w:val="20"/>
                <w:szCs w:val="20"/>
                <w:vertAlign w:val="subscript"/>
              </w:rPr>
              <w:t>1</w:t>
            </w:r>
          </w:p>
        </w:tc>
      </w:tr>
      <w:tr w:rsidR="00172AC5" w:rsidRPr="00172AC5" w:rsidTr="00B56B91">
        <w:trPr>
          <w:jc w:val="center"/>
        </w:trPr>
        <w:tc>
          <w:tcPr>
            <w:tcW w:w="1915" w:type="dxa"/>
            <w:vAlign w:val="center"/>
          </w:tcPr>
          <w:p w:rsidR="00172AC5" w:rsidRPr="00172AC5" w:rsidRDefault="00172AC5" w:rsidP="00B56B91">
            <w:pPr>
              <w:jc w:val="center"/>
              <w:rPr>
                <w:rFonts w:ascii="Times New Roman" w:hAnsi="Times New Roman"/>
                <w:sz w:val="20"/>
                <w:szCs w:val="20"/>
              </w:rPr>
            </w:pPr>
            <w:r w:rsidRPr="00172AC5">
              <w:rPr>
                <w:rFonts w:ascii="Times New Roman" w:hAnsi="Times New Roman"/>
                <w:sz w:val="20"/>
                <w:szCs w:val="20"/>
              </w:rPr>
              <w:t>Drug Content</w:t>
            </w:r>
          </w:p>
        </w:tc>
        <w:tc>
          <w:tcPr>
            <w:tcW w:w="1915" w:type="dxa"/>
            <w:vAlign w:val="center"/>
          </w:tcPr>
          <w:p w:rsidR="00172AC5" w:rsidRPr="00172AC5" w:rsidRDefault="00172AC5" w:rsidP="00B56B91">
            <w:pPr>
              <w:jc w:val="center"/>
              <w:rPr>
                <w:rFonts w:ascii="Times New Roman" w:hAnsi="Times New Roman"/>
                <w:sz w:val="20"/>
                <w:szCs w:val="20"/>
              </w:rPr>
            </w:pPr>
            <w:r w:rsidRPr="00172AC5">
              <w:rPr>
                <w:rFonts w:ascii="Times New Roman" w:hAnsi="Times New Roman"/>
                <w:sz w:val="20"/>
                <w:szCs w:val="20"/>
              </w:rPr>
              <w:t>67.68;</w:t>
            </w:r>
          </w:p>
          <w:p w:rsidR="00172AC5" w:rsidRPr="00172AC5" w:rsidRDefault="00172AC5" w:rsidP="00B56B91">
            <w:pPr>
              <w:jc w:val="center"/>
              <w:rPr>
                <w:rFonts w:ascii="Times New Roman" w:hAnsi="Times New Roman"/>
                <w:sz w:val="20"/>
                <w:szCs w:val="20"/>
              </w:rPr>
            </w:pPr>
            <w:r w:rsidRPr="00172AC5">
              <w:rPr>
                <w:rFonts w:ascii="Times New Roman" w:hAnsi="Times New Roman"/>
                <w:sz w:val="20"/>
                <w:szCs w:val="20"/>
              </w:rPr>
              <w:t>p = 0</w:t>
            </w:r>
          </w:p>
        </w:tc>
        <w:tc>
          <w:tcPr>
            <w:tcW w:w="2180" w:type="dxa"/>
            <w:vAlign w:val="center"/>
          </w:tcPr>
          <w:p w:rsidR="00172AC5" w:rsidRPr="00172AC5" w:rsidRDefault="00172AC5" w:rsidP="00B56B91">
            <w:pPr>
              <w:jc w:val="center"/>
              <w:rPr>
                <w:rFonts w:ascii="Times New Roman" w:hAnsi="Times New Roman"/>
                <w:sz w:val="20"/>
                <w:szCs w:val="20"/>
              </w:rPr>
            </w:pPr>
            <w:r w:rsidRPr="00172AC5">
              <w:rPr>
                <w:rFonts w:ascii="Times New Roman" w:hAnsi="Times New Roman"/>
                <w:sz w:val="20"/>
                <w:szCs w:val="20"/>
              </w:rPr>
              <w:t>15.83;</w:t>
            </w:r>
          </w:p>
          <w:p w:rsidR="00172AC5" w:rsidRPr="00172AC5" w:rsidRDefault="00172AC5" w:rsidP="00B56B91">
            <w:pPr>
              <w:jc w:val="center"/>
              <w:rPr>
                <w:rFonts w:ascii="Times New Roman" w:hAnsi="Times New Roman"/>
                <w:sz w:val="20"/>
                <w:szCs w:val="20"/>
              </w:rPr>
            </w:pPr>
            <w:r w:rsidRPr="00172AC5">
              <w:rPr>
                <w:rFonts w:ascii="Times New Roman" w:hAnsi="Times New Roman"/>
                <w:sz w:val="20"/>
                <w:szCs w:val="20"/>
              </w:rPr>
              <w:t>p = 0.000038</w:t>
            </w:r>
          </w:p>
        </w:tc>
        <w:tc>
          <w:tcPr>
            <w:tcW w:w="2050" w:type="dxa"/>
            <w:vAlign w:val="center"/>
          </w:tcPr>
          <w:p w:rsidR="00172AC5" w:rsidRPr="00172AC5" w:rsidRDefault="00172AC5" w:rsidP="00B56B91">
            <w:pPr>
              <w:jc w:val="center"/>
              <w:rPr>
                <w:rFonts w:ascii="Times New Roman" w:hAnsi="Times New Roman"/>
                <w:sz w:val="20"/>
                <w:szCs w:val="20"/>
                <w:vertAlign w:val="subscript"/>
              </w:rPr>
            </w:pPr>
            <w:r w:rsidRPr="00172AC5">
              <w:rPr>
                <w:rFonts w:ascii="Times New Roman" w:hAnsi="Times New Roman"/>
                <w:sz w:val="20"/>
                <w:szCs w:val="20"/>
              </w:rPr>
              <w:t>Z</w:t>
            </w:r>
            <w:r w:rsidRPr="00172AC5">
              <w:rPr>
                <w:rFonts w:ascii="Times New Roman" w:hAnsi="Times New Roman"/>
                <w:sz w:val="20"/>
                <w:szCs w:val="20"/>
                <w:vertAlign w:val="subscript"/>
              </w:rPr>
              <w:t>4</w:t>
            </w:r>
          </w:p>
        </w:tc>
      </w:tr>
      <w:tr w:rsidR="00172AC5" w:rsidRPr="00172AC5" w:rsidTr="00B56B91">
        <w:trPr>
          <w:jc w:val="center"/>
        </w:trPr>
        <w:tc>
          <w:tcPr>
            <w:tcW w:w="1915" w:type="dxa"/>
            <w:vAlign w:val="center"/>
          </w:tcPr>
          <w:p w:rsidR="00172AC5" w:rsidRPr="00172AC5" w:rsidRDefault="00172AC5" w:rsidP="00B56B91">
            <w:pPr>
              <w:jc w:val="center"/>
              <w:rPr>
                <w:rFonts w:ascii="Times New Roman" w:hAnsi="Times New Roman"/>
                <w:sz w:val="20"/>
                <w:szCs w:val="20"/>
              </w:rPr>
            </w:pPr>
            <w:r w:rsidRPr="00172AC5">
              <w:rPr>
                <w:rFonts w:ascii="Times New Roman" w:hAnsi="Times New Roman"/>
                <w:sz w:val="20"/>
                <w:szCs w:val="20"/>
              </w:rPr>
              <w:t>% Transmittance</w:t>
            </w:r>
          </w:p>
        </w:tc>
        <w:tc>
          <w:tcPr>
            <w:tcW w:w="1915" w:type="dxa"/>
            <w:vAlign w:val="center"/>
          </w:tcPr>
          <w:p w:rsidR="00172AC5" w:rsidRPr="00172AC5" w:rsidRDefault="00172AC5" w:rsidP="00B56B91">
            <w:pPr>
              <w:jc w:val="center"/>
              <w:rPr>
                <w:rFonts w:ascii="Times New Roman" w:hAnsi="Times New Roman"/>
                <w:sz w:val="20"/>
                <w:szCs w:val="20"/>
              </w:rPr>
            </w:pPr>
            <w:r w:rsidRPr="00172AC5">
              <w:rPr>
                <w:rFonts w:ascii="Times New Roman" w:hAnsi="Times New Roman"/>
                <w:sz w:val="20"/>
                <w:szCs w:val="20"/>
              </w:rPr>
              <w:t>99.51;</w:t>
            </w:r>
          </w:p>
          <w:p w:rsidR="00172AC5" w:rsidRPr="00172AC5" w:rsidRDefault="00172AC5" w:rsidP="00B56B91">
            <w:pPr>
              <w:jc w:val="center"/>
              <w:rPr>
                <w:rFonts w:ascii="Times New Roman" w:hAnsi="Times New Roman"/>
                <w:sz w:val="20"/>
                <w:szCs w:val="20"/>
              </w:rPr>
            </w:pPr>
            <w:r w:rsidRPr="00172AC5">
              <w:rPr>
                <w:rFonts w:ascii="Times New Roman" w:hAnsi="Times New Roman"/>
                <w:sz w:val="20"/>
                <w:szCs w:val="20"/>
              </w:rPr>
              <w:t>p = 0</w:t>
            </w:r>
          </w:p>
        </w:tc>
        <w:tc>
          <w:tcPr>
            <w:tcW w:w="2180" w:type="dxa"/>
            <w:vAlign w:val="center"/>
          </w:tcPr>
          <w:p w:rsidR="00172AC5" w:rsidRPr="00172AC5" w:rsidRDefault="00172AC5" w:rsidP="00B56B91">
            <w:pPr>
              <w:jc w:val="center"/>
              <w:rPr>
                <w:rFonts w:ascii="Times New Roman" w:hAnsi="Times New Roman"/>
                <w:sz w:val="20"/>
                <w:szCs w:val="20"/>
              </w:rPr>
            </w:pPr>
            <w:r w:rsidRPr="00172AC5">
              <w:rPr>
                <w:rFonts w:ascii="Times New Roman" w:hAnsi="Times New Roman"/>
                <w:sz w:val="20"/>
                <w:szCs w:val="20"/>
              </w:rPr>
              <w:t>X</w:t>
            </w:r>
            <w:r w:rsidRPr="00172AC5">
              <w:rPr>
                <w:rFonts w:ascii="Times New Roman" w:hAnsi="Times New Roman"/>
                <w:sz w:val="20"/>
                <w:szCs w:val="20"/>
                <w:vertAlign w:val="subscript"/>
              </w:rPr>
              <w:t>1</w:t>
            </w:r>
            <w:r w:rsidRPr="00172AC5">
              <w:rPr>
                <w:rFonts w:ascii="Times New Roman" w:hAnsi="Times New Roman"/>
                <w:sz w:val="20"/>
                <w:szCs w:val="20"/>
              </w:rPr>
              <w:t xml:space="preserve"> B = -0.520;</w:t>
            </w:r>
          </w:p>
          <w:p w:rsidR="00172AC5" w:rsidRPr="00172AC5" w:rsidRDefault="00172AC5" w:rsidP="00B56B91">
            <w:pPr>
              <w:jc w:val="center"/>
              <w:rPr>
                <w:rFonts w:ascii="Times New Roman" w:hAnsi="Times New Roman"/>
                <w:sz w:val="20"/>
                <w:szCs w:val="20"/>
              </w:rPr>
            </w:pPr>
            <w:r w:rsidRPr="00172AC5">
              <w:rPr>
                <w:rFonts w:ascii="Times New Roman" w:hAnsi="Times New Roman"/>
                <w:sz w:val="20"/>
                <w:szCs w:val="20"/>
              </w:rPr>
              <w:t>p = 0.002</w:t>
            </w:r>
          </w:p>
          <w:p w:rsidR="00172AC5" w:rsidRPr="00172AC5" w:rsidRDefault="00172AC5" w:rsidP="00B56B91">
            <w:pPr>
              <w:jc w:val="center"/>
              <w:rPr>
                <w:rFonts w:ascii="Times New Roman" w:hAnsi="Times New Roman"/>
                <w:sz w:val="20"/>
                <w:szCs w:val="20"/>
              </w:rPr>
            </w:pPr>
            <w:r w:rsidRPr="00172AC5">
              <w:rPr>
                <w:rFonts w:ascii="Times New Roman" w:hAnsi="Times New Roman"/>
                <w:sz w:val="20"/>
                <w:szCs w:val="20"/>
              </w:rPr>
              <w:t>X</w:t>
            </w:r>
            <w:r w:rsidRPr="00172AC5">
              <w:rPr>
                <w:rFonts w:ascii="Times New Roman" w:hAnsi="Times New Roman"/>
                <w:sz w:val="20"/>
                <w:szCs w:val="20"/>
                <w:vertAlign w:val="subscript"/>
              </w:rPr>
              <w:t>3</w:t>
            </w:r>
            <w:r w:rsidRPr="00172AC5">
              <w:rPr>
                <w:rFonts w:ascii="Times New Roman" w:hAnsi="Times New Roman"/>
                <w:sz w:val="20"/>
                <w:szCs w:val="20"/>
              </w:rPr>
              <w:t xml:space="preserve"> = -0.160</w:t>
            </w:r>
          </w:p>
          <w:p w:rsidR="00172AC5" w:rsidRPr="00172AC5" w:rsidRDefault="00172AC5" w:rsidP="00B56B91">
            <w:pPr>
              <w:jc w:val="center"/>
              <w:rPr>
                <w:rFonts w:ascii="Times New Roman" w:hAnsi="Times New Roman"/>
                <w:sz w:val="20"/>
                <w:szCs w:val="20"/>
              </w:rPr>
            </w:pPr>
            <w:r w:rsidRPr="00172AC5">
              <w:rPr>
                <w:rFonts w:ascii="Times New Roman" w:hAnsi="Times New Roman"/>
                <w:sz w:val="20"/>
                <w:szCs w:val="20"/>
              </w:rPr>
              <w:t>p = 0.225</w:t>
            </w:r>
          </w:p>
          <w:p w:rsidR="00172AC5" w:rsidRPr="00172AC5" w:rsidRDefault="00172AC5" w:rsidP="00B56B91">
            <w:pPr>
              <w:jc w:val="center"/>
              <w:rPr>
                <w:rFonts w:ascii="Times New Roman" w:hAnsi="Times New Roman"/>
                <w:sz w:val="20"/>
                <w:szCs w:val="20"/>
              </w:rPr>
            </w:pPr>
            <w:r w:rsidRPr="00172AC5">
              <w:rPr>
                <w:rFonts w:ascii="Times New Roman" w:hAnsi="Times New Roman"/>
                <w:sz w:val="20"/>
                <w:szCs w:val="20"/>
              </w:rPr>
              <w:t>Z</w:t>
            </w:r>
            <w:r w:rsidRPr="00172AC5">
              <w:rPr>
                <w:rFonts w:ascii="Times New Roman" w:hAnsi="Times New Roman"/>
                <w:sz w:val="20"/>
                <w:szCs w:val="20"/>
                <w:vertAlign w:val="subscript"/>
              </w:rPr>
              <w:t xml:space="preserve">4 </w:t>
            </w:r>
            <w:r w:rsidRPr="00172AC5">
              <w:rPr>
                <w:rFonts w:ascii="Times New Roman" w:hAnsi="Times New Roman"/>
                <w:sz w:val="20"/>
                <w:szCs w:val="20"/>
              </w:rPr>
              <w:t>B = 0.133;</w:t>
            </w:r>
          </w:p>
          <w:p w:rsidR="00172AC5" w:rsidRPr="00172AC5" w:rsidRDefault="00172AC5" w:rsidP="00B56B91">
            <w:pPr>
              <w:jc w:val="center"/>
              <w:rPr>
                <w:rFonts w:ascii="Times New Roman" w:hAnsi="Times New Roman"/>
                <w:sz w:val="20"/>
                <w:szCs w:val="20"/>
              </w:rPr>
            </w:pPr>
            <w:r w:rsidRPr="00172AC5">
              <w:rPr>
                <w:rFonts w:ascii="Times New Roman" w:hAnsi="Times New Roman"/>
                <w:sz w:val="20"/>
                <w:szCs w:val="20"/>
              </w:rPr>
              <w:t>p = 0.0095</w:t>
            </w:r>
          </w:p>
        </w:tc>
        <w:tc>
          <w:tcPr>
            <w:tcW w:w="2050" w:type="dxa"/>
            <w:vAlign w:val="center"/>
          </w:tcPr>
          <w:p w:rsidR="00172AC5" w:rsidRPr="00172AC5" w:rsidRDefault="00172AC5" w:rsidP="00B56B91">
            <w:pPr>
              <w:jc w:val="center"/>
              <w:rPr>
                <w:rFonts w:ascii="Times New Roman" w:hAnsi="Times New Roman"/>
                <w:sz w:val="20"/>
                <w:szCs w:val="20"/>
                <w:vertAlign w:val="subscript"/>
              </w:rPr>
            </w:pPr>
            <w:r w:rsidRPr="00172AC5">
              <w:rPr>
                <w:rFonts w:ascii="Times New Roman" w:hAnsi="Times New Roman"/>
                <w:sz w:val="20"/>
                <w:szCs w:val="20"/>
              </w:rPr>
              <w:t>X</w:t>
            </w:r>
            <w:r w:rsidRPr="00172AC5">
              <w:rPr>
                <w:rFonts w:ascii="Times New Roman" w:hAnsi="Times New Roman"/>
                <w:sz w:val="20"/>
                <w:szCs w:val="20"/>
                <w:vertAlign w:val="subscript"/>
              </w:rPr>
              <w:t>1</w:t>
            </w:r>
            <w:r w:rsidRPr="00172AC5">
              <w:rPr>
                <w:rFonts w:ascii="Times New Roman" w:hAnsi="Times New Roman"/>
                <w:sz w:val="20"/>
                <w:szCs w:val="20"/>
              </w:rPr>
              <w:t>,</w:t>
            </w:r>
            <w:r w:rsidRPr="00172AC5">
              <w:rPr>
                <w:rFonts w:ascii="Times New Roman" w:hAnsi="Times New Roman"/>
                <w:sz w:val="20"/>
                <w:szCs w:val="20"/>
                <w:vertAlign w:val="subscript"/>
              </w:rPr>
              <w:t xml:space="preserve"> </w:t>
            </w:r>
            <w:r w:rsidRPr="00172AC5">
              <w:rPr>
                <w:rFonts w:ascii="Times New Roman" w:hAnsi="Times New Roman"/>
                <w:sz w:val="20"/>
                <w:szCs w:val="20"/>
              </w:rPr>
              <w:t>X</w:t>
            </w:r>
            <w:r w:rsidRPr="00172AC5">
              <w:rPr>
                <w:rFonts w:ascii="Times New Roman" w:hAnsi="Times New Roman"/>
                <w:sz w:val="20"/>
                <w:szCs w:val="20"/>
                <w:vertAlign w:val="subscript"/>
              </w:rPr>
              <w:t>3</w:t>
            </w:r>
            <w:r w:rsidRPr="00172AC5">
              <w:rPr>
                <w:rFonts w:ascii="Times New Roman" w:hAnsi="Times New Roman"/>
                <w:sz w:val="20"/>
                <w:szCs w:val="20"/>
              </w:rPr>
              <w:t xml:space="preserve"> and</w:t>
            </w:r>
            <w:r w:rsidRPr="00172AC5">
              <w:rPr>
                <w:rFonts w:ascii="Times New Roman" w:hAnsi="Times New Roman"/>
                <w:sz w:val="20"/>
                <w:szCs w:val="20"/>
                <w:vertAlign w:val="subscript"/>
              </w:rPr>
              <w:t xml:space="preserve"> </w:t>
            </w:r>
            <w:r w:rsidRPr="00172AC5">
              <w:rPr>
                <w:rFonts w:ascii="Times New Roman" w:hAnsi="Times New Roman"/>
                <w:sz w:val="20"/>
                <w:szCs w:val="20"/>
              </w:rPr>
              <w:t>Z</w:t>
            </w:r>
            <w:r w:rsidRPr="00172AC5">
              <w:rPr>
                <w:rFonts w:ascii="Times New Roman" w:hAnsi="Times New Roman"/>
                <w:sz w:val="20"/>
                <w:szCs w:val="20"/>
                <w:vertAlign w:val="subscript"/>
              </w:rPr>
              <w:t>4</w:t>
            </w:r>
          </w:p>
        </w:tc>
      </w:tr>
      <w:tr w:rsidR="00172AC5" w:rsidRPr="00172AC5" w:rsidTr="00B56B91">
        <w:trPr>
          <w:jc w:val="center"/>
        </w:trPr>
        <w:tc>
          <w:tcPr>
            <w:tcW w:w="1915" w:type="dxa"/>
            <w:tcBorders>
              <w:bottom w:val="single" w:sz="4" w:space="0" w:color="auto"/>
            </w:tcBorders>
            <w:vAlign w:val="center"/>
          </w:tcPr>
          <w:p w:rsidR="00172AC5" w:rsidRPr="00172AC5" w:rsidRDefault="00172AC5" w:rsidP="00B56B91">
            <w:pPr>
              <w:jc w:val="center"/>
              <w:rPr>
                <w:rFonts w:ascii="Times New Roman" w:hAnsi="Times New Roman"/>
                <w:sz w:val="20"/>
                <w:szCs w:val="20"/>
              </w:rPr>
            </w:pPr>
            <w:r w:rsidRPr="00172AC5">
              <w:rPr>
                <w:rFonts w:ascii="Times New Roman" w:hAnsi="Times New Roman"/>
                <w:sz w:val="20"/>
                <w:szCs w:val="20"/>
              </w:rPr>
              <w:t>PDI</w:t>
            </w:r>
          </w:p>
        </w:tc>
        <w:tc>
          <w:tcPr>
            <w:tcW w:w="1915" w:type="dxa"/>
            <w:tcBorders>
              <w:bottom w:val="single" w:sz="4" w:space="0" w:color="auto"/>
            </w:tcBorders>
            <w:vAlign w:val="center"/>
          </w:tcPr>
          <w:p w:rsidR="00172AC5" w:rsidRPr="00172AC5" w:rsidRDefault="00172AC5" w:rsidP="00B56B91">
            <w:pPr>
              <w:jc w:val="center"/>
              <w:rPr>
                <w:rFonts w:ascii="Times New Roman" w:hAnsi="Times New Roman"/>
                <w:sz w:val="20"/>
                <w:szCs w:val="20"/>
              </w:rPr>
            </w:pPr>
            <w:r w:rsidRPr="00172AC5">
              <w:rPr>
                <w:rFonts w:ascii="Times New Roman" w:hAnsi="Times New Roman"/>
                <w:sz w:val="20"/>
                <w:szCs w:val="20"/>
              </w:rPr>
              <w:t>0.277;</w:t>
            </w:r>
          </w:p>
          <w:p w:rsidR="00172AC5" w:rsidRPr="00172AC5" w:rsidRDefault="00172AC5" w:rsidP="00B56B91">
            <w:pPr>
              <w:jc w:val="center"/>
              <w:rPr>
                <w:rFonts w:ascii="Times New Roman" w:hAnsi="Times New Roman"/>
                <w:sz w:val="20"/>
                <w:szCs w:val="20"/>
              </w:rPr>
            </w:pPr>
            <w:r w:rsidRPr="00172AC5">
              <w:rPr>
                <w:rFonts w:ascii="Times New Roman" w:hAnsi="Times New Roman"/>
                <w:sz w:val="20"/>
                <w:szCs w:val="20"/>
              </w:rPr>
              <w:t>p = 0.0013</w:t>
            </w:r>
          </w:p>
        </w:tc>
        <w:tc>
          <w:tcPr>
            <w:tcW w:w="2180" w:type="dxa"/>
            <w:tcBorders>
              <w:bottom w:val="single" w:sz="4" w:space="0" w:color="auto"/>
            </w:tcBorders>
            <w:vAlign w:val="center"/>
          </w:tcPr>
          <w:p w:rsidR="00172AC5" w:rsidRPr="00172AC5" w:rsidRDefault="00172AC5" w:rsidP="00B56B91">
            <w:pPr>
              <w:jc w:val="center"/>
              <w:rPr>
                <w:rFonts w:ascii="Times New Roman" w:hAnsi="Times New Roman"/>
                <w:sz w:val="20"/>
                <w:szCs w:val="20"/>
              </w:rPr>
            </w:pPr>
            <w:r w:rsidRPr="00172AC5">
              <w:rPr>
                <w:rFonts w:ascii="Times New Roman" w:hAnsi="Times New Roman"/>
                <w:sz w:val="20"/>
                <w:szCs w:val="20"/>
              </w:rPr>
              <w:t>X</w:t>
            </w:r>
            <w:r w:rsidRPr="00172AC5">
              <w:rPr>
                <w:rFonts w:ascii="Times New Roman" w:hAnsi="Times New Roman"/>
                <w:sz w:val="20"/>
                <w:szCs w:val="20"/>
                <w:vertAlign w:val="subscript"/>
              </w:rPr>
              <w:t>2</w:t>
            </w:r>
            <w:r w:rsidRPr="00172AC5">
              <w:rPr>
                <w:rFonts w:ascii="Times New Roman" w:hAnsi="Times New Roman"/>
                <w:sz w:val="20"/>
                <w:szCs w:val="20"/>
              </w:rPr>
              <w:t xml:space="preserve"> B = -0.153;</w:t>
            </w:r>
          </w:p>
          <w:p w:rsidR="00172AC5" w:rsidRPr="00172AC5" w:rsidRDefault="00172AC5" w:rsidP="00B56B91">
            <w:pPr>
              <w:jc w:val="center"/>
              <w:rPr>
                <w:rFonts w:ascii="Times New Roman" w:hAnsi="Times New Roman"/>
                <w:sz w:val="20"/>
                <w:szCs w:val="20"/>
              </w:rPr>
            </w:pPr>
            <w:r w:rsidRPr="00172AC5">
              <w:rPr>
                <w:rFonts w:ascii="Times New Roman" w:hAnsi="Times New Roman"/>
                <w:sz w:val="20"/>
                <w:szCs w:val="20"/>
              </w:rPr>
              <w:t>p = 0.238</w:t>
            </w:r>
          </w:p>
          <w:p w:rsidR="00172AC5" w:rsidRPr="00172AC5" w:rsidRDefault="00172AC5" w:rsidP="00B56B91">
            <w:pPr>
              <w:jc w:val="center"/>
              <w:rPr>
                <w:rFonts w:ascii="Times New Roman" w:hAnsi="Times New Roman"/>
                <w:sz w:val="20"/>
                <w:szCs w:val="20"/>
              </w:rPr>
            </w:pPr>
            <w:r w:rsidRPr="00172AC5">
              <w:rPr>
                <w:rFonts w:ascii="Times New Roman" w:hAnsi="Times New Roman"/>
                <w:sz w:val="20"/>
                <w:szCs w:val="20"/>
              </w:rPr>
              <w:t>Z</w:t>
            </w:r>
            <w:r w:rsidRPr="00172AC5">
              <w:rPr>
                <w:rFonts w:ascii="Times New Roman" w:hAnsi="Times New Roman"/>
                <w:sz w:val="20"/>
                <w:szCs w:val="20"/>
                <w:vertAlign w:val="subscript"/>
              </w:rPr>
              <w:t>4</w:t>
            </w:r>
            <w:r w:rsidRPr="00172AC5">
              <w:rPr>
                <w:rFonts w:ascii="Times New Roman" w:hAnsi="Times New Roman"/>
                <w:sz w:val="20"/>
                <w:szCs w:val="20"/>
              </w:rPr>
              <w:t xml:space="preserve"> B = 0.125;</w:t>
            </w:r>
          </w:p>
          <w:p w:rsidR="00172AC5" w:rsidRPr="00172AC5" w:rsidRDefault="00172AC5" w:rsidP="00B56B91">
            <w:pPr>
              <w:jc w:val="center"/>
              <w:rPr>
                <w:rFonts w:ascii="Times New Roman" w:hAnsi="Times New Roman"/>
                <w:sz w:val="20"/>
                <w:szCs w:val="20"/>
              </w:rPr>
            </w:pPr>
            <w:r w:rsidRPr="00172AC5">
              <w:rPr>
                <w:rFonts w:ascii="Times New Roman" w:hAnsi="Times New Roman"/>
                <w:sz w:val="20"/>
                <w:szCs w:val="20"/>
              </w:rPr>
              <w:t>p = 0.021</w:t>
            </w:r>
          </w:p>
        </w:tc>
        <w:tc>
          <w:tcPr>
            <w:tcW w:w="2050" w:type="dxa"/>
            <w:tcBorders>
              <w:bottom w:val="single" w:sz="4" w:space="0" w:color="auto"/>
            </w:tcBorders>
            <w:vAlign w:val="center"/>
          </w:tcPr>
          <w:p w:rsidR="00172AC5" w:rsidRPr="00172AC5" w:rsidRDefault="00172AC5" w:rsidP="00B56B91">
            <w:pPr>
              <w:jc w:val="center"/>
              <w:rPr>
                <w:rFonts w:ascii="Times New Roman" w:hAnsi="Times New Roman"/>
                <w:sz w:val="20"/>
                <w:szCs w:val="20"/>
                <w:vertAlign w:val="subscript"/>
              </w:rPr>
            </w:pPr>
            <w:r w:rsidRPr="00172AC5">
              <w:rPr>
                <w:rFonts w:ascii="Times New Roman" w:hAnsi="Times New Roman"/>
                <w:sz w:val="20"/>
                <w:szCs w:val="20"/>
              </w:rPr>
              <w:t>X</w:t>
            </w:r>
            <w:r w:rsidRPr="00172AC5">
              <w:rPr>
                <w:rFonts w:ascii="Times New Roman" w:hAnsi="Times New Roman"/>
                <w:sz w:val="20"/>
                <w:szCs w:val="20"/>
                <w:vertAlign w:val="subscript"/>
              </w:rPr>
              <w:t>2,</w:t>
            </w:r>
            <w:r w:rsidRPr="00172AC5">
              <w:rPr>
                <w:rFonts w:ascii="Times New Roman" w:hAnsi="Times New Roman"/>
                <w:sz w:val="20"/>
                <w:szCs w:val="20"/>
              </w:rPr>
              <w:t xml:space="preserve"> Z</w:t>
            </w:r>
            <w:r w:rsidRPr="00172AC5">
              <w:rPr>
                <w:rFonts w:ascii="Times New Roman" w:hAnsi="Times New Roman"/>
                <w:sz w:val="20"/>
                <w:szCs w:val="20"/>
                <w:vertAlign w:val="subscript"/>
              </w:rPr>
              <w:t>4</w:t>
            </w:r>
          </w:p>
        </w:tc>
      </w:tr>
    </w:tbl>
    <w:p w:rsidR="00172AC5" w:rsidRDefault="00172AC5" w:rsidP="00902FB0">
      <w:pPr>
        <w:rPr>
          <w:rFonts w:ascii="Times New Roman" w:hAnsi="Times New Roman"/>
          <w:noProof/>
          <w:sz w:val="24"/>
          <w:szCs w:val="24"/>
        </w:rPr>
      </w:pPr>
    </w:p>
    <w:p w:rsidR="00711B43" w:rsidRDefault="00711B43" w:rsidP="00711B43">
      <w:pPr>
        <w:spacing w:line="240" w:lineRule="auto"/>
        <w:jc w:val="both"/>
        <w:rPr>
          <w:rFonts w:ascii="Times New Roman" w:hAnsi="Times New Roman"/>
          <w:b/>
          <w:sz w:val="24"/>
          <w:szCs w:val="24"/>
        </w:rPr>
      </w:pPr>
    </w:p>
    <w:p w:rsidR="00711B43" w:rsidRDefault="00711B43" w:rsidP="00711B43">
      <w:pPr>
        <w:spacing w:line="240" w:lineRule="auto"/>
        <w:jc w:val="both"/>
        <w:rPr>
          <w:rFonts w:ascii="Times New Roman" w:hAnsi="Times New Roman"/>
          <w:b/>
          <w:sz w:val="24"/>
          <w:szCs w:val="24"/>
        </w:rPr>
      </w:pPr>
    </w:p>
    <w:p w:rsidR="00711B43" w:rsidRDefault="00711B43" w:rsidP="00711B43">
      <w:pPr>
        <w:spacing w:line="240" w:lineRule="auto"/>
        <w:jc w:val="both"/>
        <w:rPr>
          <w:rFonts w:ascii="Times New Roman" w:hAnsi="Times New Roman"/>
          <w:b/>
          <w:sz w:val="24"/>
          <w:szCs w:val="24"/>
        </w:rPr>
      </w:pPr>
    </w:p>
    <w:p w:rsidR="00711B43" w:rsidRDefault="00711B43" w:rsidP="00F6762E">
      <w:pPr>
        <w:jc w:val="center"/>
        <w:rPr>
          <w:noProof/>
        </w:rPr>
      </w:pPr>
      <w:r w:rsidRPr="00711B43">
        <w:rPr>
          <w:noProof/>
        </w:rPr>
        <w:lastRenderedPageBreak/>
        <w:drawing>
          <wp:inline distT="0" distB="0" distL="0" distR="0">
            <wp:extent cx="5943600" cy="3494200"/>
            <wp:effectExtent l="19050" t="0" r="0" b="0"/>
            <wp:docPr id="6"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1734800" cy="6324600"/>
                      <a:chOff x="-914400" y="0"/>
                      <a:chExt cx="11734800" cy="6324600"/>
                    </a:xfrm>
                  </a:grpSpPr>
                  <a:pic>
                    <a:nvPicPr>
                      <a:cNvPr id="4" name="Picture 3"/>
                      <a:cNvPicPr/>
                    </a:nvPicPr>
                    <a:blipFill>
                      <a:blip r:embed="rId7"/>
                      <a:srcRect l="35897" t="19231" r="8974" b="10684"/>
                      <a:stretch>
                        <a:fillRect/>
                      </a:stretch>
                    </a:blipFill>
                    <a:spPr bwMode="auto">
                      <a:xfrm>
                        <a:off x="-533400" y="0"/>
                        <a:ext cx="3276600" cy="3124200"/>
                      </a:xfrm>
                      <a:prstGeom prst="rect">
                        <a:avLst/>
                      </a:prstGeom>
                      <a:noFill/>
                      <a:ln w="9525">
                        <a:noFill/>
                        <a:miter lim="800000"/>
                        <a:headEnd/>
                        <a:tailEnd/>
                      </a:ln>
                    </a:spPr>
                  </a:pic>
                  <a:pic>
                    <a:nvPicPr>
                      <a:cNvPr id="5" name="Picture 4"/>
                      <a:cNvPicPr/>
                    </a:nvPicPr>
                    <a:blipFill>
                      <a:blip r:embed="rId8"/>
                      <a:srcRect l="35897" t="19231" r="10256" b="10684"/>
                      <a:stretch>
                        <a:fillRect/>
                      </a:stretch>
                    </a:blipFill>
                    <a:spPr bwMode="auto">
                      <a:xfrm>
                        <a:off x="3352800" y="0"/>
                        <a:ext cx="3273552" cy="3124200"/>
                      </a:xfrm>
                      <a:prstGeom prst="rect">
                        <a:avLst/>
                      </a:prstGeom>
                      <a:noFill/>
                      <a:ln w="9525">
                        <a:noFill/>
                        <a:miter lim="800000"/>
                        <a:headEnd/>
                        <a:tailEnd/>
                      </a:ln>
                    </a:spPr>
                  </a:pic>
                  <a:pic>
                    <a:nvPicPr>
                      <a:cNvPr id="6" name="Picture 5"/>
                      <a:cNvPicPr/>
                    </a:nvPicPr>
                    <a:blipFill>
                      <a:blip r:embed="rId9"/>
                      <a:srcRect l="35897" t="19231" r="10256" b="8974"/>
                      <a:stretch>
                        <a:fillRect/>
                      </a:stretch>
                    </a:blipFill>
                    <a:spPr bwMode="auto">
                      <a:xfrm>
                        <a:off x="7242048" y="0"/>
                        <a:ext cx="3273552" cy="3127248"/>
                      </a:xfrm>
                      <a:prstGeom prst="rect">
                        <a:avLst/>
                      </a:prstGeom>
                      <a:noFill/>
                      <a:ln w="9525">
                        <a:noFill/>
                        <a:miter lim="800000"/>
                        <a:headEnd/>
                        <a:tailEnd/>
                      </a:ln>
                    </a:spPr>
                  </a:pic>
                  <a:pic>
                    <a:nvPicPr>
                      <a:cNvPr id="7" name="Picture 6"/>
                      <a:cNvPicPr/>
                    </a:nvPicPr>
                    <a:blipFill>
                      <a:blip r:embed="rId10"/>
                      <a:srcRect l="35897" t="19231" r="8974" b="8974"/>
                      <a:stretch>
                        <a:fillRect/>
                      </a:stretch>
                    </a:blipFill>
                    <a:spPr bwMode="auto">
                      <a:xfrm>
                        <a:off x="3352800" y="3048000"/>
                        <a:ext cx="3276600" cy="3127248"/>
                      </a:xfrm>
                      <a:prstGeom prst="rect">
                        <a:avLst/>
                      </a:prstGeom>
                      <a:noFill/>
                      <a:ln w="9525">
                        <a:noFill/>
                        <a:miter lim="800000"/>
                        <a:headEnd/>
                        <a:tailEnd/>
                      </a:ln>
                    </a:spPr>
                  </a:pic>
                  <a:pic>
                    <a:nvPicPr>
                      <a:cNvPr id="8" name="Picture 7"/>
                      <a:cNvPicPr/>
                    </a:nvPicPr>
                    <a:blipFill>
                      <a:blip r:embed="rId11"/>
                      <a:srcRect l="35897" t="19231" r="8974" b="8974"/>
                      <a:stretch>
                        <a:fillRect/>
                      </a:stretch>
                    </a:blipFill>
                    <a:spPr bwMode="auto">
                      <a:xfrm>
                        <a:off x="-533400" y="3048000"/>
                        <a:ext cx="3276600" cy="3127248"/>
                      </a:xfrm>
                      <a:prstGeom prst="rect">
                        <a:avLst/>
                      </a:prstGeom>
                      <a:noFill/>
                      <a:ln w="9525">
                        <a:noFill/>
                        <a:miter lim="800000"/>
                        <a:headEnd/>
                        <a:tailEnd/>
                      </a:ln>
                    </a:spPr>
                  </a:pic>
                  <a:sp>
                    <a:nvSpPr>
                      <a:cNvPr id="9" name="TextBox 8"/>
                      <a:cNvSpPr txBox="1"/>
                    </a:nvSpPr>
                    <a:spPr>
                      <a:xfrm>
                        <a:off x="-457200" y="0"/>
                        <a:ext cx="533400" cy="338554"/>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600" b="1" dirty="0" smtClean="0">
                              <a:latin typeface="Times New Roman" pitchFamily="18" charset="0"/>
                              <a:cs typeface="Times New Roman" pitchFamily="18" charset="0"/>
                            </a:rPr>
                            <a:t>(A)</a:t>
                          </a:r>
                          <a:endParaRPr lang="en-US" sz="1600" b="1" dirty="0">
                            <a:latin typeface="Times New Roman" pitchFamily="18" charset="0"/>
                            <a:cs typeface="Times New Roman" pitchFamily="18" charset="0"/>
                          </a:endParaRPr>
                        </a:p>
                      </a:txBody>
                      <a:useSpRect/>
                    </a:txSp>
                  </a:sp>
                  <a:sp>
                    <a:nvSpPr>
                      <a:cNvPr id="10" name="TextBox 9"/>
                      <a:cNvSpPr txBox="1"/>
                    </a:nvSpPr>
                    <a:spPr>
                      <a:xfrm>
                        <a:off x="3352800" y="0"/>
                        <a:ext cx="457200" cy="338554"/>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600" b="1" dirty="0" smtClean="0">
                              <a:latin typeface="Times New Roman" pitchFamily="18" charset="0"/>
                              <a:cs typeface="Times New Roman" pitchFamily="18" charset="0"/>
                            </a:rPr>
                            <a:t>(B)</a:t>
                          </a:r>
                          <a:endParaRPr lang="en-US" sz="1600" b="1" dirty="0">
                            <a:latin typeface="Times New Roman" pitchFamily="18" charset="0"/>
                            <a:cs typeface="Times New Roman" pitchFamily="18" charset="0"/>
                          </a:endParaRPr>
                        </a:p>
                      </a:txBody>
                      <a:useSpRect/>
                    </a:txSp>
                  </a:sp>
                  <a:sp>
                    <a:nvSpPr>
                      <a:cNvPr id="11" name="TextBox 10"/>
                      <a:cNvSpPr txBox="1"/>
                    </a:nvSpPr>
                    <a:spPr>
                      <a:xfrm>
                        <a:off x="7010400" y="0"/>
                        <a:ext cx="609600" cy="338554"/>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600" b="1" dirty="0" smtClean="0">
                              <a:latin typeface="Times New Roman" pitchFamily="18" charset="0"/>
                              <a:cs typeface="Times New Roman" pitchFamily="18" charset="0"/>
                            </a:rPr>
                            <a:t>(C)</a:t>
                          </a:r>
                          <a:endParaRPr lang="en-US" sz="1600" b="1" dirty="0">
                            <a:latin typeface="Times New Roman" pitchFamily="18" charset="0"/>
                            <a:cs typeface="Times New Roman" pitchFamily="18" charset="0"/>
                          </a:endParaRPr>
                        </a:p>
                      </a:txBody>
                      <a:useSpRect/>
                    </a:txSp>
                  </a:sp>
                  <a:sp>
                    <a:nvSpPr>
                      <a:cNvPr id="12" name="TextBox 11"/>
                      <a:cNvSpPr txBox="1"/>
                    </a:nvSpPr>
                    <a:spPr>
                      <a:xfrm>
                        <a:off x="-533400" y="2971800"/>
                        <a:ext cx="609600" cy="338554"/>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600" b="1" dirty="0" smtClean="0">
                              <a:latin typeface="Times New Roman" pitchFamily="18" charset="0"/>
                              <a:cs typeface="Times New Roman" pitchFamily="18" charset="0"/>
                            </a:rPr>
                            <a:t>(D)</a:t>
                          </a:r>
                          <a:endParaRPr lang="en-US" sz="1600" b="1" dirty="0">
                            <a:latin typeface="Times New Roman" pitchFamily="18" charset="0"/>
                            <a:cs typeface="Times New Roman" pitchFamily="18" charset="0"/>
                          </a:endParaRPr>
                        </a:p>
                      </a:txBody>
                      <a:useSpRect/>
                    </a:txSp>
                  </a:sp>
                  <a:sp>
                    <a:nvSpPr>
                      <a:cNvPr id="13" name="TextBox 12"/>
                      <a:cNvSpPr txBox="1"/>
                    </a:nvSpPr>
                    <a:spPr>
                      <a:xfrm>
                        <a:off x="3352800" y="3048000"/>
                        <a:ext cx="457200" cy="338554"/>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600" b="1" dirty="0" smtClean="0">
                              <a:latin typeface="Times New Roman" pitchFamily="18" charset="0"/>
                              <a:cs typeface="Times New Roman" pitchFamily="18" charset="0"/>
                            </a:rPr>
                            <a:t>(E)</a:t>
                          </a:r>
                          <a:endParaRPr lang="en-US" sz="1600" b="1" dirty="0">
                            <a:latin typeface="Times New Roman" pitchFamily="18" charset="0"/>
                            <a:cs typeface="Times New Roman" pitchFamily="18" charset="0"/>
                          </a:endParaRPr>
                        </a:p>
                      </a:txBody>
                      <a:useSpRect/>
                    </a:txSp>
                  </a:sp>
                  <a:sp>
                    <a:nvSpPr>
                      <a:cNvPr id="14" name="TextBox 13"/>
                      <a:cNvSpPr txBox="1"/>
                    </a:nvSpPr>
                    <a:spPr>
                      <a:xfrm>
                        <a:off x="-914400" y="1905000"/>
                        <a:ext cx="10668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CO: OA (0.3)</a:t>
                          </a:r>
                          <a:endParaRPr lang="en-US" sz="1200" dirty="0">
                            <a:latin typeface="Times New Roman" pitchFamily="18" charset="0"/>
                            <a:cs typeface="Times New Roman" pitchFamily="18" charset="0"/>
                          </a:endParaRPr>
                        </a:p>
                      </a:txBody>
                      <a:useSpRect/>
                    </a:txSp>
                  </a:sp>
                  <a:sp>
                    <a:nvSpPr>
                      <a:cNvPr id="15" name="TextBox 14"/>
                      <a:cNvSpPr txBox="1"/>
                    </a:nvSpPr>
                    <a:spPr>
                      <a:xfrm>
                        <a:off x="685800" y="2923401"/>
                        <a:ext cx="9144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T80 (0.7)</a:t>
                          </a:r>
                          <a:endParaRPr lang="en-US" sz="1200" dirty="0">
                            <a:latin typeface="Times New Roman" pitchFamily="18" charset="0"/>
                            <a:cs typeface="Times New Roman" pitchFamily="18" charset="0"/>
                          </a:endParaRPr>
                        </a:p>
                      </a:txBody>
                      <a:useSpRect/>
                    </a:txSp>
                  </a:sp>
                  <a:sp>
                    <a:nvSpPr>
                      <a:cNvPr id="16" name="TextBox 15"/>
                      <a:cNvSpPr txBox="1"/>
                    </a:nvSpPr>
                    <a:spPr>
                      <a:xfrm>
                        <a:off x="-228600" y="2466201"/>
                        <a:ext cx="7620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 PG (0.2)</a:t>
                          </a:r>
                          <a:endParaRPr lang="en-US" sz="1200" dirty="0">
                            <a:latin typeface="Times New Roman" pitchFamily="18" charset="0"/>
                            <a:cs typeface="Times New Roman" pitchFamily="18" charset="0"/>
                          </a:endParaRPr>
                        </a:p>
                      </a:txBody>
                      <a:useSpRect/>
                    </a:txSp>
                  </a:sp>
                  <a:sp>
                    <a:nvSpPr>
                      <a:cNvPr id="17" name="TextBox 16"/>
                      <a:cNvSpPr txBox="1"/>
                    </a:nvSpPr>
                    <a:spPr>
                      <a:xfrm>
                        <a:off x="1676400" y="2514600"/>
                        <a:ext cx="10668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CO: OA (0.1)</a:t>
                          </a:r>
                          <a:endParaRPr lang="en-US" sz="1200" dirty="0">
                            <a:latin typeface="Times New Roman" pitchFamily="18" charset="0"/>
                            <a:cs typeface="Times New Roman" pitchFamily="18" charset="0"/>
                          </a:endParaRPr>
                        </a:p>
                      </a:txBody>
                      <a:useSpRect/>
                    </a:txSp>
                  </a:sp>
                  <a:sp>
                    <a:nvSpPr>
                      <a:cNvPr id="18" name="TextBox 17"/>
                      <a:cNvSpPr txBox="1"/>
                    </a:nvSpPr>
                    <a:spPr>
                      <a:xfrm>
                        <a:off x="2209800" y="1905000"/>
                        <a:ext cx="7620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 PG (0.4)</a:t>
                          </a:r>
                          <a:endParaRPr lang="en-US" sz="1200" dirty="0">
                            <a:latin typeface="Times New Roman" pitchFamily="18" charset="0"/>
                            <a:cs typeface="Times New Roman" pitchFamily="18" charset="0"/>
                          </a:endParaRPr>
                        </a:p>
                      </a:txBody>
                      <a:useSpRect/>
                    </a:txSp>
                  </a:sp>
                  <a:sp>
                    <a:nvSpPr>
                      <a:cNvPr id="19" name="TextBox 18"/>
                      <a:cNvSpPr txBox="1"/>
                    </a:nvSpPr>
                    <a:spPr>
                      <a:xfrm>
                        <a:off x="2895600" y="1905000"/>
                        <a:ext cx="10668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CO: OA (0.3)</a:t>
                          </a:r>
                          <a:endParaRPr lang="en-US" sz="1200" dirty="0">
                            <a:latin typeface="Times New Roman" pitchFamily="18" charset="0"/>
                            <a:cs typeface="Times New Roman" pitchFamily="18" charset="0"/>
                          </a:endParaRPr>
                        </a:p>
                      </a:txBody>
                      <a:useSpRect/>
                    </a:txSp>
                  </a:sp>
                  <a:sp>
                    <a:nvSpPr>
                      <a:cNvPr id="20" name="TextBox 19"/>
                      <a:cNvSpPr txBox="1"/>
                    </a:nvSpPr>
                    <a:spPr>
                      <a:xfrm>
                        <a:off x="3733800" y="2438400"/>
                        <a:ext cx="7620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 PG (0.2)</a:t>
                          </a:r>
                          <a:endParaRPr lang="en-US" sz="1200" dirty="0">
                            <a:latin typeface="Times New Roman" pitchFamily="18" charset="0"/>
                            <a:cs typeface="Times New Roman" pitchFamily="18" charset="0"/>
                          </a:endParaRPr>
                        </a:p>
                      </a:txBody>
                      <a:useSpRect/>
                    </a:txSp>
                  </a:sp>
                  <a:sp>
                    <a:nvSpPr>
                      <a:cNvPr id="21" name="TextBox 20"/>
                      <a:cNvSpPr txBox="1"/>
                    </a:nvSpPr>
                    <a:spPr>
                      <a:xfrm>
                        <a:off x="6781800" y="1780401"/>
                        <a:ext cx="10668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CO: OA (0.3)</a:t>
                          </a:r>
                          <a:endParaRPr lang="en-US" sz="1200" dirty="0">
                            <a:latin typeface="Times New Roman" pitchFamily="18" charset="0"/>
                            <a:cs typeface="Times New Roman" pitchFamily="18" charset="0"/>
                          </a:endParaRPr>
                        </a:p>
                      </a:txBody>
                      <a:useSpRect/>
                    </a:txSp>
                  </a:sp>
                  <a:sp>
                    <a:nvSpPr>
                      <a:cNvPr id="22" name="TextBox 21"/>
                      <a:cNvSpPr txBox="1"/>
                    </a:nvSpPr>
                    <a:spPr>
                      <a:xfrm>
                        <a:off x="4800600" y="2923401"/>
                        <a:ext cx="9144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T80 (0.7)</a:t>
                          </a:r>
                          <a:endParaRPr lang="en-US" sz="1200" dirty="0">
                            <a:latin typeface="Times New Roman" pitchFamily="18" charset="0"/>
                            <a:cs typeface="Times New Roman" pitchFamily="18" charset="0"/>
                          </a:endParaRPr>
                        </a:p>
                      </a:txBody>
                      <a:useSpRect/>
                    </a:txSp>
                  </a:sp>
                  <a:sp>
                    <a:nvSpPr>
                      <a:cNvPr id="23" name="TextBox 22"/>
                      <a:cNvSpPr txBox="1"/>
                    </a:nvSpPr>
                    <a:spPr>
                      <a:xfrm>
                        <a:off x="5715000" y="2438400"/>
                        <a:ext cx="10668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CO: OA (0.1)</a:t>
                          </a:r>
                          <a:endParaRPr lang="en-US" sz="1200" dirty="0">
                            <a:latin typeface="Times New Roman" pitchFamily="18" charset="0"/>
                            <a:cs typeface="Times New Roman" pitchFamily="18" charset="0"/>
                          </a:endParaRPr>
                        </a:p>
                      </a:txBody>
                      <a:useSpRect/>
                    </a:txSp>
                  </a:sp>
                  <a:sp>
                    <a:nvSpPr>
                      <a:cNvPr id="24" name="TextBox 23"/>
                      <a:cNvSpPr txBox="1"/>
                    </a:nvSpPr>
                    <a:spPr>
                      <a:xfrm>
                        <a:off x="6096000" y="1828800"/>
                        <a:ext cx="7620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 PG (0.4)</a:t>
                          </a:r>
                          <a:endParaRPr lang="en-US" sz="1200" dirty="0">
                            <a:latin typeface="Times New Roman" pitchFamily="18" charset="0"/>
                            <a:cs typeface="Times New Roman" pitchFamily="18" charset="0"/>
                          </a:endParaRPr>
                        </a:p>
                      </a:txBody>
                      <a:useSpRect/>
                    </a:txSp>
                  </a:sp>
                  <a:sp>
                    <a:nvSpPr>
                      <a:cNvPr id="25" name="TextBox 24"/>
                      <a:cNvSpPr txBox="1"/>
                    </a:nvSpPr>
                    <a:spPr>
                      <a:xfrm>
                        <a:off x="9067800" y="2847201"/>
                        <a:ext cx="9144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T80 (0.7)</a:t>
                          </a:r>
                          <a:endParaRPr lang="en-US" sz="1200" dirty="0">
                            <a:latin typeface="Times New Roman" pitchFamily="18" charset="0"/>
                            <a:cs typeface="Times New Roman" pitchFamily="18" charset="0"/>
                          </a:endParaRPr>
                        </a:p>
                      </a:txBody>
                      <a:useSpRect/>
                    </a:txSp>
                  </a:sp>
                  <a:sp>
                    <a:nvSpPr>
                      <a:cNvPr id="26" name="TextBox 25"/>
                      <a:cNvSpPr txBox="1"/>
                    </a:nvSpPr>
                    <a:spPr>
                      <a:xfrm>
                        <a:off x="9601200" y="2362200"/>
                        <a:ext cx="10668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CO: OA (0.1)</a:t>
                          </a:r>
                          <a:endParaRPr lang="en-US" sz="1200" dirty="0">
                            <a:latin typeface="Times New Roman" pitchFamily="18" charset="0"/>
                            <a:cs typeface="Times New Roman" pitchFamily="18" charset="0"/>
                          </a:endParaRPr>
                        </a:p>
                      </a:txBody>
                      <a:useSpRect/>
                    </a:txSp>
                  </a:sp>
                  <a:sp>
                    <a:nvSpPr>
                      <a:cNvPr id="27" name="TextBox 26"/>
                      <a:cNvSpPr txBox="1"/>
                    </a:nvSpPr>
                    <a:spPr>
                      <a:xfrm>
                        <a:off x="10058400" y="1752600"/>
                        <a:ext cx="7620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 PG (0.4)</a:t>
                          </a:r>
                          <a:endParaRPr lang="en-US" sz="1200" dirty="0">
                            <a:latin typeface="Times New Roman" pitchFamily="18" charset="0"/>
                            <a:cs typeface="Times New Roman" pitchFamily="18" charset="0"/>
                          </a:endParaRPr>
                        </a:p>
                      </a:txBody>
                      <a:useSpRect/>
                    </a:txSp>
                  </a:sp>
                  <a:sp>
                    <a:nvSpPr>
                      <a:cNvPr id="28" name="TextBox 27"/>
                      <a:cNvSpPr txBox="1"/>
                    </a:nvSpPr>
                    <a:spPr>
                      <a:xfrm>
                        <a:off x="-914400" y="4876800"/>
                        <a:ext cx="10668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CO: OA (0.3)</a:t>
                          </a:r>
                          <a:endParaRPr lang="en-US" sz="1200" dirty="0">
                            <a:latin typeface="Times New Roman" pitchFamily="18" charset="0"/>
                            <a:cs typeface="Times New Roman" pitchFamily="18" charset="0"/>
                          </a:endParaRPr>
                        </a:p>
                      </a:txBody>
                      <a:useSpRect/>
                    </a:txSp>
                  </a:sp>
                  <a:sp>
                    <a:nvSpPr>
                      <a:cNvPr id="29" name="TextBox 28"/>
                      <a:cNvSpPr txBox="1"/>
                    </a:nvSpPr>
                    <a:spPr>
                      <a:xfrm>
                        <a:off x="-228600" y="5438001"/>
                        <a:ext cx="7620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 PG (0.2)</a:t>
                          </a:r>
                          <a:endParaRPr lang="en-US" sz="1200" dirty="0">
                            <a:latin typeface="Times New Roman" pitchFamily="18" charset="0"/>
                            <a:cs typeface="Times New Roman" pitchFamily="18" charset="0"/>
                          </a:endParaRPr>
                        </a:p>
                      </a:txBody>
                      <a:useSpRect/>
                    </a:txSp>
                  </a:sp>
                  <a:sp>
                    <a:nvSpPr>
                      <a:cNvPr id="30" name="TextBox 29"/>
                      <a:cNvSpPr txBox="1"/>
                    </a:nvSpPr>
                    <a:spPr>
                      <a:xfrm>
                        <a:off x="762000" y="5867400"/>
                        <a:ext cx="9144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T80 (0.7)</a:t>
                          </a:r>
                          <a:endParaRPr lang="en-US" sz="1200" dirty="0">
                            <a:latin typeface="Times New Roman" pitchFamily="18" charset="0"/>
                            <a:cs typeface="Times New Roman" pitchFamily="18" charset="0"/>
                          </a:endParaRPr>
                        </a:p>
                      </a:txBody>
                      <a:useSpRect/>
                    </a:txSp>
                  </a:sp>
                  <a:sp>
                    <a:nvSpPr>
                      <a:cNvPr id="31" name="TextBox 30"/>
                      <a:cNvSpPr txBox="1"/>
                    </a:nvSpPr>
                    <a:spPr>
                      <a:xfrm>
                        <a:off x="1752600" y="5438001"/>
                        <a:ext cx="10668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CO: OA (0.1)</a:t>
                          </a:r>
                          <a:endParaRPr lang="en-US" sz="1200" dirty="0">
                            <a:latin typeface="Times New Roman" pitchFamily="18" charset="0"/>
                            <a:cs typeface="Times New Roman" pitchFamily="18" charset="0"/>
                          </a:endParaRPr>
                        </a:p>
                      </a:txBody>
                      <a:useSpRect/>
                    </a:txSp>
                  </a:sp>
                  <a:sp>
                    <a:nvSpPr>
                      <a:cNvPr id="32" name="TextBox 31"/>
                      <a:cNvSpPr txBox="1"/>
                    </a:nvSpPr>
                    <a:spPr>
                      <a:xfrm>
                        <a:off x="2209800" y="4828401"/>
                        <a:ext cx="7620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 PG (0.4)</a:t>
                          </a:r>
                          <a:endParaRPr lang="en-US" sz="1200" dirty="0">
                            <a:latin typeface="Times New Roman" pitchFamily="18" charset="0"/>
                            <a:cs typeface="Times New Roman" pitchFamily="18" charset="0"/>
                          </a:endParaRPr>
                        </a:p>
                      </a:txBody>
                      <a:useSpRect/>
                    </a:txSp>
                  </a:sp>
                  <a:sp>
                    <a:nvSpPr>
                      <a:cNvPr id="33" name="TextBox 32"/>
                      <a:cNvSpPr txBox="1"/>
                    </a:nvSpPr>
                    <a:spPr>
                      <a:xfrm>
                        <a:off x="5638800" y="5410200"/>
                        <a:ext cx="10668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CO: OA (0.1)</a:t>
                          </a:r>
                          <a:endParaRPr lang="en-US" sz="1200" dirty="0">
                            <a:latin typeface="Times New Roman" pitchFamily="18" charset="0"/>
                            <a:cs typeface="Times New Roman" pitchFamily="18" charset="0"/>
                          </a:endParaRPr>
                        </a:p>
                      </a:txBody>
                      <a:useSpRect/>
                    </a:txSp>
                  </a:sp>
                  <a:sp>
                    <a:nvSpPr>
                      <a:cNvPr id="34" name="TextBox 33"/>
                      <a:cNvSpPr txBox="1"/>
                    </a:nvSpPr>
                    <a:spPr>
                      <a:xfrm>
                        <a:off x="4800600" y="5943600"/>
                        <a:ext cx="9144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T80 (0.7)</a:t>
                          </a:r>
                          <a:endParaRPr lang="en-US" sz="1200" dirty="0">
                            <a:latin typeface="Times New Roman" pitchFamily="18" charset="0"/>
                            <a:cs typeface="Times New Roman" pitchFamily="18" charset="0"/>
                          </a:endParaRPr>
                        </a:p>
                      </a:txBody>
                      <a:useSpRect/>
                    </a:txSp>
                  </a:sp>
                  <a:sp>
                    <a:nvSpPr>
                      <a:cNvPr id="35" name="TextBox 34"/>
                      <a:cNvSpPr txBox="1"/>
                    </a:nvSpPr>
                    <a:spPr>
                      <a:xfrm>
                        <a:off x="3733800" y="5410200"/>
                        <a:ext cx="7620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 PG (0.2)</a:t>
                          </a:r>
                          <a:endParaRPr lang="en-US" sz="1200" dirty="0">
                            <a:latin typeface="Times New Roman" pitchFamily="18" charset="0"/>
                            <a:cs typeface="Times New Roman" pitchFamily="18" charset="0"/>
                          </a:endParaRPr>
                        </a:p>
                      </a:txBody>
                      <a:useSpRect/>
                    </a:txSp>
                  </a:sp>
                  <a:sp>
                    <a:nvSpPr>
                      <a:cNvPr id="36" name="TextBox 35"/>
                      <a:cNvSpPr txBox="1"/>
                    </a:nvSpPr>
                    <a:spPr>
                      <a:xfrm>
                        <a:off x="2895600" y="4828401"/>
                        <a:ext cx="10668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CO: OA (0.3)</a:t>
                          </a:r>
                          <a:endParaRPr lang="en-US" sz="1200" dirty="0">
                            <a:latin typeface="Times New Roman" pitchFamily="18" charset="0"/>
                            <a:cs typeface="Times New Roman" pitchFamily="18" charset="0"/>
                          </a:endParaRPr>
                        </a:p>
                      </a:txBody>
                      <a:useSpRect/>
                    </a:txSp>
                  </a:sp>
                  <a:sp>
                    <a:nvSpPr>
                      <a:cNvPr id="37" name="TextBox 36"/>
                      <a:cNvSpPr txBox="1"/>
                    </a:nvSpPr>
                    <a:spPr>
                      <a:xfrm>
                        <a:off x="6096000" y="4800600"/>
                        <a:ext cx="7620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 PG (0.4)</a:t>
                          </a:r>
                          <a:endParaRPr lang="en-US" sz="1200" dirty="0">
                            <a:latin typeface="Times New Roman" pitchFamily="18" charset="0"/>
                            <a:cs typeface="Times New Roman" pitchFamily="18" charset="0"/>
                          </a:endParaRPr>
                        </a:p>
                      </a:txBody>
                      <a:useSpRect/>
                    </a:txSp>
                  </a:sp>
                  <a:sp>
                    <a:nvSpPr>
                      <a:cNvPr id="38" name="TextBox 37"/>
                      <a:cNvSpPr txBox="1"/>
                    </a:nvSpPr>
                    <a:spPr>
                      <a:xfrm>
                        <a:off x="7620000" y="2390001"/>
                        <a:ext cx="7620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 PG (0.2)</a:t>
                          </a:r>
                          <a:endParaRPr lang="en-US" sz="1200" dirty="0">
                            <a:latin typeface="Times New Roman" pitchFamily="18" charset="0"/>
                            <a:cs typeface="Times New Roman" pitchFamily="18" charset="0"/>
                          </a:endParaRPr>
                        </a:p>
                      </a:txBody>
                      <a:useSpRect/>
                    </a:txSp>
                  </a:sp>
                  <a:pic>
                    <a:nvPicPr>
                      <a:cNvPr id="39" name="Picture 38"/>
                      <a:cNvPicPr/>
                    </a:nvPicPr>
                    <a:blipFill>
                      <a:blip r:embed="rId12" cstate="print"/>
                      <a:srcRect l="29487" r="12821" b="4116"/>
                      <a:stretch>
                        <a:fillRect/>
                      </a:stretch>
                    </a:blipFill>
                    <a:spPr bwMode="auto">
                      <a:xfrm>
                        <a:off x="7086600" y="3197352"/>
                        <a:ext cx="3273552" cy="3127248"/>
                      </a:xfrm>
                      <a:prstGeom prst="rect">
                        <a:avLst/>
                      </a:prstGeom>
                      <a:noFill/>
                      <a:ln w="9525">
                        <a:noFill/>
                        <a:miter lim="800000"/>
                        <a:headEnd/>
                        <a:tailEnd/>
                      </a:ln>
                    </a:spPr>
                  </a:pic>
                  <a:sp>
                    <a:nvSpPr>
                      <a:cNvPr id="40" name="TextBox 39"/>
                      <a:cNvSpPr txBox="1"/>
                    </a:nvSpPr>
                    <a:spPr>
                      <a:xfrm>
                        <a:off x="7620000" y="3242846"/>
                        <a:ext cx="457200" cy="338554"/>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600" b="1" dirty="0" smtClean="0">
                              <a:latin typeface="Times New Roman" pitchFamily="18" charset="0"/>
                              <a:cs typeface="Times New Roman" pitchFamily="18" charset="0"/>
                            </a:rPr>
                            <a:t>(F)</a:t>
                          </a:r>
                          <a:endParaRPr lang="en-US" sz="1600" b="1" dirty="0">
                            <a:latin typeface="Times New Roman" pitchFamily="18" charset="0"/>
                            <a:cs typeface="Times New Roman" pitchFamily="18" charset="0"/>
                          </a:endParaRPr>
                        </a:p>
                      </a:txBody>
                      <a:useSpRect/>
                    </a:txSp>
                  </a:sp>
                  <a:sp>
                    <a:nvSpPr>
                      <a:cNvPr id="41" name="TextBox 40"/>
                      <a:cNvSpPr txBox="1"/>
                    </a:nvSpPr>
                    <a:spPr>
                      <a:xfrm>
                        <a:off x="7086600" y="5895201"/>
                        <a:ext cx="12192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 B: </a:t>
                          </a:r>
                          <a:r>
                            <a:rPr lang="en-US" sz="1200" dirty="0" err="1" smtClean="0">
                              <a:latin typeface="Times New Roman" pitchFamily="18" charset="0"/>
                              <a:cs typeface="Times New Roman" pitchFamily="18" charset="0"/>
                            </a:rPr>
                            <a:t>Tween</a:t>
                          </a:r>
                          <a:r>
                            <a:rPr lang="en-US" sz="1200" dirty="0" smtClean="0">
                              <a:latin typeface="Times New Roman" pitchFamily="18" charset="0"/>
                              <a:cs typeface="Times New Roman" pitchFamily="18" charset="0"/>
                            </a:rPr>
                            <a:t> 80 (g)</a:t>
                          </a:r>
                          <a:endParaRPr lang="en-US" sz="1200" dirty="0">
                            <a:latin typeface="Times New Roman" pitchFamily="18" charset="0"/>
                            <a:cs typeface="Times New Roman" pitchFamily="18" charset="0"/>
                          </a:endParaRPr>
                        </a:p>
                      </a:txBody>
                      <a:useSpRect/>
                    </a:txSp>
                  </a:sp>
                  <a:sp>
                    <a:nvSpPr>
                      <a:cNvPr id="42" name="TextBox 41"/>
                      <a:cNvSpPr txBox="1"/>
                    </a:nvSpPr>
                    <a:spPr>
                      <a:xfrm>
                        <a:off x="8305800" y="6019800"/>
                        <a:ext cx="20574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Desirability            C: PG (g)</a:t>
                          </a:r>
                          <a:endParaRPr lang="en-US" sz="1200" dirty="0">
                            <a:latin typeface="Times New Roman" pitchFamily="18" charset="0"/>
                            <a:cs typeface="Times New Roman" pitchFamily="18" charset="0"/>
                          </a:endParaRPr>
                        </a:p>
                      </a:txBody>
                      <a:useSpRect/>
                    </a:txSp>
                  </a:sp>
                  <a:sp>
                    <a:nvSpPr>
                      <a:cNvPr id="43" name="TextBox 42"/>
                      <a:cNvSpPr txBox="1"/>
                    </a:nvSpPr>
                    <a:spPr>
                      <a:xfrm>
                        <a:off x="8153400" y="3152001"/>
                        <a:ext cx="12192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A: CO: OA (g)</a:t>
                          </a:r>
                          <a:endParaRPr lang="en-US" sz="1200" dirty="0">
                            <a:latin typeface="Times New Roman" pitchFamily="18" charset="0"/>
                            <a:cs typeface="Times New Roman" pitchFamily="18" charset="0"/>
                          </a:endParaRPr>
                        </a:p>
                      </a:txBody>
                      <a:useSpRect/>
                    </a:txSp>
                  </a:sp>
                </lc:lockedCanvas>
              </a:graphicData>
            </a:graphic>
          </wp:inline>
        </w:drawing>
      </w:r>
    </w:p>
    <w:p w:rsidR="00D52F74" w:rsidRPr="00711B43" w:rsidRDefault="00D52F74" w:rsidP="00D52F74">
      <w:pPr>
        <w:spacing w:line="240" w:lineRule="auto"/>
        <w:jc w:val="both"/>
        <w:rPr>
          <w:rFonts w:ascii="Times New Roman" w:hAnsi="Times New Roman"/>
          <w:sz w:val="20"/>
          <w:szCs w:val="20"/>
        </w:rPr>
      </w:pPr>
      <w:r w:rsidRPr="00711B43">
        <w:rPr>
          <w:rFonts w:ascii="Times New Roman" w:hAnsi="Times New Roman"/>
          <w:b/>
          <w:sz w:val="20"/>
          <w:szCs w:val="20"/>
        </w:rPr>
        <w:t>Fig. S2:</w:t>
      </w:r>
      <w:r w:rsidRPr="00711B43">
        <w:rPr>
          <w:rFonts w:ascii="Times New Roman" w:hAnsi="Times New Roman"/>
          <w:sz w:val="20"/>
          <w:szCs w:val="20"/>
        </w:rPr>
        <w:t xml:space="preserve"> 3D response surface plot correlating critical material attributes with (A) Particle size, (B) PDI, (C) % Transmittance, (D) Drug content, (E) Self-Emulsification Time and (F) Desirability plot. </w:t>
      </w:r>
    </w:p>
    <w:p w:rsidR="00D52F74" w:rsidRDefault="00D52F74" w:rsidP="00711B43">
      <w:pPr>
        <w:jc w:val="both"/>
        <w:rPr>
          <w:noProof/>
        </w:rPr>
      </w:pPr>
    </w:p>
    <w:p w:rsidR="00711B43" w:rsidRDefault="00711B43" w:rsidP="00711B43">
      <w:pPr>
        <w:jc w:val="center"/>
        <w:rPr>
          <w:noProof/>
        </w:rPr>
      </w:pPr>
    </w:p>
    <w:p w:rsidR="00711B43" w:rsidRDefault="00711B43" w:rsidP="00711B43">
      <w:pPr>
        <w:jc w:val="center"/>
        <w:rPr>
          <w:noProof/>
        </w:rPr>
      </w:pPr>
    </w:p>
    <w:p w:rsidR="00711B43" w:rsidRDefault="00711B43" w:rsidP="00711B43">
      <w:pPr>
        <w:jc w:val="center"/>
        <w:rPr>
          <w:noProof/>
        </w:rPr>
      </w:pPr>
    </w:p>
    <w:p w:rsidR="00711B43" w:rsidRDefault="00711B43" w:rsidP="00711B43">
      <w:pPr>
        <w:jc w:val="center"/>
        <w:rPr>
          <w:noProof/>
        </w:rPr>
      </w:pPr>
    </w:p>
    <w:p w:rsidR="00711B43" w:rsidRDefault="00711B43" w:rsidP="00711B43">
      <w:pPr>
        <w:jc w:val="center"/>
        <w:rPr>
          <w:noProof/>
        </w:rPr>
      </w:pPr>
    </w:p>
    <w:p w:rsidR="00711B43" w:rsidRDefault="00711B43" w:rsidP="00711B43">
      <w:pPr>
        <w:jc w:val="center"/>
        <w:rPr>
          <w:noProof/>
        </w:rPr>
      </w:pPr>
    </w:p>
    <w:p w:rsidR="00711B43" w:rsidRDefault="00711B43" w:rsidP="00711B43">
      <w:pPr>
        <w:jc w:val="center"/>
        <w:rPr>
          <w:noProof/>
        </w:rPr>
      </w:pPr>
    </w:p>
    <w:p w:rsidR="00711B43" w:rsidRDefault="00711B43" w:rsidP="00711B43">
      <w:pPr>
        <w:jc w:val="center"/>
        <w:rPr>
          <w:noProof/>
        </w:rPr>
      </w:pPr>
    </w:p>
    <w:p w:rsidR="00711B43" w:rsidRDefault="00711B43" w:rsidP="00711B43">
      <w:pPr>
        <w:jc w:val="center"/>
        <w:rPr>
          <w:noProof/>
        </w:rPr>
      </w:pPr>
    </w:p>
    <w:p w:rsidR="00711B43" w:rsidRDefault="00711B43" w:rsidP="00711B43">
      <w:pPr>
        <w:jc w:val="center"/>
        <w:rPr>
          <w:noProof/>
        </w:rPr>
      </w:pPr>
    </w:p>
    <w:p w:rsidR="00711B43" w:rsidRDefault="00711B43" w:rsidP="00711B43">
      <w:pPr>
        <w:jc w:val="center"/>
        <w:rPr>
          <w:noProof/>
        </w:rPr>
      </w:pPr>
    </w:p>
    <w:p w:rsidR="00711B43" w:rsidRDefault="00711B43" w:rsidP="00711B43">
      <w:pPr>
        <w:jc w:val="center"/>
        <w:rPr>
          <w:noProof/>
        </w:rPr>
      </w:pPr>
    </w:p>
    <w:p w:rsidR="00711B43" w:rsidRDefault="00711B43" w:rsidP="00711B43">
      <w:pPr>
        <w:jc w:val="center"/>
        <w:rPr>
          <w:noProof/>
        </w:rPr>
      </w:pPr>
    </w:p>
    <w:p w:rsidR="00711B43" w:rsidRDefault="00711B43" w:rsidP="00711B43">
      <w:pPr>
        <w:jc w:val="center"/>
      </w:pPr>
      <w:r w:rsidRPr="00711B43">
        <w:rPr>
          <w:noProof/>
        </w:rPr>
        <w:drawing>
          <wp:inline distT="0" distB="0" distL="0" distR="0">
            <wp:extent cx="5673273" cy="7296063"/>
            <wp:effectExtent l="19050" t="0" r="0" b="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srcRect/>
                    <a:stretch>
                      <a:fillRect/>
                    </a:stretch>
                  </pic:blipFill>
                  <pic:spPr bwMode="auto">
                    <a:xfrm>
                      <a:off x="0" y="0"/>
                      <a:ext cx="5676737" cy="7300518"/>
                    </a:xfrm>
                    <a:prstGeom prst="rect">
                      <a:avLst/>
                    </a:prstGeom>
                    <a:noFill/>
                    <a:ln w="9525">
                      <a:noFill/>
                      <a:miter lim="800000"/>
                      <a:headEnd/>
                      <a:tailEnd/>
                    </a:ln>
                  </pic:spPr>
                </pic:pic>
              </a:graphicData>
            </a:graphic>
          </wp:inline>
        </w:drawing>
      </w:r>
    </w:p>
    <w:p w:rsidR="00D52F74" w:rsidRPr="00711B43" w:rsidRDefault="00D52F74" w:rsidP="00D52F74">
      <w:pPr>
        <w:jc w:val="both"/>
        <w:rPr>
          <w:rFonts w:ascii="Times New Roman" w:hAnsi="Times New Roman"/>
          <w:sz w:val="20"/>
          <w:szCs w:val="20"/>
        </w:rPr>
      </w:pPr>
      <w:r w:rsidRPr="00711B43">
        <w:rPr>
          <w:rFonts w:ascii="Times New Roman" w:hAnsi="Times New Roman"/>
          <w:b/>
          <w:sz w:val="20"/>
          <w:szCs w:val="20"/>
        </w:rPr>
        <w:t>Fig. S</w:t>
      </w:r>
      <w:r>
        <w:rPr>
          <w:rFonts w:ascii="Times New Roman" w:hAnsi="Times New Roman"/>
          <w:b/>
          <w:sz w:val="20"/>
          <w:szCs w:val="20"/>
        </w:rPr>
        <w:t>3</w:t>
      </w:r>
      <w:r w:rsidRPr="00711B43">
        <w:rPr>
          <w:rFonts w:ascii="Times New Roman" w:hAnsi="Times New Roman"/>
          <w:b/>
          <w:sz w:val="20"/>
          <w:szCs w:val="20"/>
        </w:rPr>
        <w:t>:</w:t>
      </w:r>
      <w:r w:rsidRPr="00711B43">
        <w:rPr>
          <w:rFonts w:ascii="Times New Roman" w:hAnsi="Times New Roman"/>
          <w:sz w:val="20"/>
          <w:szCs w:val="20"/>
        </w:rPr>
        <w:t xml:space="preserve"> Root mean-square deviation (RMSD) plot of various ATZ-PPIs complex</w:t>
      </w:r>
    </w:p>
    <w:p w:rsidR="00BC602A" w:rsidRDefault="00BC602A" w:rsidP="00F6762E">
      <w:pPr>
        <w:jc w:val="center"/>
      </w:pPr>
      <w:r w:rsidRPr="00BC602A">
        <w:rPr>
          <w:noProof/>
        </w:rPr>
        <w:lastRenderedPageBreak/>
        <w:drawing>
          <wp:inline distT="0" distB="0" distL="0" distR="0">
            <wp:extent cx="5716739" cy="7220197"/>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srcRect/>
                    <a:stretch>
                      <a:fillRect/>
                    </a:stretch>
                  </pic:blipFill>
                  <pic:spPr bwMode="auto">
                    <a:xfrm>
                      <a:off x="0" y="0"/>
                      <a:ext cx="5717929" cy="7221700"/>
                    </a:xfrm>
                    <a:prstGeom prst="rect">
                      <a:avLst/>
                    </a:prstGeom>
                    <a:noFill/>
                    <a:ln w="9525">
                      <a:noFill/>
                      <a:miter lim="800000"/>
                      <a:headEnd/>
                      <a:tailEnd/>
                    </a:ln>
                  </pic:spPr>
                </pic:pic>
              </a:graphicData>
            </a:graphic>
          </wp:inline>
        </w:drawing>
      </w:r>
    </w:p>
    <w:p w:rsidR="00F60EB8" w:rsidRDefault="00D52F74" w:rsidP="00D52F74">
      <w:pPr>
        <w:spacing w:line="360" w:lineRule="auto"/>
        <w:jc w:val="both"/>
        <w:rPr>
          <w:rFonts w:ascii="Times New Roman" w:hAnsi="Times New Roman"/>
          <w:sz w:val="20"/>
          <w:szCs w:val="20"/>
        </w:rPr>
      </w:pPr>
      <w:r w:rsidRPr="00D52F74">
        <w:rPr>
          <w:rFonts w:ascii="Times New Roman" w:hAnsi="Times New Roman"/>
          <w:b/>
          <w:sz w:val="20"/>
          <w:szCs w:val="20"/>
        </w:rPr>
        <w:t>Fig. S4:</w:t>
      </w:r>
      <w:r w:rsidRPr="00D52F74">
        <w:rPr>
          <w:rFonts w:ascii="Times New Roman" w:hAnsi="Times New Roman"/>
          <w:sz w:val="20"/>
          <w:szCs w:val="20"/>
        </w:rPr>
        <w:t xml:space="preserve"> Rheogram generated for different formulations at (a) controlled shear rate and (b) temperature sweep test from 0 to 40˚C. </w:t>
      </w:r>
    </w:p>
    <w:p w:rsidR="003E301B" w:rsidRDefault="003E301B" w:rsidP="00D52F74">
      <w:pPr>
        <w:spacing w:line="360" w:lineRule="auto"/>
        <w:jc w:val="both"/>
        <w:rPr>
          <w:rFonts w:ascii="Times New Roman" w:hAnsi="Times New Roman"/>
          <w:sz w:val="20"/>
          <w:szCs w:val="20"/>
        </w:rPr>
      </w:pPr>
    </w:p>
    <w:p w:rsidR="003E301B" w:rsidRDefault="003E301B" w:rsidP="009B4804">
      <w:pPr>
        <w:jc w:val="center"/>
        <w:rPr>
          <w:rFonts w:ascii="Times New Roman" w:hAnsi="Times New Roman"/>
          <w:b/>
          <w:sz w:val="24"/>
          <w:szCs w:val="24"/>
        </w:rPr>
      </w:pPr>
      <w:r w:rsidRPr="003E301B">
        <w:lastRenderedPageBreak/>
        <w:drawing>
          <wp:inline distT="0" distB="0" distL="0" distR="0">
            <wp:extent cx="5189220" cy="6567170"/>
            <wp:effectExtent l="0" t="0" r="0" b="0"/>
            <wp:docPr id="1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srcRect/>
                    <a:stretch>
                      <a:fillRect/>
                    </a:stretch>
                  </pic:blipFill>
                  <pic:spPr bwMode="auto">
                    <a:xfrm>
                      <a:off x="0" y="0"/>
                      <a:ext cx="5189220" cy="6567170"/>
                    </a:xfrm>
                    <a:prstGeom prst="rect">
                      <a:avLst/>
                    </a:prstGeom>
                    <a:noFill/>
                    <a:ln w="9525">
                      <a:noFill/>
                      <a:miter lim="800000"/>
                      <a:headEnd/>
                      <a:tailEnd/>
                    </a:ln>
                  </pic:spPr>
                </pic:pic>
              </a:graphicData>
            </a:graphic>
          </wp:inline>
        </w:drawing>
      </w:r>
    </w:p>
    <w:p w:rsidR="003E301B" w:rsidRDefault="003E301B" w:rsidP="003E301B">
      <w:pPr>
        <w:rPr>
          <w:rFonts w:ascii="Times New Roman" w:hAnsi="Times New Roman"/>
          <w:b/>
          <w:sz w:val="24"/>
          <w:szCs w:val="24"/>
        </w:rPr>
      </w:pPr>
      <w:r>
        <w:rPr>
          <w:rFonts w:ascii="Times New Roman" w:hAnsi="Times New Roman"/>
          <w:b/>
          <w:sz w:val="24"/>
          <w:szCs w:val="24"/>
        </w:rPr>
        <w:t xml:space="preserve">Fig. S5: </w:t>
      </w:r>
      <w:r w:rsidRPr="003E301B">
        <w:rPr>
          <w:rFonts w:ascii="Times New Roman" w:hAnsi="Times New Roman"/>
          <w:sz w:val="24"/>
          <w:szCs w:val="24"/>
        </w:rPr>
        <w:t>Particle size and PDI analysis of SP-IM at different time intervals</w:t>
      </w:r>
    </w:p>
    <w:p w:rsidR="003E301B" w:rsidRDefault="003E301B" w:rsidP="003E301B">
      <w:pPr>
        <w:jc w:val="center"/>
        <w:rPr>
          <w:rFonts w:ascii="Times New Roman" w:hAnsi="Times New Roman"/>
          <w:sz w:val="24"/>
          <w:szCs w:val="24"/>
        </w:rPr>
      </w:pPr>
    </w:p>
    <w:p w:rsidR="003E301B" w:rsidRDefault="003E301B" w:rsidP="003E301B">
      <w:pPr>
        <w:jc w:val="center"/>
        <w:rPr>
          <w:rFonts w:ascii="Times New Roman" w:hAnsi="Times New Roman"/>
          <w:noProof/>
          <w:sz w:val="24"/>
          <w:szCs w:val="24"/>
        </w:rPr>
      </w:pPr>
    </w:p>
    <w:p w:rsidR="003E301B" w:rsidRDefault="003E301B" w:rsidP="003E301B">
      <w:pPr>
        <w:jc w:val="center"/>
        <w:rPr>
          <w:rFonts w:ascii="Times New Roman" w:hAnsi="Times New Roman"/>
          <w:noProof/>
          <w:sz w:val="24"/>
          <w:szCs w:val="24"/>
        </w:rPr>
      </w:pPr>
    </w:p>
    <w:p w:rsidR="003E301B" w:rsidRDefault="003E301B" w:rsidP="003E301B">
      <w:pPr>
        <w:jc w:val="center"/>
        <w:rPr>
          <w:rFonts w:ascii="Times New Roman" w:hAnsi="Times New Roman"/>
          <w:sz w:val="24"/>
          <w:szCs w:val="24"/>
        </w:rPr>
      </w:pPr>
      <w:r>
        <w:rPr>
          <w:rFonts w:ascii="Times New Roman" w:hAnsi="Times New Roman"/>
          <w:noProof/>
          <w:sz w:val="24"/>
          <w:szCs w:val="24"/>
        </w:rPr>
        <w:lastRenderedPageBreak/>
        <w:drawing>
          <wp:inline distT="0" distB="0" distL="0" distR="0">
            <wp:extent cx="3645535" cy="2576830"/>
            <wp:effectExtent l="19050" t="0" r="0" b="0"/>
            <wp:docPr id="8" name="Picture 1" descr="HP1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P1I"/>
                    <pic:cNvPicPr>
                      <a:picLocks noChangeAspect="1" noChangeArrowheads="1"/>
                    </pic:cNvPicPr>
                  </pic:nvPicPr>
                  <pic:blipFill>
                    <a:blip r:embed="rId16" cstate="print"/>
                    <a:srcRect/>
                    <a:stretch>
                      <a:fillRect/>
                    </a:stretch>
                  </pic:blipFill>
                  <pic:spPr bwMode="auto">
                    <a:xfrm>
                      <a:off x="0" y="0"/>
                      <a:ext cx="3645535" cy="2576830"/>
                    </a:xfrm>
                    <a:prstGeom prst="rect">
                      <a:avLst/>
                    </a:prstGeom>
                    <a:noFill/>
                    <a:ln w="9525">
                      <a:noFill/>
                      <a:miter lim="800000"/>
                      <a:headEnd/>
                      <a:tailEnd/>
                    </a:ln>
                  </pic:spPr>
                </pic:pic>
              </a:graphicData>
            </a:graphic>
          </wp:inline>
        </w:drawing>
      </w:r>
    </w:p>
    <w:p w:rsidR="003E301B" w:rsidRDefault="003E301B" w:rsidP="00D52F74">
      <w:pPr>
        <w:spacing w:line="360" w:lineRule="auto"/>
        <w:jc w:val="both"/>
        <w:rPr>
          <w:rFonts w:ascii="Times New Roman" w:hAnsi="Times New Roman"/>
          <w:b/>
          <w:sz w:val="24"/>
          <w:szCs w:val="24"/>
        </w:rPr>
      </w:pPr>
      <w:r>
        <w:rPr>
          <w:rFonts w:ascii="Times New Roman" w:hAnsi="Times New Roman"/>
          <w:b/>
          <w:sz w:val="24"/>
          <w:szCs w:val="24"/>
        </w:rPr>
        <w:t>Fig. S6: TEM image of reconstituted SP-IM at low magnification.</w:t>
      </w:r>
    </w:p>
    <w:p w:rsidR="00C24519" w:rsidRDefault="00C24519" w:rsidP="00D52F74">
      <w:pPr>
        <w:spacing w:line="360" w:lineRule="auto"/>
        <w:jc w:val="both"/>
        <w:rPr>
          <w:rFonts w:ascii="Times New Roman" w:hAnsi="Times New Roman"/>
          <w:sz w:val="20"/>
          <w:szCs w:val="20"/>
        </w:rPr>
      </w:pPr>
      <w:r>
        <w:rPr>
          <w:rFonts w:ascii="Times New Roman" w:hAnsi="Times New Roman"/>
          <w:b/>
          <w:sz w:val="24"/>
          <w:szCs w:val="24"/>
        </w:rPr>
        <w:t>Table S6: Ternary mixture prepared by varying ratio of Oil, Surfactant and Co-surfactant</w:t>
      </w:r>
    </w:p>
    <w:tbl>
      <w:tblPr>
        <w:tblStyle w:val="TableGrid"/>
        <w:tblW w:w="0" w:type="auto"/>
        <w:jc w:val="center"/>
        <w:tblLook w:val="04A0"/>
      </w:tblPr>
      <w:tblGrid>
        <w:gridCol w:w="828"/>
        <w:gridCol w:w="809"/>
        <w:gridCol w:w="1203"/>
        <w:gridCol w:w="1437"/>
        <w:gridCol w:w="1520"/>
        <w:gridCol w:w="1786"/>
        <w:gridCol w:w="1993"/>
      </w:tblGrid>
      <w:tr w:rsidR="00B56B91" w:rsidRPr="00B56B91" w:rsidTr="00B56B91">
        <w:trPr>
          <w:jc w:val="center"/>
        </w:trPr>
        <w:tc>
          <w:tcPr>
            <w:tcW w:w="1638" w:type="dxa"/>
            <w:gridSpan w:val="2"/>
            <w:vAlign w:val="center"/>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Oils</w:t>
            </w:r>
          </w:p>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(g)</w:t>
            </w:r>
          </w:p>
        </w:tc>
        <w:tc>
          <w:tcPr>
            <w:tcW w:w="1170" w:type="dxa"/>
            <w:vAlign w:val="center"/>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Surfactant</w:t>
            </w:r>
          </w:p>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(g)</w:t>
            </w:r>
          </w:p>
        </w:tc>
        <w:tc>
          <w:tcPr>
            <w:tcW w:w="1440" w:type="dxa"/>
            <w:vAlign w:val="center"/>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Co-surfactant</w:t>
            </w:r>
          </w:p>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(g)</w:t>
            </w:r>
          </w:p>
        </w:tc>
        <w:tc>
          <w:tcPr>
            <w:tcW w:w="3330" w:type="dxa"/>
            <w:gridSpan w:val="2"/>
            <w:vAlign w:val="center"/>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Clarity and miscibility of excipients (after 24 hours) in ternary mixture</w:t>
            </w:r>
          </w:p>
        </w:tc>
        <w:tc>
          <w:tcPr>
            <w:tcW w:w="1998" w:type="dxa"/>
            <w:vMerge w:val="restart"/>
            <w:vAlign w:val="center"/>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 Transmittance</w:t>
            </w:r>
          </w:p>
        </w:tc>
      </w:tr>
      <w:tr w:rsidR="00B56B91" w:rsidRPr="00B56B91" w:rsidTr="00B56B91">
        <w:trPr>
          <w:jc w:val="center"/>
        </w:trPr>
        <w:tc>
          <w:tcPr>
            <w:tcW w:w="828" w:type="dxa"/>
            <w:vAlign w:val="center"/>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Corn Oil</w:t>
            </w:r>
          </w:p>
        </w:tc>
        <w:tc>
          <w:tcPr>
            <w:tcW w:w="810" w:type="dxa"/>
            <w:vAlign w:val="center"/>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Oleic Acid</w:t>
            </w:r>
          </w:p>
        </w:tc>
        <w:tc>
          <w:tcPr>
            <w:tcW w:w="1170" w:type="dxa"/>
            <w:vAlign w:val="center"/>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Tween 80</w:t>
            </w:r>
          </w:p>
        </w:tc>
        <w:tc>
          <w:tcPr>
            <w:tcW w:w="1440" w:type="dxa"/>
            <w:vAlign w:val="center"/>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Propylene Glycol</w:t>
            </w:r>
          </w:p>
        </w:tc>
        <w:tc>
          <w:tcPr>
            <w:tcW w:w="1530" w:type="dxa"/>
            <w:vAlign w:val="center"/>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A</w:t>
            </w:r>
          </w:p>
        </w:tc>
        <w:tc>
          <w:tcPr>
            <w:tcW w:w="1800" w:type="dxa"/>
            <w:vAlign w:val="center"/>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B</w:t>
            </w:r>
          </w:p>
        </w:tc>
        <w:tc>
          <w:tcPr>
            <w:tcW w:w="1998" w:type="dxa"/>
            <w:vMerge/>
            <w:vAlign w:val="center"/>
          </w:tcPr>
          <w:p w:rsidR="00B56B91" w:rsidRPr="00B56B91" w:rsidRDefault="00B56B91" w:rsidP="00B56B91">
            <w:pPr>
              <w:jc w:val="center"/>
              <w:rPr>
                <w:rFonts w:ascii="Times New Roman" w:hAnsi="Times New Roman"/>
                <w:sz w:val="24"/>
                <w:szCs w:val="24"/>
              </w:rPr>
            </w:pPr>
          </w:p>
        </w:tc>
      </w:tr>
      <w:tr w:rsidR="00B56B91" w:rsidRPr="00B56B91" w:rsidTr="00B56B91">
        <w:trPr>
          <w:jc w:val="center"/>
        </w:trPr>
        <w:tc>
          <w:tcPr>
            <w:tcW w:w="828" w:type="dxa"/>
            <w:vAlign w:val="center"/>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0.05</w:t>
            </w:r>
          </w:p>
        </w:tc>
        <w:tc>
          <w:tcPr>
            <w:tcW w:w="810" w:type="dxa"/>
            <w:vAlign w:val="center"/>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0.05</w:t>
            </w:r>
          </w:p>
        </w:tc>
        <w:tc>
          <w:tcPr>
            <w:tcW w:w="1170" w:type="dxa"/>
            <w:vAlign w:val="center"/>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0.8</w:t>
            </w:r>
          </w:p>
        </w:tc>
        <w:tc>
          <w:tcPr>
            <w:tcW w:w="1440" w:type="dxa"/>
            <w:vAlign w:val="center"/>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0.1</w:t>
            </w:r>
          </w:p>
        </w:tc>
        <w:tc>
          <w:tcPr>
            <w:tcW w:w="1530" w:type="dxa"/>
            <w:vAlign w:val="center"/>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C</w:t>
            </w:r>
          </w:p>
        </w:tc>
        <w:tc>
          <w:tcPr>
            <w:tcW w:w="1800" w:type="dxa"/>
            <w:vAlign w:val="center"/>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S</w:t>
            </w:r>
          </w:p>
        </w:tc>
        <w:tc>
          <w:tcPr>
            <w:tcW w:w="1998" w:type="dxa"/>
            <w:vAlign w:val="center"/>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98.1</w:t>
            </w:r>
          </w:p>
        </w:tc>
      </w:tr>
      <w:tr w:rsidR="00B56B91" w:rsidRPr="00B56B91" w:rsidTr="00B56B91">
        <w:trPr>
          <w:jc w:val="center"/>
        </w:trPr>
        <w:tc>
          <w:tcPr>
            <w:tcW w:w="828"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0.05</w:t>
            </w:r>
          </w:p>
        </w:tc>
        <w:tc>
          <w:tcPr>
            <w:tcW w:w="81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0.05</w:t>
            </w:r>
          </w:p>
        </w:tc>
        <w:tc>
          <w:tcPr>
            <w:tcW w:w="117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0.7</w:t>
            </w:r>
          </w:p>
        </w:tc>
        <w:tc>
          <w:tcPr>
            <w:tcW w:w="144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0.2</w:t>
            </w:r>
          </w:p>
        </w:tc>
        <w:tc>
          <w:tcPr>
            <w:tcW w:w="153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C</w:t>
            </w:r>
          </w:p>
        </w:tc>
        <w:tc>
          <w:tcPr>
            <w:tcW w:w="180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S</w:t>
            </w:r>
          </w:p>
        </w:tc>
        <w:tc>
          <w:tcPr>
            <w:tcW w:w="1998"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98.8</w:t>
            </w:r>
          </w:p>
        </w:tc>
      </w:tr>
      <w:tr w:rsidR="00B56B91" w:rsidRPr="00B56B91" w:rsidTr="00B56B91">
        <w:trPr>
          <w:jc w:val="center"/>
        </w:trPr>
        <w:tc>
          <w:tcPr>
            <w:tcW w:w="828"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0.1</w:t>
            </w:r>
          </w:p>
        </w:tc>
        <w:tc>
          <w:tcPr>
            <w:tcW w:w="81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0.1</w:t>
            </w:r>
          </w:p>
        </w:tc>
        <w:tc>
          <w:tcPr>
            <w:tcW w:w="117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0.6</w:t>
            </w:r>
          </w:p>
        </w:tc>
        <w:tc>
          <w:tcPr>
            <w:tcW w:w="144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0.2</w:t>
            </w:r>
          </w:p>
        </w:tc>
        <w:tc>
          <w:tcPr>
            <w:tcW w:w="153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C</w:t>
            </w:r>
          </w:p>
        </w:tc>
        <w:tc>
          <w:tcPr>
            <w:tcW w:w="180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S</w:t>
            </w:r>
          </w:p>
        </w:tc>
        <w:tc>
          <w:tcPr>
            <w:tcW w:w="1998"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96.5</w:t>
            </w:r>
          </w:p>
        </w:tc>
      </w:tr>
      <w:tr w:rsidR="00B56B91" w:rsidRPr="00B56B91" w:rsidTr="00B56B91">
        <w:trPr>
          <w:jc w:val="center"/>
        </w:trPr>
        <w:tc>
          <w:tcPr>
            <w:tcW w:w="828"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0.05</w:t>
            </w:r>
          </w:p>
        </w:tc>
        <w:tc>
          <w:tcPr>
            <w:tcW w:w="81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0.1</w:t>
            </w:r>
          </w:p>
        </w:tc>
        <w:tc>
          <w:tcPr>
            <w:tcW w:w="117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0.75</w:t>
            </w:r>
          </w:p>
        </w:tc>
        <w:tc>
          <w:tcPr>
            <w:tcW w:w="144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0.1</w:t>
            </w:r>
          </w:p>
        </w:tc>
        <w:tc>
          <w:tcPr>
            <w:tcW w:w="153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T</w:t>
            </w:r>
          </w:p>
        </w:tc>
        <w:tc>
          <w:tcPr>
            <w:tcW w:w="180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P</w:t>
            </w:r>
          </w:p>
        </w:tc>
        <w:tc>
          <w:tcPr>
            <w:tcW w:w="1998"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57.4</w:t>
            </w:r>
          </w:p>
        </w:tc>
      </w:tr>
      <w:tr w:rsidR="00B56B91" w:rsidRPr="00B56B91" w:rsidTr="00B56B91">
        <w:trPr>
          <w:jc w:val="center"/>
        </w:trPr>
        <w:tc>
          <w:tcPr>
            <w:tcW w:w="828"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0.05</w:t>
            </w:r>
          </w:p>
        </w:tc>
        <w:tc>
          <w:tcPr>
            <w:tcW w:w="81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0.1</w:t>
            </w:r>
          </w:p>
        </w:tc>
        <w:tc>
          <w:tcPr>
            <w:tcW w:w="117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0.65</w:t>
            </w:r>
          </w:p>
        </w:tc>
        <w:tc>
          <w:tcPr>
            <w:tcW w:w="144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0.2</w:t>
            </w:r>
          </w:p>
        </w:tc>
        <w:tc>
          <w:tcPr>
            <w:tcW w:w="153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T</w:t>
            </w:r>
          </w:p>
        </w:tc>
        <w:tc>
          <w:tcPr>
            <w:tcW w:w="180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P</w:t>
            </w:r>
          </w:p>
        </w:tc>
        <w:tc>
          <w:tcPr>
            <w:tcW w:w="1998"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55.6</w:t>
            </w:r>
          </w:p>
        </w:tc>
      </w:tr>
      <w:tr w:rsidR="00B56B91" w:rsidRPr="00B56B91" w:rsidTr="00B56B91">
        <w:trPr>
          <w:jc w:val="center"/>
        </w:trPr>
        <w:tc>
          <w:tcPr>
            <w:tcW w:w="828"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0.1</w:t>
            </w:r>
          </w:p>
        </w:tc>
        <w:tc>
          <w:tcPr>
            <w:tcW w:w="81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0.05</w:t>
            </w:r>
          </w:p>
        </w:tc>
        <w:tc>
          <w:tcPr>
            <w:tcW w:w="117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0.75</w:t>
            </w:r>
          </w:p>
        </w:tc>
        <w:tc>
          <w:tcPr>
            <w:tcW w:w="144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0.1</w:t>
            </w:r>
          </w:p>
        </w:tc>
        <w:tc>
          <w:tcPr>
            <w:tcW w:w="153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T</w:t>
            </w:r>
          </w:p>
        </w:tc>
        <w:tc>
          <w:tcPr>
            <w:tcW w:w="180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P</w:t>
            </w:r>
          </w:p>
        </w:tc>
        <w:tc>
          <w:tcPr>
            <w:tcW w:w="1998"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54.2</w:t>
            </w:r>
          </w:p>
        </w:tc>
      </w:tr>
      <w:tr w:rsidR="00B56B91" w:rsidRPr="00B56B91" w:rsidTr="00B56B91">
        <w:trPr>
          <w:jc w:val="center"/>
        </w:trPr>
        <w:tc>
          <w:tcPr>
            <w:tcW w:w="828"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0.1</w:t>
            </w:r>
          </w:p>
        </w:tc>
        <w:tc>
          <w:tcPr>
            <w:tcW w:w="81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0.05</w:t>
            </w:r>
          </w:p>
        </w:tc>
        <w:tc>
          <w:tcPr>
            <w:tcW w:w="117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0.65</w:t>
            </w:r>
          </w:p>
        </w:tc>
        <w:tc>
          <w:tcPr>
            <w:tcW w:w="144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0.2</w:t>
            </w:r>
          </w:p>
        </w:tc>
        <w:tc>
          <w:tcPr>
            <w:tcW w:w="153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T</w:t>
            </w:r>
          </w:p>
        </w:tc>
        <w:tc>
          <w:tcPr>
            <w:tcW w:w="180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P</w:t>
            </w:r>
          </w:p>
        </w:tc>
        <w:tc>
          <w:tcPr>
            <w:tcW w:w="1998"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54.1</w:t>
            </w:r>
          </w:p>
        </w:tc>
      </w:tr>
      <w:tr w:rsidR="00B56B91" w:rsidRPr="00B56B91" w:rsidTr="00B56B91">
        <w:trPr>
          <w:jc w:val="center"/>
        </w:trPr>
        <w:tc>
          <w:tcPr>
            <w:tcW w:w="828"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0.05</w:t>
            </w:r>
          </w:p>
        </w:tc>
        <w:tc>
          <w:tcPr>
            <w:tcW w:w="81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0.15</w:t>
            </w:r>
          </w:p>
        </w:tc>
        <w:tc>
          <w:tcPr>
            <w:tcW w:w="117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0.7</w:t>
            </w:r>
          </w:p>
        </w:tc>
        <w:tc>
          <w:tcPr>
            <w:tcW w:w="144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0.1</w:t>
            </w:r>
          </w:p>
        </w:tc>
        <w:tc>
          <w:tcPr>
            <w:tcW w:w="153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T</w:t>
            </w:r>
          </w:p>
        </w:tc>
        <w:tc>
          <w:tcPr>
            <w:tcW w:w="180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P</w:t>
            </w:r>
          </w:p>
        </w:tc>
        <w:tc>
          <w:tcPr>
            <w:tcW w:w="1998"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36.3</w:t>
            </w:r>
          </w:p>
        </w:tc>
      </w:tr>
      <w:tr w:rsidR="00B56B91" w:rsidRPr="00B56B91" w:rsidTr="00B56B91">
        <w:trPr>
          <w:jc w:val="center"/>
        </w:trPr>
        <w:tc>
          <w:tcPr>
            <w:tcW w:w="828"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0.05</w:t>
            </w:r>
          </w:p>
        </w:tc>
        <w:tc>
          <w:tcPr>
            <w:tcW w:w="81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0.15</w:t>
            </w:r>
          </w:p>
        </w:tc>
        <w:tc>
          <w:tcPr>
            <w:tcW w:w="117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0.6</w:t>
            </w:r>
          </w:p>
        </w:tc>
        <w:tc>
          <w:tcPr>
            <w:tcW w:w="144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0.2</w:t>
            </w:r>
          </w:p>
        </w:tc>
        <w:tc>
          <w:tcPr>
            <w:tcW w:w="153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T</w:t>
            </w:r>
          </w:p>
        </w:tc>
        <w:tc>
          <w:tcPr>
            <w:tcW w:w="180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P</w:t>
            </w:r>
          </w:p>
        </w:tc>
        <w:tc>
          <w:tcPr>
            <w:tcW w:w="1998"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35.2</w:t>
            </w:r>
          </w:p>
        </w:tc>
      </w:tr>
      <w:tr w:rsidR="00B56B91" w:rsidRPr="00B56B91" w:rsidTr="00B56B91">
        <w:trPr>
          <w:jc w:val="center"/>
        </w:trPr>
        <w:tc>
          <w:tcPr>
            <w:tcW w:w="828"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0.15</w:t>
            </w:r>
          </w:p>
        </w:tc>
        <w:tc>
          <w:tcPr>
            <w:tcW w:w="81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0.05</w:t>
            </w:r>
          </w:p>
        </w:tc>
        <w:tc>
          <w:tcPr>
            <w:tcW w:w="117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0.7</w:t>
            </w:r>
          </w:p>
        </w:tc>
        <w:tc>
          <w:tcPr>
            <w:tcW w:w="144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0.1</w:t>
            </w:r>
          </w:p>
        </w:tc>
        <w:tc>
          <w:tcPr>
            <w:tcW w:w="153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T</w:t>
            </w:r>
          </w:p>
        </w:tc>
        <w:tc>
          <w:tcPr>
            <w:tcW w:w="180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P</w:t>
            </w:r>
          </w:p>
        </w:tc>
        <w:tc>
          <w:tcPr>
            <w:tcW w:w="1998"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33.4</w:t>
            </w:r>
          </w:p>
        </w:tc>
      </w:tr>
      <w:tr w:rsidR="00B56B91" w:rsidRPr="00B56B91" w:rsidTr="00B56B91">
        <w:trPr>
          <w:jc w:val="center"/>
        </w:trPr>
        <w:tc>
          <w:tcPr>
            <w:tcW w:w="828"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0.15</w:t>
            </w:r>
          </w:p>
        </w:tc>
        <w:tc>
          <w:tcPr>
            <w:tcW w:w="81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0.05</w:t>
            </w:r>
          </w:p>
        </w:tc>
        <w:tc>
          <w:tcPr>
            <w:tcW w:w="117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0.6</w:t>
            </w:r>
          </w:p>
        </w:tc>
        <w:tc>
          <w:tcPr>
            <w:tcW w:w="144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0.2</w:t>
            </w:r>
          </w:p>
        </w:tc>
        <w:tc>
          <w:tcPr>
            <w:tcW w:w="153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T</w:t>
            </w:r>
          </w:p>
        </w:tc>
        <w:tc>
          <w:tcPr>
            <w:tcW w:w="1800"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P</w:t>
            </w:r>
          </w:p>
        </w:tc>
        <w:tc>
          <w:tcPr>
            <w:tcW w:w="1998" w:type="dxa"/>
          </w:tcPr>
          <w:p w:rsidR="00B56B91" w:rsidRPr="00B56B91" w:rsidRDefault="00B56B91" w:rsidP="00B56B91">
            <w:pPr>
              <w:jc w:val="center"/>
              <w:rPr>
                <w:rFonts w:ascii="Times New Roman" w:hAnsi="Times New Roman"/>
                <w:sz w:val="24"/>
                <w:szCs w:val="24"/>
              </w:rPr>
            </w:pPr>
            <w:r w:rsidRPr="00B56B91">
              <w:rPr>
                <w:rFonts w:ascii="Times New Roman" w:hAnsi="Times New Roman"/>
                <w:sz w:val="24"/>
                <w:szCs w:val="24"/>
              </w:rPr>
              <w:t>33.8</w:t>
            </w:r>
          </w:p>
        </w:tc>
      </w:tr>
    </w:tbl>
    <w:p w:rsidR="00B56B91" w:rsidRPr="00B56B91" w:rsidRDefault="00B56B91" w:rsidP="00B56B91">
      <w:pPr>
        <w:rPr>
          <w:rFonts w:ascii="Times New Roman" w:hAnsi="Times New Roman"/>
          <w:sz w:val="24"/>
          <w:szCs w:val="24"/>
        </w:rPr>
      </w:pPr>
      <w:r w:rsidRPr="00B56B91">
        <w:rPr>
          <w:rFonts w:ascii="Times New Roman" w:hAnsi="Times New Roman"/>
          <w:sz w:val="24"/>
          <w:szCs w:val="24"/>
        </w:rPr>
        <w:t>*A-at the time of preparation and B-after 24 hours; C: Clear; T: Turbid; S: Stable; P: Phase Seperation</w:t>
      </w:r>
    </w:p>
    <w:p w:rsidR="00F60EB8" w:rsidRDefault="00F60EB8" w:rsidP="00D52F74">
      <w:pPr>
        <w:spacing w:line="360" w:lineRule="auto"/>
        <w:jc w:val="both"/>
        <w:rPr>
          <w:rFonts w:ascii="Times New Roman" w:hAnsi="Times New Roman"/>
          <w:sz w:val="20"/>
          <w:szCs w:val="20"/>
        </w:rPr>
      </w:pPr>
    </w:p>
    <w:p w:rsidR="00F60EB8" w:rsidRDefault="00F60EB8" w:rsidP="00D52F74">
      <w:pPr>
        <w:spacing w:line="360" w:lineRule="auto"/>
        <w:jc w:val="both"/>
        <w:rPr>
          <w:rFonts w:ascii="Times New Roman" w:hAnsi="Times New Roman"/>
          <w:sz w:val="20"/>
          <w:szCs w:val="20"/>
        </w:rPr>
      </w:pPr>
    </w:p>
    <w:p w:rsidR="00342D87" w:rsidRDefault="00342D87" w:rsidP="00D52F74">
      <w:pPr>
        <w:spacing w:line="360" w:lineRule="auto"/>
        <w:jc w:val="both"/>
        <w:rPr>
          <w:rFonts w:ascii="Times New Roman" w:hAnsi="Times New Roman"/>
          <w:sz w:val="20"/>
          <w:szCs w:val="20"/>
        </w:rPr>
      </w:pPr>
    </w:p>
    <w:p w:rsidR="00342D87" w:rsidRDefault="00342D87" w:rsidP="00D52F74">
      <w:pPr>
        <w:spacing w:line="360" w:lineRule="auto"/>
        <w:jc w:val="both"/>
        <w:rPr>
          <w:rFonts w:ascii="Times New Roman" w:hAnsi="Times New Roman"/>
          <w:sz w:val="20"/>
          <w:szCs w:val="20"/>
        </w:rPr>
      </w:pPr>
    </w:p>
    <w:p w:rsidR="00F60EB8" w:rsidRPr="00F60EB8" w:rsidRDefault="00F60EB8" w:rsidP="00D52F74">
      <w:pPr>
        <w:spacing w:line="360" w:lineRule="auto"/>
        <w:jc w:val="both"/>
        <w:rPr>
          <w:rFonts w:ascii="Times New Roman" w:hAnsi="Times New Roman"/>
          <w:b/>
          <w:sz w:val="24"/>
          <w:szCs w:val="24"/>
        </w:rPr>
      </w:pPr>
      <w:r w:rsidRPr="00F60EB8">
        <w:rPr>
          <w:rFonts w:ascii="Times New Roman" w:hAnsi="Times New Roman"/>
          <w:b/>
          <w:sz w:val="24"/>
          <w:szCs w:val="24"/>
        </w:rPr>
        <w:lastRenderedPageBreak/>
        <w:t>References:</w:t>
      </w:r>
    </w:p>
    <w:p w:rsidR="00F60EB8" w:rsidRPr="00F60EB8" w:rsidRDefault="00DC37C4" w:rsidP="00F60EB8">
      <w:pPr>
        <w:spacing w:after="0" w:line="240" w:lineRule="auto"/>
        <w:jc w:val="both"/>
        <w:rPr>
          <w:rFonts w:cs="Calibri"/>
          <w:noProof/>
          <w:szCs w:val="20"/>
        </w:rPr>
      </w:pPr>
      <w:r>
        <w:rPr>
          <w:rFonts w:ascii="Times New Roman" w:hAnsi="Times New Roman"/>
          <w:sz w:val="20"/>
          <w:szCs w:val="20"/>
        </w:rPr>
        <w:fldChar w:fldCharType="begin"/>
      </w:r>
      <w:r w:rsidR="00F60EB8">
        <w:rPr>
          <w:rFonts w:ascii="Times New Roman" w:hAnsi="Times New Roman"/>
          <w:sz w:val="20"/>
          <w:szCs w:val="20"/>
        </w:rPr>
        <w:instrText xml:space="preserve"> ADDIN EN.REFLIST </w:instrText>
      </w:r>
      <w:r>
        <w:rPr>
          <w:rFonts w:ascii="Times New Roman" w:hAnsi="Times New Roman"/>
          <w:sz w:val="20"/>
          <w:szCs w:val="20"/>
        </w:rPr>
        <w:fldChar w:fldCharType="separate"/>
      </w:r>
      <w:bookmarkStart w:id="0" w:name="_ENREF_1"/>
      <w:r w:rsidR="00F60EB8" w:rsidRPr="00F60EB8">
        <w:rPr>
          <w:rFonts w:cs="Calibri"/>
          <w:noProof/>
          <w:szCs w:val="20"/>
        </w:rPr>
        <w:t>[1] S. Beg, P.S. Sandhu, R.S. Batra, R.K. Khurana, B. Singh, QbD-based systematic development of novel optimized solid self-nanoemulsifying drug delivery systems (SNEDDS) of lovastatin with enhanced biopharmaceutical performance, Drug delivery, 22 (2015) 765-784.</w:t>
      </w:r>
      <w:bookmarkEnd w:id="0"/>
    </w:p>
    <w:p w:rsidR="00F60EB8" w:rsidRPr="00F60EB8" w:rsidRDefault="00F60EB8" w:rsidP="00F60EB8">
      <w:pPr>
        <w:spacing w:after="0" w:line="240" w:lineRule="auto"/>
        <w:jc w:val="both"/>
        <w:rPr>
          <w:rFonts w:cs="Calibri"/>
          <w:noProof/>
          <w:szCs w:val="20"/>
        </w:rPr>
      </w:pPr>
      <w:bookmarkStart w:id="1" w:name="_ENREF_2"/>
      <w:r w:rsidRPr="00F60EB8">
        <w:rPr>
          <w:rFonts w:cs="Calibri"/>
          <w:noProof/>
          <w:szCs w:val="20"/>
        </w:rPr>
        <w:t>[2] G. Kuruba, K.A.N. Reddy, S. Poli, C. Ramnarayanan, Quality by Design based development of Self Nano Emulsifying Drug Delivery System of Ritonavir, Journal of Young Pharmacists, 12 (2020) 215.</w:t>
      </w:r>
      <w:bookmarkEnd w:id="1"/>
    </w:p>
    <w:p w:rsidR="00F60EB8" w:rsidRPr="00F60EB8" w:rsidRDefault="00F60EB8" w:rsidP="00F60EB8">
      <w:pPr>
        <w:spacing w:after="0" w:line="240" w:lineRule="auto"/>
        <w:jc w:val="both"/>
        <w:rPr>
          <w:rFonts w:cs="Calibri"/>
          <w:noProof/>
          <w:szCs w:val="20"/>
        </w:rPr>
      </w:pPr>
      <w:bookmarkStart w:id="2" w:name="_ENREF_3"/>
      <w:r w:rsidRPr="00F60EB8">
        <w:rPr>
          <w:rFonts w:cs="Calibri"/>
          <w:noProof/>
          <w:szCs w:val="20"/>
        </w:rPr>
        <w:t>[3] B. Garg, S. Beg, R. Kaur, R. Kumar, O.P. Katare, B. Singh, Long-chain triglycerides-based self-nanoemulsifying oily formulations (SNEOFs) of darunavir with improved lymphatic targeting potential, Journal of drug targeting, 26 (2018) 252-266.</w:t>
      </w:r>
      <w:bookmarkEnd w:id="2"/>
    </w:p>
    <w:p w:rsidR="00F60EB8" w:rsidRPr="00F60EB8" w:rsidRDefault="00F60EB8" w:rsidP="00F60EB8">
      <w:pPr>
        <w:spacing w:after="0" w:line="240" w:lineRule="auto"/>
        <w:jc w:val="both"/>
        <w:rPr>
          <w:rFonts w:cs="Calibri"/>
          <w:noProof/>
          <w:szCs w:val="20"/>
        </w:rPr>
      </w:pPr>
      <w:bookmarkStart w:id="3" w:name="_ENREF_4"/>
      <w:r w:rsidRPr="00F60EB8">
        <w:rPr>
          <w:rFonts w:cs="Calibri"/>
          <w:noProof/>
          <w:szCs w:val="20"/>
        </w:rPr>
        <w:t>[4] S. Kamboj, S. Sethi, V. Rana, A spray dried nelfinavir mesylate particles for enhanced oral bioavailability: systematic formulation optimization and in-vivo performance, Colloids and Surfaces B: Biointerfaces, 176 (2019) 288-299.</w:t>
      </w:r>
      <w:bookmarkEnd w:id="3"/>
    </w:p>
    <w:p w:rsidR="00F60EB8" w:rsidRPr="00F60EB8" w:rsidRDefault="00F60EB8" w:rsidP="00F60EB8">
      <w:pPr>
        <w:spacing w:after="0" w:line="240" w:lineRule="auto"/>
        <w:jc w:val="both"/>
        <w:rPr>
          <w:rFonts w:cs="Calibri"/>
          <w:noProof/>
          <w:szCs w:val="20"/>
        </w:rPr>
      </w:pPr>
      <w:bookmarkStart w:id="4" w:name="_ENREF_5"/>
      <w:r w:rsidRPr="00F60EB8">
        <w:rPr>
          <w:rFonts w:cs="Calibri"/>
          <w:noProof/>
          <w:szCs w:val="20"/>
        </w:rPr>
        <w:t>[5] W. Wu, Y. Wang, L. Que, Enhanced bioavailability of silymarin by self-microemulsifying drug delivery system, European journal of pharmaceutics and biopharmaceutics, 63 (2006) 288-294.</w:t>
      </w:r>
      <w:bookmarkEnd w:id="4"/>
    </w:p>
    <w:p w:rsidR="00F60EB8" w:rsidRPr="00F60EB8" w:rsidRDefault="00F60EB8" w:rsidP="00F60EB8">
      <w:pPr>
        <w:spacing w:after="0" w:line="240" w:lineRule="auto"/>
        <w:jc w:val="both"/>
        <w:rPr>
          <w:rFonts w:cs="Calibri"/>
          <w:noProof/>
          <w:szCs w:val="20"/>
        </w:rPr>
      </w:pPr>
      <w:bookmarkStart w:id="5" w:name="_ENREF_6"/>
      <w:r w:rsidRPr="00F60EB8">
        <w:rPr>
          <w:rFonts w:cs="Calibri"/>
          <w:noProof/>
          <w:szCs w:val="20"/>
        </w:rPr>
        <w:t>[6] S.T. Bansode, S.J. Kshirsagar, A.R. Madgulkar, M.R. Bhalekar, M.M. Bandivadekar, Design and development of SMEDDS for colon-specific drug delivery, Drug development and industrial pharmacy, 42 (2016) 611-623.</w:t>
      </w:r>
      <w:bookmarkEnd w:id="5"/>
    </w:p>
    <w:p w:rsidR="00F60EB8" w:rsidRPr="00F60EB8" w:rsidRDefault="00F60EB8" w:rsidP="00F60EB8">
      <w:pPr>
        <w:spacing w:after="0" w:line="240" w:lineRule="auto"/>
        <w:jc w:val="both"/>
        <w:rPr>
          <w:rFonts w:cs="Calibri"/>
          <w:noProof/>
          <w:szCs w:val="20"/>
        </w:rPr>
      </w:pPr>
      <w:bookmarkStart w:id="6" w:name="_ENREF_7"/>
      <w:r w:rsidRPr="00F60EB8">
        <w:rPr>
          <w:rFonts w:cs="Calibri"/>
          <w:noProof/>
          <w:szCs w:val="20"/>
        </w:rPr>
        <w:t>[7] M.H. Patel, K.K. Sawant, Self microemulsifying drug delivery system of lurasidone hydrochloride for enhanced oral bioavailability by lymphatic targeting: in vitro, Caco-2 cell line and in vivo evaluation, European Journal of Pharmaceutical Sciences, 138 (2019) 105027.</w:t>
      </w:r>
      <w:bookmarkEnd w:id="6"/>
    </w:p>
    <w:p w:rsidR="00F60EB8" w:rsidRPr="00F60EB8" w:rsidRDefault="00F60EB8" w:rsidP="00F60EB8">
      <w:pPr>
        <w:spacing w:after="0" w:line="240" w:lineRule="auto"/>
        <w:jc w:val="both"/>
        <w:rPr>
          <w:rFonts w:cs="Calibri"/>
          <w:noProof/>
          <w:szCs w:val="20"/>
        </w:rPr>
      </w:pPr>
      <w:bookmarkStart w:id="7" w:name="_ENREF_8"/>
      <w:r w:rsidRPr="00F60EB8">
        <w:rPr>
          <w:rFonts w:cs="Calibri"/>
          <w:noProof/>
          <w:szCs w:val="20"/>
        </w:rPr>
        <w:t>[8] R. Sharma, V. Rana, Effect of carboxymethylation on rheological and drug release characteristics of Terminalia catappa gum, Carbohydrate polymers, 175 (2017) 728-738.</w:t>
      </w:r>
      <w:bookmarkEnd w:id="7"/>
    </w:p>
    <w:p w:rsidR="00F60EB8" w:rsidRPr="00F60EB8" w:rsidRDefault="00F60EB8" w:rsidP="00F60EB8">
      <w:pPr>
        <w:spacing w:after="0" w:line="240" w:lineRule="auto"/>
        <w:jc w:val="both"/>
        <w:rPr>
          <w:rFonts w:cs="Calibri"/>
          <w:noProof/>
          <w:szCs w:val="20"/>
        </w:rPr>
      </w:pPr>
      <w:bookmarkStart w:id="8" w:name="_ENREF_9"/>
      <w:r w:rsidRPr="00F60EB8">
        <w:rPr>
          <w:rFonts w:cs="Calibri"/>
          <w:noProof/>
          <w:szCs w:val="20"/>
        </w:rPr>
        <w:t>[9] S. Kamboj, S. Sethi, V. Rana, Lipid based delivery of Efavirenz: an answer to its erratic absorption and food effect, European Journal of Pharmaceutical Sciences, 123 (2018) 199-216.</w:t>
      </w:r>
      <w:bookmarkEnd w:id="8"/>
    </w:p>
    <w:p w:rsidR="00F60EB8" w:rsidRPr="00F60EB8" w:rsidRDefault="00F60EB8" w:rsidP="00F60EB8">
      <w:pPr>
        <w:spacing w:line="240" w:lineRule="auto"/>
        <w:jc w:val="both"/>
        <w:rPr>
          <w:rFonts w:cs="Calibri"/>
          <w:noProof/>
          <w:szCs w:val="20"/>
        </w:rPr>
      </w:pPr>
      <w:bookmarkStart w:id="9" w:name="_ENREF_10"/>
      <w:r w:rsidRPr="00F60EB8">
        <w:rPr>
          <w:rFonts w:cs="Calibri"/>
          <w:noProof/>
          <w:szCs w:val="20"/>
        </w:rPr>
        <w:t>[10] M. Milović, J. Djuriš, L. Djekić, D. Vasiljević, S. Ibrić, Characterization and evaluation of solid self-microemulsifying drug delivery systems with porous carriers as systems for improved carbamazepine release, International journal of pharmaceutics, 436 (2012) 58-65.</w:t>
      </w:r>
      <w:bookmarkEnd w:id="9"/>
    </w:p>
    <w:p w:rsidR="00F60EB8" w:rsidRDefault="00F60EB8" w:rsidP="00F60EB8">
      <w:pPr>
        <w:spacing w:line="240" w:lineRule="auto"/>
        <w:jc w:val="both"/>
        <w:rPr>
          <w:rFonts w:ascii="Times New Roman" w:hAnsi="Times New Roman"/>
          <w:noProof/>
          <w:sz w:val="20"/>
          <w:szCs w:val="20"/>
        </w:rPr>
      </w:pPr>
    </w:p>
    <w:p w:rsidR="00D52F74" w:rsidRPr="00D52F74" w:rsidRDefault="00DC37C4" w:rsidP="00D52F74">
      <w:pPr>
        <w:spacing w:line="360" w:lineRule="auto"/>
        <w:jc w:val="both"/>
        <w:rPr>
          <w:rFonts w:ascii="Times New Roman" w:hAnsi="Times New Roman"/>
          <w:sz w:val="20"/>
          <w:szCs w:val="20"/>
        </w:rPr>
      </w:pPr>
      <w:r>
        <w:rPr>
          <w:rFonts w:ascii="Times New Roman" w:hAnsi="Times New Roman"/>
          <w:sz w:val="20"/>
          <w:szCs w:val="20"/>
        </w:rPr>
        <w:fldChar w:fldCharType="end"/>
      </w:r>
    </w:p>
    <w:sectPr w:rsidR="00D52F74" w:rsidRPr="00D52F74" w:rsidSect="00902C39">
      <w:headerReference w:type="default" r:id="rId1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9588A" w:rsidRDefault="00B9588A" w:rsidP="00763980">
      <w:pPr>
        <w:spacing w:after="0" w:line="240" w:lineRule="auto"/>
      </w:pPr>
      <w:r>
        <w:separator/>
      </w:r>
    </w:p>
  </w:endnote>
  <w:endnote w:type="continuationSeparator" w:id="1">
    <w:p w:rsidR="00B9588A" w:rsidRDefault="00B9588A" w:rsidP="0076398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ulliverRM">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9588A" w:rsidRDefault="00B9588A" w:rsidP="00763980">
      <w:pPr>
        <w:spacing w:after="0" w:line="240" w:lineRule="auto"/>
      </w:pPr>
      <w:r>
        <w:separator/>
      </w:r>
    </w:p>
  </w:footnote>
  <w:footnote w:type="continuationSeparator" w:id="1">
    <w:p w:rsidR="00B9588A" w:rsidRDefault="00B9588A" w:rsidP="0076398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6B91" w:rsidRDefault="00B56B91">
    <w:pPr>
      <w:pStyle w:val="Header"/>
    </w:pPr>
  </w:p>
  <w:p w:rsidR="00B56B91" w:rsidRDefault="00B56B91">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characterSpacingControl w:val="doNotCompress"/>
  <w:footnotePr>
    <w:footnote w:id="0"/>
    <w:footnote w:id="1"/>
  </w:footnotePr>
  <w:endnotePr>
    <w:endnote w:id="0"/>
    <w:endnote w:id="1"/>
  </w:endnotePr>
  <w:compat/>
  <w:docVars>
    <w:docVar w:name="EN.Layout" w:val="&lt;ENLayout&gt;&lt;Style&gt;Euro J Pharma Biopharma&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Libraries&gt;"/>
  </w:docVars>
  <w:rsids>
    <w:rsidRoot w:val="00763980"/>
    <w:rsid w:val="000F756F"/>
    <w:rsid w:val="00172AC5"/>
    <w:rsid w:val="001F1DB5"/>
    <w:rsid w:val="00275D09"/>
    <w:rsid w:val="002C7E39"/>
    <w:rsid w:val="003031A8"/>
    <w:rsid w:val="00342D87"/>
    <w:rsid w:val="003A0157"/>
    <w:rsid w:val="003B3DED"/>
    <w:rsid w:val="003E301B"/>
    <w:rsid w:val="00460DDD"/>
    <w:rsid w:val="00472A0D"/>
    <w:rsid w:val="0050295B"/>
    <w:rsid w:val="005A626C"/>
    <w:rsid w:val="00711B43"/>
    <w:rsid w:val="00763980"/>
    <w:rsid w:val="00777CB1"/>
    <w:rsid w:val="007B34F4"/>
    <w:rsid w:val="008118F7"/>
    <w:rsid w:val="008223D3"/>
    <w:rsid w:val="008B5307"/>
    <w:rsid w:val="00902C39"/>
    <w:rsid w:val="00902FB0"/>
    <w:rsid w:val="009B4804"/>
    <w:rsid w:val="00A212ED"/>
    <w:rsid w:val="00B56B91"/>
    <w:rsid w:val="00B9588A"/>
    <w:rsid w:val="00BC602A"/>
    <w:rsid w:val="00BE433D"/>
    <w:rsid w:val="00C07381"/>
    <w:rsid w:val="00C24519"/>
    <w:rsid w:val="00CD0076"/>
    <w:rsid w:val="00D1591E"/>
    <w:rsid w:val="00D52F74"/>
    <w:rsid w:val="00D7312F"/>
    <w:rsid w:val="00D75102"/>
    <w:rsid w:val="00DC37C4"/>
    <w:rsid w:val="00E20762"/>
    <w:rsid w:val="00F11FA5"/>
    <w:rsid w:val="00F60EB8"/>
    <w:rsid w:val="00F6762E"/>
    <w:rsid w:val="00FE740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3980"/>
    <w:rPr>
      <w:rFonts w:ascii="Calibri" w:eastAsia="Times New Roman" w:hAnsi="Calibri"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63980"/>
    <w:pPr>
      <w:tabs>
        <w:tab w:val="center" w:pos="4680"/>
        <w:tab w:val="right" w:pos="9360"/>
      </w:tabs>
      <w:spacing w:after="0" w:line="240" w:lineRule="auto"/>
    </w:pPr>
    <w:rPr>
      <w:rFonts w:asciiTheme="minorHAnsi" w:eastAsiaTheme="minorHAnsi" w:hAnsiTheme="minorHAnsi" w:cstheme="minorBidi"/>
    </w:rPr>
  </w:style>
  <w:style w:type="character" w:customStyle="1" w:styleId="HeaderChar">
    <w:name w:val="Header Char"/>
    <w:basedOn w:val="DefaultParagraphFont"/>
    <w:link w:val="Header"/>
    <w:uiPriority w:val="99"/>
    <w:rsid w:val="00763980"/>
  </w:style>
  <w:style w:type="paragraph" w:styleId="Footer">
    <w:name w:val="footer"/>
    <w:basedOn w:val="Normal"/>
    <w:link w:val="FooterChar"/>
    <w:uiPriority w:val="99"/>
    <w:semiHidden/>
    <w:unhideWhenUsed/>
    <w:rsid w:val="0076398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763980"/>
  </w:style>
  <w:style w:type="paragraph" w:styleId="BalloonText">
    <w:name w:val="Balloon Text"/>
    <w:basedOn w:val="Normal"/>
    <w:link w:val="BalloonTextChar"/>
    <w:uiPriority w:val="99"/>
    <w:semiHidden/>
    <w:unhideWhenUsed/>
    <w:rsid w:val="007639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3980"/>
    <w:rPr>
      <w:rFonts w:ascii="Tahoma" w:hAnsi="Tahoma" w:cs="Tahoma"/>
      <w:sz w:val="16"/>
      <w:szCs w:val="16"/>
    </w:rPr>
  </w:style>
  <w:style w:type="table" w:styleId="TableGrid">
    <w:name w:val="Table Grid"/>
    <w:basedOn w:val="TableNormal"/>
    <w:uiPriority w:val="59"/>
    <w:rsid w:val="003031A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F60EB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emf"/><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image" Target="media/image11.jpeg"/><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emf"/><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336</TotalTime>
  <Pages>13</Pages>
  <Words>4172</Words>
  <Characters>23783</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9</cp:revision>
  <dcterms:created xsi:type="dcterms:W3CDTF">2021-12-01T07:11:00Z</dcterms:created>
  <dcterms:modified xsi:type="dcterms:W3CDTF">2022-02-24T19:32:00Z</dcterms:modified>
</cp:coreProperties>
</file>