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20762" w:rsidRDefault="00E20762" w:rsidP="00D52F74">
      <w:pPr>
        <w:autoSpaceDE w:val="0"/>
        <w:autoSpaceDN w:val="0"/>
        <w:adjustRightInd w:val="0"/>
        <w:spacing w:after="0" w:line="360" w:lineRule="auto"/>
        <w:jc w:val="center"/>
        <w:rPr>
          <w:rFonts w:ascii="Times New Roman" w:eastAsiaTheme="minorHAnsi" w:hAnsi="Times New Roman"/>
          <w:b/>
          <w:bCs/>
          <w:sz w:val="24"/>
          <w:szCs w:val="24"/>
        </w:rPr>
      </w:pPr>
      <w:r>
        <w:rPr>
          <w:rFonts w:ascii="Times New Roman" w:eastAsiaTheme="minorHAnsi" w:hAnsi="Times New Roman"/>
          <w:b/>
          <w:bCs/>
          <w:sz w:val="24"/>
          <w:szCs w:val="24"/>
        </w:rPr>
        <w:t>Supplementary Data</w:t>
      </w:r>
    </w:p>
    <w:p w:rsidR="00E20762" w:rsidRDefault="00E20762" w:rsidP="00763980">
      <w:pPr>
        <w:autoSpaceDE w:val="0"/>
        <w:autoSpaceDN w:val="0"/>
        <w:adjustRightInd w:val="0"/>
        <w:spacing w:after="0" w:line="360" w:lineRule="auto"/>
        <w:jc w:val="both"/>
        <w:rPr>
          <w:rFonts w:ascii="Times New Roman" w:eastAsiaTheme="minorHAnsi" w:hAnsi="Times New Roman"/>
          <w:b/>
          <w:bCs/>
          <w:sz w:val="24"/>
          <w:szCs w:val="24"/>
        </w:rPr>
      </w:pPr>
      <w:r>
        <w:rPr>
          <w:rFonts w:ascii="Times New Roman" w:eastAsiaTheme="minorHAnsi" w:hAnsi="Times New Roman"/>
          <w:b/>
          <w:bCs/>
          <w:sz w:val="24"/>
          <w:szCs w:val="24"/>
        </w:rPr>
        <w:t>Material and Method</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sz w:val="24"/>
          <w:szCs w:val="24"/>
        </w:rPr>
      </w:pPr>
      <w:r w:rsidRPr="00951749">
        <w:rPr>
          <w:rFonts w:ascii="Times New Roman" w:eastAsiaTheme="minorHAnsi" w:hAnsi="Times New Roman"/>
          <w:b/>
          <w:bCs/>
          <w:sz w:val="24"/>
          <w:szCs w:val="24"/>
        </w:rPr>
        <w:t>Delineating Quality Target Product Profile (QTPP) and Critical Quality Attributes (CQAs) as per ICH Q8 (R2) guidelines for product development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As the preliminary step towards the QbD-based product development of supersaturable </w:t>
      </w:r>
      <w:r w:rsidR="00D75102">
        <w:rPr>
          <w:rFonts w:ascii="Times New Roman" w:eastAsiaTheme="minorHAnsi" w:hAnsi="Times New Roman"/>
          <w:sz w:val="24"/>
          <w:szCs w:val="24"/>
        </w:rPr>
        <w:t>preconcentrate isotropic mixture (SP-IM)</w:t>
      </w:r>
      <w:r w:rsidRPr="00951749">
        <w:rPr>
          <w:rFonts w:ascii="Times New Roman" w:eastAsiaTheme="minorHAnsi" w:hAnsi="Times New Roman"/>
          <w:sz w:val="24"/>
          <w:szCs w:val="24"/>
        </w:rPr>
        <w:t xml:space="preserve"> of ATZ, the quality target product profile (QTPP) was defined; enlisting all the desired characteristics of the ATZ loaded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The prepared formulation will be capable of keeping the drug in dissolved state irrespective of any pH condition, augmenting the ATZ targeting to lymph and subsequently into the systemic circulation for achieving enhanced therapeutic efficacy </w:t>
      </w:r>
      <w:r w:rsidR="00A212ED" w:rsidRPr="00951749">
        <w:rPr>
          <w:rFonts w:ascii="Times New Roman" w:eastAsiaTheme="minorHAnsi" w:hAnsi="Times New Roman"/>
          <w:sz w:val="24"/>
          <w:szCs w:val="24"/>
        </w:rPr>
        <w:fldChar w:fldCharType="begin"/>
      </w:r>
      <w:r w:rsidR="00F60EB8">
        <w:rPr>
          <w:rFonts w:ascii="Times New Roman" w:eastAsiaTheme="minorHAnsi" w:hAnsi="Times New Roman"/>
          <w:sz w:val="24"/>
          <w:szCs w:val="24"/>
        </w:rPr>
        <w:instrText xml:space="preserve"> ADDIN EN.CITE &lt;EndNote&gt;&lt;Cite&gt;&lt;Author&gt;Beg&lt;/Author&gt;&lt;Year&gt;2015&lt;/Year&gt;&lt;RecNum&gt;35&lt;/RecNum&gt;&lt;DisplayText&gt;[1, 2]&lt;/DisplayText&gt;&lt;record&gt;&lt;rec-number&gt;35&lt;/rec-number&gt;&lt;foreign-keys&gt;&lt;key app="EN" db-id="d2fpw0wedwsdaxe9rabxw0z4d55a0sze0xft"&gt;35&lt;/key&gt;&lt;/foreign-keys&gt;&lt;ref-type name="Journal Article"&gt;17&lt;/ref-type&gt;&lt;contributors&gt;&lt;authors&gt;&lt;author&gt;Beg, Sarwar&lt;/author&gt;&lt;author&gt;Sandhu, Premjeet Singh&lt;/author&gt;&lt;author&gt;Batra, Rattandeep Singh&lt;/author&gt;&lt;author&gt;Khurana, Rajneet Kaur&lt;/author&gt;&lt;author&gt;Singh, Bhupinder&lt;/author&gt;&lt;/authors&gt;&lt;/contributors&gt;&lt;titles&gt;&lt;title&gt;QbD-based systematic development of novel optimized solid self-nanoemulsifying drug delivery systems (SNEDDS) of lovastatin with enhanced biopharmaceutical performance&lt;/title&gt;&lt;secondary-title&gt;Drug delivery&lt;/secondary-title&gt;&lt;/titles&gt;&lt;periodical&gt;&lt;full-title&gt;Drug delivery&lt;/full-title&gt;&lt;/periodical&gt;&lt;pages&gt;765-784&lt;/pages&gt;&lt;volume&gt;22&lt;/volume&gt;&lt;number&gt;6&lt;/number&gt;&lt;dates&gt;&lt;year&gt;2015&lt;/year&gt;&lt;/dates&gt;&lt;isbn&gt;1071-7544&lt;/isbn&gt;&lt;urls&gt;&lt;/urls&gt;&lt;/record&gt;&lt;/Cite&gt;&lt;Cite&gt;&lt;Author&gt;Kuruba&lt;/Author&gt;&lt;Year&gt;2020&lt;/Year&gt;&lt;RecNum&gt;36&lt;/RecNum&gt;&lt;record&gt;&lt;rec-number&gt;36&lt;/rec-number&gt;&lt;foreign-keys&gt;&lt;key app="EN" db-id="d2fpw0wedwsdaxe9rabxw0z4d55a0sze0xft"&gt;36&lt;/key&gt;&lt;/foreign-keys&gt;&lt;ref-type name="Journal Article"&gt;17&lt;/ref-type&gt;&lt;contributors&gt;&lt;authors&gt;&lt;author&gt;Kuruba, Gowthami&lt;/author&gt;&lt;author&gt;Reddy, Kavitha Arenur Narayana&lt;/author&gt;&lt;author&gt;Poli, Samatha&lt;/author&gt;&lt;author&gt;Ramnarayanan, Chandramouli&lt;/author&gt;&lt;/authors&gt;&lt;/contributors&gt;&lt;titles&gt;&lt;title&gt;Quality by Design based development of Self Nano Emulsifying Drug Delivery System of Ritonavir&lt;/title&gt;&lt;secondary-title&gt;Journal of Young Pharmacists&lt;/secondary-title&gt;&lt;/titles&gt;&lt;periodical&gt;&lt;full-title&gt;Journal of Young Pharmacists&lt;/full-title&gt;&lt;/periodical&gt;&lt;pages&gt;215&lt;/pages&gt;&lt;volume&gt;12&lt;/volume&gt;&lt;number&gt;3&lt;/number&gt;&lt;dates&gt;&lt;year&gt;2020&lt;/year&gt;&lt;/dates&gt;&lt;isbn&gt;0975-1483&lt;/isbn&gt;&lt;urls&gt;&lt;/urls&gt;&lt;/record&gt;&lt;/Cite&gt;&lt;/EndNote&gt;</w:instrText>
      </w:r>
      <w:r w:rsidR="00A212ED" w:rsidRPr="00951749">
        <w:rPr>
          <w:rFonts w:ascii="Times New Roman" w:eastAsiaTheme="minorHAnsi" w:hAnsi="Times New Roman"/>
          <w:sz w:val="24"/>
          <w:szCs w:val="24"/>
        </w:rPr>
        <w:fldChar w:fldCharType="separate"/>
      </w:r>
      <w:r w:rsidR="00F60EB8">
        <w:rPr>
          <w:rFonts w:ascii="Times New Roman" w:eastAsiaTheme="minorHAnsi" w:hAnsi="Times New Roman"/>
          <w:noProof/>
          <w:sz w:val="24"/>
          <w:szCs w:val="24"/>
        </w:rPr>
        <w:t>[</w:t>
      </w:r>
      <w:hyperlink w:anchor="_ENREF_1" w:tooltip="Beg, 2015 #35" w:history="1">
        <w:r w:rsidR="00F60EB8">
          <w:rPr>
            <w:rFonts w:ascii="Times New Roman" w:eastAsiaTheme="minorHAnsi" w:hAnsi="Times New Roman"/>
            <w:noProof/>
            <w:sz w:val="24"/>
            <w:szCs w:val="24"/>
          </w:rPr>
          <w:t>1</w:t>
        </w:r>
      </w:hyperlink>
      <w:r w:rsidR="00F60EB8">
        <w:rPr>
          <w:rFonts w:ascii="Times New Roman" w:eastAsiaTheme="minorHAnsi" w:hAnsi="Times New Roman"/>
          <w:noProof/>
          <w:sz w:val="24"/>
          <w:szCs w:val="24"/>
        </w:rPr>
        <w:t xml:space="preserve">, </w:t>
      </w:r>
      <w:hyperlink w:anchor="_ENREF_2" w:tooltip="Kuruba, 2020 #36" w:history="1">
        <w:r w:rsidR="00F60EB8">
          <w:rPr>
            <w:rFonts w:ascii="Times New Roman" w:eastAsiaTheme="minorHAnsi" w:hAnsi="Times New Roman"/>
            <w:noProof/>
            <w:sz w:val="24"/>
            <w:szCs w:val="24"/>
          </w:rPr>
          <w:t>2</w:t>
        </w:r>
      </w:hyperlink>
      <w:r w:rsidR="00F60EB8">
        <w:rPr>
          <w:rFonts w:ascii="Times New Roman" w:eastAsiaTheme="minorHAnsi" w:hAnsi="Times New Roman"/>
          <w:noProof/>
          <w:sz w:val="24"/>
          <w:szCs w:val="24"/>
        </w:rPr>
        <w:t>]</w:t>
      </w:r>
      <w:r w:rsidR="00A212ED" w:rsidRPr="00951749">
        <w:rPr>
          <w:rFonts w:ascii="Times New Roman" w:eastAsiaTheme="minorHAnsi" w:hAnsi="Times New Roman"/>
          <w:sz w:val="24"/>
          <w:szCs w:val="24"/>
        </w:rPr>
        <w:fldChar w:fldCharType="end"/>
      </w:r>
      <w:r w:rsidRPr="00951749">
        <w:rPr>
          <w:rFonts w:ascii="Times New Roman" w:eastAsiaTheme="minorHAnsi" w:hAnsi="Times New Roman"/>
          <w:sz w:val="24"/>
          <w:szCs w:val="24"/>
        </w:rPr>
        <w:t xml:space="preserve">. Various key elements of QTPP, </w:t>
      </w:r>
      <w:r w:rsidRPr="00951749">
        <w:rPr>
          <w:rFonts w:ascii="Times New Roman" w:eastAsiaTheme="minorHAnsi" w:hAnsi="Times New Roman"/>
          <w:i/>
          <w:iCs/>
          <w:sz w:val="24"/>
          <w:szCs w:val="24"/>
        </w:rPr>
        <w:t xml:space="preserve">viz. </w:t>
      </w:r>
      <w:r w:rsidRPr="00951749">
        <w:rPr>
          <w:rFonts w:ascii="Times New Roman" w:eastAsiaTheme="minorHAnsi" w:hAnsi="Times New Roman"/>
          <w:sz w:val="24"/>
          <w:szCs w:val="24"/>
        </w:rPr>
        <w:t xml:space="preserve">dosage type and strength, its administration route, release profile, pharmacokinetics and stability requirements, are enlisted in </w:t>
      </w:r>
      <w:r w:rsidR="003031A8">
        <w:rPr>
          <w:rFonts w:ascii="Times New Roman" w:eastAsiaTheme="minorHAnsi" w:hAnsi="Times New Roman"/>
          <w:bCs/>
          <w:sz w:val="24"/>
          <w:szCs w:val="24"/>
        </w:rPr>
        <w:t>Table S1</w:t>
      </w:r>
      <w:r w:rsidRPr="00951749">
        <w:rPr>
          <w:rFonts w:ascii="Times New Roman" w:eastAsiaTheme="minorHAnsi" w:hAnsi="Times New Roman"/>
          <w:sz w:val="24"/>
          <w:szCs w:val="24"/>
        </w:rPr>
        <w:t xml:space="preserve">. </w:t>
      </w:r>
      <w:r w:rsidRPr="00951749">
        <w:rPr>
          <w:rFonts w:ascii="Times New Roman" w:eastAsiaTheme="minorHAnsi" w:hAnsi="Times New Roman"/>
          <w:bCs/>
          <w:sz w:val="24"/>
          <w:szCs w:val="24"/>
        </w:rPr>
        <w:t xml:space="preserve">Table </w:t>
      </w:r>
      <w:r w:rsidR="003031A8">
        <w:rPr>
          <w:rFonts w:ascii="Times New Roman" w:eastAsiaTheme="minorHAnsi" w:hAnsi="Times New Roman"/>
          <w:bCs/>
          <w:sz w:val="24"/>
          <w:szCs w:val="24"/>
        </w:rPr>
        <w:t>S</w:t>
      </w:r>
      <w:r w:rsidRPr="00951749">
        <w:rPr>
          <w:rFonts w:ascii="Times New Roman" w:eastAsiaTheme="minorHAnsi" w:hAnsi="Times New Roman"/>
          <w:bCs/>
          <w:sz w:val="24"/>
          <w:szCs w:val="24"/>
        </w:rPr>
        <w:t>2</w:t>
      </w:r>
      <w:r w:rsidR="003031A8">
        <w:rPr>
          <w:rFonts w:ascii="Times New Roman" w:eastAsiaTheme="minorHAnsi" w:hAnsi="Times New Roman"/>
          <w:bCs/>
          <w:sz w:val="24"/>
          <w:szCs w:val="24"/>
        </w:rPr>
        <w:t xml:space="preserve"> </w:t>
      </w:r>
      <w:r w:rsidRPr="00951749">
        <w:rPr>
          <w:rFonts w:ascii="Times New Roman" w:eastAsiaTheme="minorHAnsi" w:hAnsi="Times New Roman"/>
          <w:sz w:val="24"/>
          <w:szCs w:val="24"/>
        </w:rPr>
        <w:t>enumerates the various CQAs and the degree of their plausible influence on varied biopharmaceutical attrib</w:t>
      </w:r>
      <w:r w:rsidR="003031A8">
        <w:rPr>
          <w:rFonts w:ascii="Times New Roman" w:eastAsiaTheme="minorHAnsi" w:hAnsi="Times New Roman"/>
          <w:sz w:val="24"/>
          <w:szCs w:val="24"/>
        </w:rPr>
        <w:t xml:space="preserve">utes of the proposed </w:t>
      </w:r>
      <w:r w:rsidR="00D75102">
        <w:rPr>
          <w:rFonts w:ascii="Times New Roman" w:eastAsiaTheme="minorHAnsi" w:hAnsi="Times New Roman"/>
          <w:sz w:val="24"/>
          <w:szCs w:val="24"/>
        </w:rPr>
        <w:t>ATZ-SP-IM</w:t>
      </w:r>
      <w:r w:rsidRPr="00951749">
        <w:rPr>
          <w:rFonts w:ascii="Times New Roman" w:eastAsiaTheme="minorHAnsi" w:hAnsi="Times New Roman"/>
          <w:sz w:val="24"/>
          <w:szCs w:val="24"/>
        </w:rPr>
        <w: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An Ishikawa fishbone diagram was constructed by enlisting all the possible factors and delineating their likely influence on the drug product (Fig. </w:t>
      </w:r>
      <w:r w:rsidR="00460DDD">
        <w:rPr>
          <w:rFonts w:ascii="Times New Roman" w:eastAsiaTheme="minorHAnsi" w:hAnsi="Times New Roman"/>
          <w:sz w:val="24"/>
          <w:szCs w:val="24"/>
        </w:rPr>
        <w:t>S</w:t>
      </w:r>
      <w:r w:rsidRPr="00951749">
        <w:rPr>
          <w:rFonts w:ascii="Times New Roman" w:eastAsiaTheme="minorHAnsi" w:hAnsi="Times New Roman"/>
          <w:sz w:val="24"/>
          <w:szCs w:val="24"/>
        </w:rPr>
        <w:t>1</w:t>
      </w:r>
      <w:r w:rsidR="00460DDD">
        <w:rPr>
          <w:rFonts w:ascii="Times New Roman" w:eastAsiaTheme="minorHAnsi" w:hAnsi="Times New Roman"/>
          <w:sz w:val="24"/>
          <w:szCs w:val="24"/>
        </w:rPr>
        <w:t>)</w:t>
      </w:r>
      <w:r w:rsidRPr="00951749">
        <w:rPr>
          <w:rFonts w:ascii="Times New Roman" w:eastAsiaTheme="minorHAnsi" w:hAnsi="Times New Roman"/>
          <w:sz w:val="24"/>
          <w:szCs w:val="24"/>
        </w:rPr>
        <w:t xml:space="preserve">. Further, the risks associated with each of the factors involved were best evaluated using Failure Mode Effect Analysis (FMEA) by assigning these with varying levels of risk, from low, medium to high (Table </w:t>
      </w:r>
      <w:r w:rsidR="00902FB0">
        <w:rPr>
          <w:rFonts w:ascii="Times New Roman" w:eastAsiaTheme="minorHAnsi" w:hAnsi="Times New Roman"/>
          <w:sz w:val="24"/>
          <w:szCs w:val="24"/>
        </w:rPr>
        <w:t>S</w:t>
      </w:r>
      <w:r w:rsidRPr="00951749">
        <w:rPr>
          <w:rFonts w:ascii="Times New Roman" w:eastAsiaTheme="minorHAnsi" w:hAnsi="Times New Roman"/>
          <w:sz w:val="24"/>
          <w:szCs w:val="24"/>
        </w:rPr>
        <w:t xml:space="preserve">3) </w:t>
      </w:r>
      <w:r w:rsidR="00A212ED" w:rsidRPr="00951749">
        <w:rPr>
          <w:rFonts w:ascii="Times New Roman" w:eastAsiaTheme="minorHAnsi" w:hAnsi="Times New Roman"/>
          <w:sz w:val="24"/>
          <w:szCs w:val="24"/>
        </w:rPr>
        <w:fldChar w:fldCharType="begin"/>
      </w:r>
      <w:r w:rsidR="00F60EB8">
        <w:rPr>
          <w:rFonts w:ascii="Times New Roman" w:eastAsiaTheme="minorHAnsi" w:hAnsi="Times New Roman"/>
          <w:sz w:val="24"/>
          <w:szCs w:val="24"/>
        </w:rPr>
        <w:instrText xml:space="preserve"> ADDIN EN.CITE &lt;EndNote&gt;&lt;Cite&gt;&lt;Author&gt;Garg&lt;/Author&gt;&lt;Year&gt;2018&lt;/Year&gt;&lt;RecNum&gt;37&lt;/RecNum&gt;&lt;DisplayText&gt;[3, 4]&lt;/DisplayText&gt;&lt;record&gt;&lt;rec-number&gt;37&lt;/rec-number&gt;&lt;foreign-keys&gt;&lt;key app="EN" db-id="d2fpw0wedwsdaxe9rabxw0z4d55a0sze0xft"&gt;37&lt;/key&gt;&lt;/foreign-keys&gt;&lt;ref-type name="Journal Article"&gt;17&lt;/ref-type&gt;&lt;contributors&gt;&lt;authors&gt;&lt;author&gt;Garg, Babita&lt;/author&gt;&lt;author&gt;Beg, Sarwar&lt;/author&gt;&lt;author&gt;Kaur, Ranjot&lt;/author&gt;&lt;author&gt;Kumar, Rajendra&lt;/author&gt;&lt;author&gt;Katare, Om Prakash&lt;/author&gt;&lt;author&gt;Singh, Bhupinder&lt;/author&gt;&lt;/authors&gt;&lt;/contributors&gt;&lt;titles&gt;&lt;title&gt;Long-chain triglycerides-based self-nanoemulsifying oily formulations (SNEOFs) of darunavir with improved lymphatic targeting potential&lt;/title&gt;&lt;secondary-title&gt;Journal of drug targeting&lt;/secondary-title&gt;&lt;/titles&gt;&lt;periodical&gt;&lt;full-title&gt;Journal of drug targeting&lt;/full-title&gt;&lt;/periodical&gt;&lt;pages&gt;252-266&lt;/pages&gt;&lt;volume&gt;26&lt;/volume&gt;&lt;number&gt;3&lt;/number&gt;&lt;dates&gt;&lt;year&gt;2018&lt;/year&gt;&lt;/dates&gt;&lt;isbn&gt;1061-186X&lt;/isbn&gt;&lt;urls&gt;&lt;/urls&gt;&lt;/record&gt;&lt;/Cite&gt;&lt;Cite&gt;&lt;Author&gt;Kamboj&lt;/Author&gt;&lt;Year&gt;2019&lt;/Year&gt;&lt;RecNum&gt;38&lt;/RecNum&gt;&lt;record&gt;&lt;rec-number&gt;38&lt;/rec-number&gt;&lt;foreign-keys&gt;&lt;key app="EN" db-id="d2fpw0wedwsdaxe9rabxw0z4d55a0sze0xft"&gt;38&lt;/key&gt;&lt;/foreign-keys&gt;&lt;ref-type name="Journal Article"&gt;17&lt;/ref-type&gt;&lt;contributors&gt;&lt;authors&gt;&lt;author&gt;Kamboj, Sunil&lt;/author&gt;&lt;author&gt;Sethi, Sheshank&lt;/author&gt;&lt;author&gt;Rana, Vikas&lt;/author&gt;&lt;/authors&gt;&lt;/contributors&gt;&lt;titles&gt;&lt;title&gt;A spray dried nelfinavir mesylate particles for enhanced oral bioavailability: systematic formulation optimization and in-vivo performance&lt;/title&gt;&lt;secondary-title&gt;Colloids and Surfaces B: Biointerfaces&lt;/secondary-title&gt;&lt;/titles&gt;&lt;periodical&gt;&lt;full-title&gt;Colloids and Surfaces B: Biointerfaces&lt;/full-title&gt;&lt;/periodical&gt;&lt;pages&gt;288-299&lt;/pages&gt;&lt;volume&gt;176&lt;/volume&gt;&lt;dates&gt;&lt;year&gt;2019&lt;/year&gt;&lt;/dates&gt;&lt;isbn&gt;0927-7765&lt;/isbn&gt;&lt;urls&gt;&lt;/urls&gt;&lt;/record&gt;&lt;/Cite&gt;&lt;/EndNote&gt;</w:instrText>
      </w:r>
      <w:r w:rsidR="00A212ED" w:rsidRPr="00951749">
        <w:rPr>
          <w:rFonts w:ascii="Times New Roman" w:eastAsiaTheme="minorHAnsi" w:hAnsi="Times New Roman"/>
          <w:sz w:val="24"/>
          <w:szCs w:val="24"/>
        </w:rPr>
        <w:fldChar w:fldCharType="separate"/>
      </w:r>
      <w:r w:rsidR="00F60EB8">
        <w:rPr>
          <w:rFonts w:ascii="Times New Roman" w:eastAsiaTheme="minorHAnsi" w:hAnsi="Times New Roman"/>
          <w:noProof/>
          <w:sz w:val="24"/>
          <w:szCs w:val="24"/>
        </w:rPr>
        <w:t>[</w:t>
      </w:r>
      <w:hyperlink w:anchor="_ENREF_3" w:tooltip="Garg, 2018 #37" w:history="1">
        <w:r w:rsidR="00F60EB8">
          <w:rPr>
            <w:rFonts w:ascii="Times New Roman" w:eastAsiaTheme="minorHAnsi" w:hAnsi="Times New Roman"/>
            <w:noProof/>
            <w:sz w:val="24"/>
            <w:szCs w:val="24"/>
          </w:rPr>
          <w:t>3</w:t>
        </w:r>
      </w:hyperlink>
      <w:r w:rsidR="00F60EB8">
        <w:rPr>
          <w:rFonts w:ascii="Times New Roman" w:eastAsiaTheme="minorHAnsi" w:hAnsi="Times New Roman"/>
          <w:noProof/>
          <w:sz w:val="24"/>
          <w:szCs w:val="24"/>
        </w:rPr>
        <w:t xml:space="preserve">, </w:t>
      </w:r>
      <w:hyperlink w:anchor="_ENREF_4" w:tooltip="Kamboj, 2019 #38" w:history="1">
        <w:r w:rsidR="00F60EB8">
          <w:rPr>
            <w:rFonts w:ascii="Times New Roman" w:eastAsiaTheme="minorHAnsi" w:hAnsi="Times New Roman"/>
            <w:noProof/>
            <w:sz w:val="24"/>
            <w:szCs w:val="24"/>
          </w:rPr>
          <w:t>4</w:t>
        </w:r>
      </w:hyperlink>
      <w:r w:rsidR="00F60EB8">
        <w:rPr>
          <w:rFonts w:ascii="Times New Roman" w:eastAsiaTheme="minorHAnsi" w:hAnsi="Times New Roman"/>
          <w:noProof/>
          <w:sz w:val="24"/>
          <w:szCs w:val="24"/>
        </w:rPr>
        <w:t>]</w:t>
      </w:r>
      <w:r w:rsidR="00A212ED" w:rsidRPr="00951749">
        <w:rPr>
          <w:rFonts w:ascii="Times New Roman" w:eastAsiaTheme="minorHAnsi" w:hAnsi="Times New Roman"/>
          <w:sz w:val="24"/>
          <w:szCs w:val="24"/>
        </w:rPr>
        <w:fldChar w:fldCharType="end"/>
      </w:r>
      <w:r w:rsidRPr="00951749">
        <w:rPr>
          <w:rFonts w:ascii="Times New Roman" w:eastAsiaTheme="minorHAnsi" w:hAnsi="Times New Roman"/>
          <w:sz w:val="24"/>
          <w:szCs w:val="24"/>
        </w:rPr>
        <w:t>.</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i/>
          <w:iCs/>
          <w:sz w:val="24"/>
          <w:szCs w:val="24"/>
        </w:rPr>
      </w:pPr>
      <w:r w:rsidRPr="00951749">
        <w:rPr>
          <w:rFonts w:ascii="Times New Roman" w:eastAsiaTheme="minorHAnsi" w:hAnsi="Times New Roman"/>
          <w:b/>
          <w:bCs/>
          <w:i/>
          <w:iCs/>
          <w:sz w:val="24"/>
          <w:szCs w:val="24"/>
        </w:rPr>
        <w:t>Factor screening studies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Screening design helps in more precise identification of the critical material attributes MAs and PPs with the help of statistical analysis. Based on the high risk factors identified from the FMEA, factor screening study was done for optimizing the process parameter (temperature condition (60 or 80˚C)) required for solubilizing ATZ into </w:t>
      </w:r>
      <w:r w:rsidR="00D75102">
        <w:rPr>
          <w:rFonts w:ascii="Times New Roman" w:eastAsiaTheme="minorHAnsi" w:hAnsi="Times New Roman"/>
          <w:sz w:val="24"/>
          <w:szCs w:val="24"/>
        </w:rPr>
        <w:t>isotropic mixture (IM)</w:t>
      </w:r>
      <w:r w:rsidRPr="00951749">
        <w:rPr>
          <w:rFonts w:ascii="Times New Roman" w:eastAsiaTheme="minorHAnsi" w:hAnsi="Times New Roman"/>
          <w:sz w:val="24"/>
          <w:szCs w:val="24"/>
        </w:rPr>
        <w:t xml:space="preserve"> by utilizing triangular prism design. </w:t>
      </w:r>
      <w:r w:rsidRPr="00951749">
        <w:rPr>
          <w:rFonts w:ascii="Times New Roman" w:eastAsiaTheme="minorHAnsi" w:hAnsi="Times New Roman"/>
          <w:bCs/>
          <w:sz w:val="24"/>
          <w:szCs w:val="24"/>
        </w:rPr>
        <w:t xml:space="preserve">Table </w:t>
      </w:r>
      <w:r w:rsidR="00902FB0">
        <w:rPr>
          <w:rFonts w:ascii="Times New Roman" w:eastAsiaTheme="minorHAnsi" w:hAnsi="Times New Roman"/>
          <w:bCs/>
          <w:sz w:val="24"/>
          <w:szCs w:val="24"/>
        </w:rPr>
        <w:t>S</w:t>
      </w:r>
      <w:r w:rsidRPr="00951749">
        <w:rPr>
          <w:rFonts w:ascii="Times New Roman" w:eastAsiaTheme="minorHAnsi" w:hAnsi="Times New Roman"/>
          <w:bCs/>
          <w:sz w:val="24"/>
          <w:szCs w:val="24"/>
        </w:rPr>
        <w:t>4</w:t>
      </w:r>
      <w:r w:rsidRPr="00951749">
        <w:rPr>
          <w:rFonts w:ascii="Times New Roman" w:eastAsiaTheme="minorHAnsi" w:hAnsi="Times New Roman"/>
          <w:b/>
          <w:bCs/>
          <w:sz w:val="24"/>
          <w:szCs w:val="24"/>
        </w:rPr>
        <w:t xml:space="preserve"> </w:t>
      </w:r>
      <w:r w:rsidRPr="00951749">
        <w:rPr>
          <w:rFonts w:ascii="Times New Roman" w:eastAsiaTheme="minorHAnsi" w:hAnsi="Times New Roman"/>
          <w:sz w:val="24"/>
          <w:szCs w:val="24"/>
        </w:rPr>
        <w:t>summarizes the design matrix constructed as per the 3 numeric variables i.e. Oil (X</w:t>
      </w:r>
      <w:r w:rsidRPr="00951749">
        <w:rPr>
          <w:rFonts w:ascii="Times New Roman" w:eastAsiaTheme="minorHAnsi" w:hAnsi="Times New Roman"/>
          <w:sz w:val="24"/>
          <w:szCs w:val="24"/>
          <w:vertAlign w:val="subscript"/>
        </w:rPr>
        <w:t>1</w:t>
      </w:r>
      <w:r w:rsidRPr="00951749">
        <w:rPr>
          <w:rFonts w:ascii="Times New Roman" w:eastAsiaTheme="minorHAnsi" w:hAnsi="Times New Roman"/>
          <w:sz w:val="24"/>
          <w:szCs w:val="24"/>
        </w:rPr>
        <w:t>) (</w:t>
      </w:r>
      <w:r w:rsidR="00F11FA5">
        <w:rPr>
          <w:rFonts w:ascii="Times New Roman" w:eastAsiaTheme="minorHAnsi" w:hAnsi="Times New Roman"/>
          <w:sz w:val="24"/>
          <w:szCs w:val="24"/>
        </w:rPr>
        <w:t>0.1</w:t>
      </w:r>
      <w:r w:rsidRPr="00951749">
        <w:rPr>
          <w:rFonts w:ascii="Times New Roman" w:eastAsiaTheme="minorHAnsi" w:hAnsi="Times New Roman"/>
          <w:sz w:val="24"/>
          <w:szCs w:val="24"/>
        </w:rPr>
        <w:t>-</w:t>
      </w:r>
      <w:r w:rsidR="00F11FA5">
        <w:rPr>
          <w:rFonts w:ascii="Times New Roman" w:eastAsiaTheme="minorHAnsi" w:hAnsi="Times New Roman"/>
          <w:sz w:val="24"/>
          <w:szCs w:val="24"/>
        </w:rPr>
        <w:t>0.</w:t>
      </w:r>
      <w:r w:rsidRPr="00951749">
        <w:rPr>
          <w:rFonts w:ascii="Times New Roman" w:eastAsiaTheme="minorHAnsi" w:hAnsi="Times New Roman"/>
          <w:sz w:val="24"/>
          <w:szCs w:val="24"/>
        </w:rPr>
        <w:t>2</w:t>
      </w:r>
      <w:r w:rsidR="00F11FA5">
        <w:rPr>
          <w:rFonts w:ascii="Times New Roman" w:eastAsiaTheme="minorHAnsi" w:hAnsi="Times New Roman"/>
          <w:sz w:val="24"/>
          <w:szCs w:val="24"/>
        </w:rPr>
        <w:t xml:space="preserve"> g</w:t>
      </w:r>
      <w:r w:rsidRPr="00951749">
        <w:rPr>
          <w:rFonts w:ascii="Times New Roman" w:eastAsiaTheme="minorHAnsi" w:hAnsi="Times New Roman"/>
          <w:sz w:val="24"/>
          <w:szCs w:val="24"/>
        </w:rPr>
        <w:t>), Surfactant (X</w:t>
      </w:r>
      <w:r w:rsidRPr="00951749">
        <w:rPr>
          <w:rFonts w:ascii="Times New Roman" w:eastAsiaTheme="minorHAnsi" w:hAnsi="Times New Roman"/>
          <w:sz w:val="24"/>
          <w:szCs w:val="24"/>
          <w:vertAlign w:val="subscript"/>
        </w:rPr>
        <w:t>2</w:t>
      </w:r>
      <w:r w:rsidRPr="00951749">
        <w:rPr>
          <w:rFonts w:ascii="Times New Roman" w:eastAsiaTheme="minorHAnsi" w:hAnsi="Times New Roman"/>
          <w:sz w:val="24"/>
          <w:szCs w:val="24"/>
        </w:rPr>
        <w:t>) (</w:t>
      </w:r>
      <w:r w:rsidR="00F11FA5">
        <w:rPr>
          <w:rFonts w:ascii="Times New Roman" w:eastAsiaTheme="minorHAnsi" w:hAnsi="Times New Roman"/>
          <w:sz w:val="24"/>
          <w:szCs w:val="24"/>
        </w:rPr>
        <w:t>0.5</w:t>
      </w:r>
      <w:r w:rsidRPr="00951749">
        <w:rPr>
          <w:rFonts w:ascii="Times New Roman" w:eastAsiaTheme="minorHAnsi" w:hAnsi="Times New Roman"/>
          <w:sz w:val="24"/>
          <w:szCs w:val="24"/>
        </w:rPr>
        <w:t>-</w:t>
      </w:r>
      <w:r w:rsidR="00F11FA5">
        <w:rPr>
          <w:rFonts w:ascii="Times New Roman" w:eastAsiaTheme="minorHAnsi" w:hAnsi="Times New Roman"/>
          <w:sz w:val="24"/>
          <w:szCs w:val="24"/>
        </w:rPr>
        <w:t>0.6 g</w:t>
      </w:r>
      <w:r w:rsidRPr="00951749">
        <w:rPr>
          <w:rFonts w:ascii="Times New Roman" w:eastAsiaTheme="minorHAnsi" w:hAnsi="Times New Roman"/>
          <w:sz w:val="24"/>
          <w:szCs w:val="24"/>
        </w:rPr>
        <w:t>) and Co-Surfactant (X</w:t>
      </w:r>
      <w:r w:rsidRPr="00951749">
        <w:rPr>
          <w:rFonts w:ascii="Times New Roman" w:eastAsiaTheme="minorHAnsi" w:hAnsi="Times New Roman"/>
          <w:sz w:val="24"/>
          <w:szCs w:val="24"/>
          <w:vertAlign w:val="subscript"/>
        </w:rPr>
        <w:t>3</w:t>
      </w:r>
      <w:r w:rsidRPr="00951749">
        <w:rPr>
          <w:rFonts w:ascii="Times New Roman" w:eastAsiaTheme="minorHAnsi" w:hAnsi="Times New Roman"/>
          <w:sz w:val="24"/>
          <w:szCs w:val="24"/>
        </w:rPr>
        <w:t>) (</w:t>
      </w:r>
      <w:r w:rsidR="00F11FA5">
        <w:rPr>
          <w:rFonts w:ascii="Times New Roman" w:eastAsiaTheme="minorHAnsi" w:hAnsi="Times New Roman"/>
          <w:sz w:val="24"/>
          <w:szCs w:val="24"/>
        </w:rPr>
        <w:t>0.3</w:t>
      </w:r>
      <w:r w:rsidRPr="00951749">
        <w:rPr>
          <w:rFonts w:ascii="Times New Roman" w:eastAsiaTheme="minorHAnsi" w:hAnsi="Times New Roman"/>
          <w:sz w:val="24"/>
          <w:szCs w:val="24"/>
        </w:rPr>
        <w:t>-</w:t>
      </w:r>
      <w:r w:rsidR="00F11FA5">
        <w:rPr>
          <w:rFonts w:ascii="Times New Roman" w:eastAsiaTheme="minorHAnsi" w:hAnsi="Times New Roman"/>
          <w:sz w:val="24"/>
          <w:szCs w:val="24"/>
        </w:rPr>
        <w:t>0.</w:t>
      </w:r>
      <w:r w:rsidRPr="00951749">
        <w:rPr>
          <w:rFonts w:ascii="Times New Roman" w:eastAsiaTheme="minorHAnsi" w:hAnsi="Times New Roman"/>
          <w:sz w:val="24"/>
          <w:szCs w:val="24"/>
        </w:rPr>
        <w:t>4</w:t>
      </w:r>
      <w:r w:rsidR="00F11FA5">
        <w:rPr>
          <w:rFonts w:ascii="Times New Roman" w:eastAsiaTheme="minorHAnsi" w:hAnsi="Times New Roman"/>
          <w:sz w:val="24"/>
          <w:szCs w:val="24"/>
        </w:rPr>
        <w:t xml:space="preserve"> g</w:t>
      </w:r>
      <w:r w:rsidRPr="00951749">
        <w:rPr>
          <w:rFonts w:ascii="Times New Roman" w:eastAsiaTheme="minorHAnsi" w:hAnsi="Times New Roman"/>
          <w:sz w:val="24"/>
          <w:szCs w:val="24"/>
        </w:rPr>
        <w:t>) at 3 level and 1 categorical variable i.e. temperature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required for solubilizing ATZ (60 or 80˚C) at 2 level; 12-runs.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Briefly, the ATZ loaded </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were prepared by simple admixture method. An amount of ATZ (50 mg) was first dissolved in the weighed amount of propylene glycol (at 60 or 80˚C) by stirring on a magnetic stirrer. Subsequently, the weighed amount of Tween 80 and corn oil: oleic acid (1:1) was further added as per the design matrix to form </w:t>
      </w:r>
      <w:r w:rsidR="00D75102">
        <w:rPr>
          <w:rFonts w:ascii="Times New Roman" w:eastAsiaTheme="minorHAnsi" w:hAnsi="Times New Roman"/>
          <w:sz w:val="24"/>
          <w:szCs w:val="24"/>
        </w:rPr>
        <w:t>isotropic mixture</w:t>
      </w:r>
      <w:r w:rsidRPr="00951749">
        <w:rPr>
          <w:rFonts w:ascii="Times New Roman" w:eastAsiaTheme="minorHAnsi" w:hAnsi="Times New Roman"/>
          <w:sz w:val="24"/>
          <w:szCs w:val="24"/>
        </w:rPr>
        <w:t xml:space="preserve"> (Table </w:t>
      </w:r>
      <w:r w:rsidR="00902FB0">
        <w:rPr>
          <w:rFonts w:ascii="Times New Roman" w:eastAsiaTheme="minorHAnsi" w:hAnsi="Times New Roman"/>
          <w:sz w:val="24"/>
          <w:szCs w:val="24"/>
        </w:rPr>
        <w:t>S</w:t>
      </w:r>
      <w:r w:rsidRPr="00951749">
        <w:rPr>
          <w:rFonts w:ascii="Times New Roman" w:eastAsiaTheme="minorHAnsi" w:hAnsi="Times New Roman"/>
          <w:sz w:val="24"/>
          <w:szCs w:val="24"/>
        </w:rPr>
        <w:t>4).</w:t>
      </w:r>
    </w:p>
    <w:p w:rsidR="00763980" w:rsidRPr="00951749" w:rsidRDefault="00D75102" w:rsidP="00763980">
      <w:pPr>
        <w:autoSpaceDE w:val="0"/>
        <w:autoSpaceDN w:val="0"/>
        <w:adjustRightInd w:val="0"/>
        <w:spacing w:after="0" w:line="360" w:lineRule="auto"/>
        <w:jc w:val="both"/>
        <w:rPr>
          <w:rFonts w:ascii="Times New Roman" w:eastAsiaTheme="minorHAnsi" w:hAnsi="Times New Roman"/>
          <w:b/>
          <w:bCs/>
          <w:i/>
          <w:iCs/>
          <w:sz w:val="24"/>
          <w:szCs w:val="24"/>
        </w:rPr>
      </w:pPr>
      <w:r>
        <w:rPr>
          <w:rFonts w:ascii="Times New Roman" w:eastAsiaTheme="minorHAnsi" w:hAnsi="Times New Roman"/>
          <w:b/>
          <w:bCs/>
          <w:i/>
          <w:iCs/>
          <w:sz w:val="24"/>
          <w:szCs w:val="24"/>
        </w:rPr>
        <w:lastRenderedPageBreak/>
        <w:t xml:space="preserve">Characterization of the isotropic mixture </w:t>
      </w:r>
      <w:r w:rsidR="00763980" w:rsidRPr="00951749">
        <w:rPr>
          <w:rFonts w:ascii="Times New Roman" w:eastAsiaTheme="minorHAnsi" w:hAnsi="Times New Roman"/>
          <w:b/>
          <w:bCs/>
          <w:i/>
          <w:iCs/>
          <w:sz w:val="24"/>
          <w:szCs w:val="24"/>
        </w:rPr>
        <w:t>prepared as per screening design</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bCs/>
          <w:i/>
          <w:iCs/>
          <w:sz w:val="24"/>
          <w:szCs w:val="24"/>
        </w:rPr>
      </w:pPr>
      <w:r w:rsidRPr="00951749">
        <w:rPr>
          <w:rFonts w:ascii="Times New Roman" w:eastAsiaTheme="minorHAnsi" w:hAnsi="Times New Roman"/>
          <w:b/>
          <w:bCs/>
          <w:i/>
          <w:iCs/>
          <w:sz w:val="24"/>
          <w:szCs w:val="24"/>
        </w:rPr>
        <w:t>Determination of particle size (PS)(Y</w:t>
      </w:r>
      <w:r w:rsidRPr="00951749">
        <w:rPr>
          <w:rFonts w:ascii="Times New Roman" w:eastAsiaTheme="minorHAnsi" w:hAnsi="Times New Roman"/>
          <w:b/>
          <w:bCs/>
          <w:i/>
          <w:iCs/>
          <w:sz w:val="24"/>
          <w:szCs w:val="24"/>
          <w:vertAlign w:val="subscript"/>
        </w:rPr>
        <w:t>1</w:t>
      </w:r>
      <w:r w:rsidRPr="00951749">
        <w:rPr>
          <w:rFonts w:ascii="Times New Roman" w:eastAsiaTheme="minorHAnsi" w:hAnsi="Times New Roman"/>
          <w:b/>
          <w:bCs/>
          <w:i/>
          <w:iCs/>
          <w:sz w:val="24"/>
          <w:szCs w:val="24"/>
        </w:rPr>
        <w:t>) and poly dispersity index (PDI) (Y</w:t>
      </w:r>
      <w:r w:rsidRPr="00951749">
        <w:rPr>
          <w:rFonts w:ascii="Times New Roman" w:eastAsiaTheme="minorHAnsi" w:hAnsi="Times New Roman"/>
          <w:b/>
          <w:bCs/>
          <w:i/>
          <w:iCs/>
          <w:sz w:val="24"/>
          <w:szCs w:val="24"/>
          <w:vertAlign w:val="subscript"/>
        </w:rPr>
        <w:t>2</w:t>
      </w:r>
      <w:r w:rsidRPr="00951749">
        <w:rPr>
          <w:rFonts w:ascii="Times New Roman" w:eastAsiaTheme="minorHAnsi" w:hAnsi="Times New Roman"/>
          <w:b/>
          <w:bCs/>
          <w:i/>
          <w:iCs/>
          <w:sz w:val="24"/>
          <w:szCs w:val="24"/>
        </w:rPr>
        <w:t>)</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eastAsiaTheme="minorHAnsi" w:hAnsi="Times New Roman"/>
          <w:sz w:val="24"/>
          <w:szCs w:val="24"/>
        </w:rPr>
        <w:t xml:space="preserve">The </w:t>
      </w:r>
      <w:r w:rsidR="00BC602A" w:rsidRPr="00951749">
        <w:rPr>
          <w:rFonts w:ascii="Times New Roman" w:eastAsiaTheme="minorHAnsi" w:hAnsi="Times New Roman"/>
          <w:sz w:val="24"/>
          <w:szCs w:val="24"/>
        </w:rPr>
        <w:t>particle</w:t>
      </w:r>
      <w:r w:rsidRPr="00951749">
        <w:rPr>
          <w:rFonts w:ascii="Times New Roman" w:eastAsiaTheme="minorHAnsi" w:hAnsi="Times New Roman"/>
          <w:sz w:val="24"/>
          <w:szCs w:val="24"/>
        </w:rPr>
        <w:t xml:space="preserve"> size and PDI of the globules were determined after 100-fold dilution of the </w:t>
      </w:r>
      <w:r w:rsidR="00D75102">
        <w:rPr>
          <w:rFonts w:ascii="Times New Roman" w:eastAsiaTheme="minorHAnsi" w:hAnsi="Times New Roman"/>
          <w:sz w:val="24"/>
          <w:szCs w:val="24"/>
        </w:rPr>
        <w:t>isotropic mixture</w:t>
      </w:r>
      <w:r w:rsidRPr="00951749">
        <w:rPr>
          <w:rFonts w:ascii="Times New Roman" w:eastAsiaTheme="minorHAnsi" w:hAnsi="Times New Roman"/>
          <w:sz w:val="24"/>
          <w:szCs w:val="24"/>
        </w:rPr>
        <w:t xml:space="preserve"> pre-concentrates with 0.1N HCl at 25˚C. An aliquot (0.1 mL) of each formulation was taken for globule size analysis. </w:t>
      </w:r>
      <w:r w:rsidRPr="00951749">
        <w:rPr>
          <w:rFonts w:ascii="Times New Roman" w:hAnsi="Times New Roman"/>
          <w:sz w:val="24"/>
          <w:szCs w:val="24"/>
        </w:rPr>
        <w:t xml:space="preserve">Droplet size and PDI of the emulsion formed was studied using photon correlation spectroscopy (PCS) with the help of a Malvern Zetasizer (Malvern Instruments, UK, Zetasizer Nano ZS90)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&lt;EndNote&gt;&lt;Cite&gt;&lt;Author&gt;Wu&lt;/Author&gt;&lt;Year&gt;2006&lt;/Year&gt;&lt;RecNum&gt;39&lt;/RecNum&gt;&lt;DisplayText&gt;[5]&lt;/DisplayText&gt;&lt;record&gt;&lt;rec-number&gt;39&lt;/rec-number&gt;&lt;foreign-keys&gt;&lt;key app="EN" db-id="d2fpw0wedwsdaxe9rabxw0z4d55a0sze0xft"&gt;39&lt;/key&gt;&lt;/foreign-keys&gt;&lt;ref-type name="Journal Article"&gt;17&lt;/ref-type&gt;&lt;contributors&gt;&lt;authors&gt;&lt;author&gt;Wu, Wei&lt;/author&gt;&lt;author&gt;Wang, Yang&lt;/author&gt;&lt;author&gt;Que, Li&lt;/author&gt;&lt;/authors&gt;&lt;/contributors&gt;&lt;titles&gt;&lt;title&gt;Enhanced bioavailability of silymarin by self-microemulsifying drug delivery system&lt;/title&gt;&lt;secondary-title&gt;European journal of pharmaceutics and biopharmaceutics&lt;/secondary-title&gt;&lt;/titles&gt;&lt;periodical&gt;&lt;full-title&gt;European Journal of Pharmaceutics and Biopharmaceutics&lt;/full-title&gt;&lt;/periodical&gt;&lt;pages&gt;288-294&lt;/pages&gt;&lt;volume&gt;63&lt;/volume&gt;&lt;number&gt;3&lt;/number&gt;&lt;dates&gt;&lt;year&gt;2006&lt;/year&gt;&lt;/dates&gt;&lt;isbn&gt;0939-6411&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5" w:tooltip="Wu, 2006 #39" w:history="1">
        <w:r w:rsidR="00F60EB8">
          <w:rPr>
            <w:rFonts w:ascii="Times New Roman" w:hAnsi="Times New Roman"/>
            <w:noProof/>
            <w:sz w:val="24"/>
            <w:szCs w:val="24"/>
          </w:rPr>
          <w:t>5</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b/>
          <w:i/>
          <w:sz w:val="24"/>
          <w:szCs w:val="24"/>
        </w:rPr>
        <w:t>Percentage Transmittance (%T) (λ</w:t>
      </w:r>
      <w:r w:rsidRPr="00951749">
        <w:rPr>
          <w:rFonts w:ascii="Times New Roman" w:hAnsi="Times New Roman"/>
          <w:b/>
          <w:i/>
          <w:sz w:val="24"/>
          <w:szCs w:val="24"/>
          <w:vertAlign w:val="subscript"/>
        </w:rPr>
        <w:t>max</w:t>
      </w:r>
      <w:r w:rsidRPr="00951749">
        <w:rPr>
          <w:rFonts w:ascii="Times New Roman" w:hAnsi="Times New Roman"/>
          <w:b/>
          <w:i/>
          <w:sz w:val="24"/>
          <w:szCs w:val="24"/>
        </w:rPr>
        <w:t>, 560 nm) (Y</w:t>
      </w:r>
      <w:r w:rsidRPr="00951749">
        <w:rPr>
          <w:rFonts w:ascii="Times New Roman" w:hAnsi="Times New Roman"/>
          <w:b/>
          <w:i/>
          <w:sz w:val="24"/>
          <w:szCs w:val="24"/>
          <w:vertAlign w:val="subscript"/>
        </w:rPr>
        <w:t>3</w:t>
      </w:r>
      <w:r w:rsidRPr="00951749">
        <w:rPr>
          <w:rFonts w:ascii="Times New Roman" w:hAnsi="Times New Roman"/>
          <w:b/>
          <w:i/>
          <w:sz w:val="24"/>
          <w:szCs w:val="24"/>
        </w:rPr>
        <w:t>)</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sz w:val="24"/>
          <w:szCs w:val="24"/>
        </w:rPr>
        <w:t xml:space="preserve">An aliquot (0.1 mL) of </w:t>
      </w:r>
      <w:r w:rsidR="00D75102">
        <w:rPr>
          <w:rFonts w:ascii="Times New Roman" w:hAnsi="Times New Roman"/>
          <w:sz w:val="24"/>
          <w:szCs w:val="24"/>
        </w:rPr>
        <w:t>IM</w:t>
      </w:r>
      <w:r w:rsidRPr="00951749">
        <w:rPr>
          <w:rFonts w:ascii="Times New Roman" w:hAnsi="Times New Roman"/>
          <w:sz w:val="24"/>
          <w:szCs w:val="24"/>
        </w:rPr>
        <w:t xml:space="preserve"> pre-concentrates were diluted 100-folds with 0.1N HCl. Percentage transmittance were measured spectrophotometrically (Hitachi U-2900 spectrophotometer) at 560 nm using 0.1N HCl as a blank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&lt;EndNote&gt;&lt;Cite&gt;&lt;Author&gt;Bansode&lt;/Author&gt;&lt;Year&gt;2016&lt;/Year&gt;&lt;RecNum&gt;41&lt;/RecNum&gt;&lt;DisplayText&gt;[6]&lt;/DisplayText&gt;&lt;record&gt;&lt;rec-number&gt;41&lt;/rec-number&gt;&lt;foreign-keys&gt;&lt;key app="EN" db-id="d2fpw0wedwsdaxe9rabxw0z4d55a0sze0xft"&gt;41&lt;/key&gt;&lt;/foreign-keys&gt;&lt;ref-type name="Journal Article"&gt;17&lt;/ref-type&gt;&lt;contributors&gt;&lt;authors&gt;&lt;author&gt;Bansode, Sudhir T&lt;/author&gt;&lt;author&gt;Kshirsagar, Sanjay J&lt;/author&gt;&lt;author&gt;Madgulkar, Ashwini R&lt;/author&gt;&lt;author&gt;Bhalekar, Mangesh R&lt;/author&gt;&lt;author&gt;Bandivadekar, Mithun M&lt;/author&gt;&lt;/authors&gt;&lt;/contributors&gt;&lt;titles&gt;&lt;title&gt;Design and development of SMEDDS for colon-specific drug delivery&lt;/title&gt;&lt;secondary-title&gt;Drug development and industrial pharmacy&lt;/secondary-title&gt;&lt;/titles&gt;&lt;periodical&gt;&lt;full-title&gt;Drug development and industrial pharmacy&lt;/full-title&gt;&lt;/periodical&gt;&lt;pages&gt;611-623&lt;/pages&gt;&lt;volume&gt;42&lt;/volume&gt;&lt;number&gt;4&lt;/number&gt;&lt;dates&gt;&lt;year&gt;2016&lt;/year&gt;&lt;/dates&gt;&lt;isbn&gt;0363-9045&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6" w:tooltip="Bansode, 2016 #41" w:history="1">
        <w:r w:rsidR="00F60EB8">
          <w:rPr>
            <w:rFonts w:ascii="Times New Roman" w:hAnsi="Times New Roman"/>
            <w:noProof/>
            <w:sz w:val="24"/>
            <w:szCs w:val="24"/>
          </w:rPr>
          <w:t>6</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b/>
          <w:i/>
          <w:sz w:val="24"/>
          <w:szCs w:val="24"/>
        </w:rPr>
      </w:pPr>
      <w:r w:rsidRPr="00951749">
        <w:rPr>
          <w:rFonts w:ascii="Times New Roman" w:hAnsi="Times New Roman"/>
          <w:b/>
          <w:i/>
          <w:sz w:val="24"/>
          <w:szCs w:val="24"/>
        </w:rPr>
        <w:t>Drug Content (DC) (Y</w:t>
      </w:r>
      <w:r w:rsidRPr="00951749">
        <w:rPr>
          <w:rFonts w:ascii="Times New Roman" w:hAnsi="Times New Roman"/>
          <w:b/>
          <w:i/>
          <w:sz w:val="24"/>
          <w:szCs w:val="24"/>
          <w:vertAlign w:val="subscript"/>
        </w:rPr>
        <w:t>4</w:t>
      </w:r>
      <w:r w:rsidRPr="00951749">
        <w:rPr>
          <w:rFonts w:ascii="Times New Roman" w:hAnsi="Times New Roman"/>
          <w:b/>
          <w:i/>
          <w:sz w:val="24"/>
          <w:szCs w:val="24"/>
        </w:rPr>
        <w:t>)</w:t>
      </w:r>
    </w:p>
    <w:p w:rsidR="00D52F74"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 xml:space="preserve">To determine the drug content, ATZ loaded </w:t>
      </w:r>
      <w:r w:rsidR="00D75102">
        <w:rPr>
          <w:rFonts w:ascii="Times New Roman" w:hAnsi="Times New Roman"/>
          <w:sz w:val="24"/>
          <w:szCs w:val="24"/>
        </w:rPr>
        <w:t>IM</w:t>
      </w:r>
      <w:r w:rsidRPr="00951749">
        <w:rPr>
          <w:rFonts w:ascii="Times New Roman" w:hAnsi="Times New Roman"/>
          <w:sz w:val="24"/>
          <w:szCs w:val="24"/>
        </w:rPr>
        <w:t xml:space="preserve"> pre-concentrates equivalent to 5 mg was accurately weighed and dissolved in 10 mL of methanol. The samples were vortexed for 5 min for the complete solubilization of </w:t>
      </w:r>
      <w:r w:rsidR="00D75102">
        <w:rPr>
          <w:rFonts w:ascii="Times New Roman" w:hAnsi="Times New Roman"/>
          <w:sz w:val="24"/>
          <w:szCs w:val="24"/>
        </w:rPr>
        <w:t>IM</w:t>
      </w:r>
      <w:r w:rsidRPr="00951749">
        <w:rPr>
          <w:rFonts w:ascii="Times New Roman" w:hAnsi="Times New Roman"/>
          <w:sz w:val="24"/>
          <w:szCs w:val="24"/>
        </w:rPr>
        <w:t xml:space="preserve">, filtered by 0.45 µ membrane filter and analyzed by in house validated HPLC method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&lt;EndNote&gt;&lt;Cite&gt;&lt;Author&gt;Patel&lt;/Author&gt;&lt;Year&gt;2019&lt;/Year&gt;&lt;RecNum&gt;40&lt;/RecNum&gt;&lt;DisplayText&gt;[7]&lt;/DisplayText&gt;&lt;record&gt;&lt;rec-number&gt;40&lt;/rec-number&gt;&lt;foreign-keys&gt;&lt;key app="EN" db-id="d2fpw0wedwsdaxe9rabxw0z4d55a0sze0xft"&gt;40&lt;/key&gt;&lt;/foreign-keys&gt;&lt;ref-type name="Journal Article"&gt;17&lt;/ref-type&gt;&lt;contributors&gt;&lt;authors&gt;&lt;author&gt;Patel, Mitali H&lt;/author&gt;&lt;author&gt;Sawant, Krutika K&lt;/author&gt;&lt;/authors&gt;&lt;/contributors&gt;&lt;titles&gt;&lt;title&gt;Self microemulsifying drug delivery system of lurasidone hydrochloride for enhanced oral bioavailability by lymphatic targeting: in vitro, Caco-2 cell line and in vivo evaluation&lt;/title&gt;&lt;secondary-title&gt;European Journal of Pharmaceutical Sciences&lt;/secondary-title&gt;&lt;/titles&gt;&lt;periodical&gt;&lt;full-title&gt;European Journal of Pharmaceutical Sciences&lt;/full-title&gt;&lt;/periodical&gt;&lt;pages&gt;105027&lt;/pages&gt;&lt;volume&gt;138&lt;/volume&gt;&lt;dates&gt;&lt;year&gt;2019&lt;/year&gt;&lt;/dates&gt;&lt;isbn&gt;0928-0987&lt;/isbn&gt;&lt;urls&gt;&lt;/urls&gt;&lt;/record&gt;&lt;/Cite&gt;&lt;/EndNote&gt;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7" w:tooltip="Patel, 2019 #40" w:history="1">
        <w:r w:rsidR="00F60EB8">
          <w:rPr>
            <w:rFonts w:ascii="Times New Roman" w:hAnsi="Times New Roman"/>
            <w:noProof/>
            <w:sz w:val="24"/>
            <w:szCs w:val="24"/>
          </w:rPr>
          <w:t>7</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The experiment was conducted in triplicate (n = 3) and results were reported as mean ± S.D</w:t>
      </w:r>
      <w:r w:rsidRPr="00951749">
        <w:rPr>
          <w:rFonts w:ascii="Times New Roman" w:hAnsi="Times New Roman"/>
          <w:b/>
          <w:i/>
          <w:sz w:val="24"/>
          <w:szCs w:val="24"/>
        </w:rPr>
        <w:t>.</w:t>
      </w:r>
      <w:r w:rsidRPr="00951749">
        <w:rPr>
          <w:rFonts w:ascii="Times New Roman" w:hAnsi="Times New Roman"/>
          <w:sz w:val="24"/>
          <w:szCs w:val="24"/>
        </w:rPr>
        <w:t xml:space="preserve"> </w:t>
      </w:r>
    </w:p>
    <w:p w:rsidR="00763980" w:rsidRPr="00951749"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b/>
          <w:i/>
          <w:sz w:val="24"/>
          <w:szCs w:val="24"/>
        </w:rPr>
        <w:t xml:space="preserve"> Rheological studies</w:t>
      </w:r>
    </w:p>
    <w:p w:rsidR="00763980" w:rsidRPr="00951749" w:rsidRDefault="00763980" w:rsidP="00763980">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The changes in rheological behavior before and after a</w:t>
      </w:r>
      <w:r w:rsidR="00D75102">
        <w:rPr>
          <w:rFonts w:ascii="Times New Roman" w:hAnsi="Times New Roman"/>
          <w:sz w:val="24"/>
          <w:szCs w:val="24"/>
        </w:rPr>
        <w:t>ddition of ATZ and PPI into the</w:t>
      </w:r>
      <w:r w:rsidRPr="00951749">
        <w:rPr>
          <w:rFonts w:ascii="Times New Roman" w:hAnsi="Times New Roman"/>
          <w:sz w:val="24"/>
          <w:szCs w:val="24"/>
        </w:rPr>
        <w:t xml:space="preserve"> </w:t>
      </w:r>
      <w:r w:rsidR="00D75102">
        <w:rPr>
          <w:rFonts w:ascii="Times New Roman" w:hAnsi="Times New Roman"/>
          <w:sz w:val="24"/>
          <w:szCs w:val="24"/>
        </w:rPr>
        <w:t xml:space="preserve">IM </w:t>
      </w:r>
      <w:r w:rsidRPr="00951749">
        <w:rPr>
          <w:rFonts w:ascii="Times New Roman" w:hAnsi="Times New Roman"/>
          <w:sz w:val="24"/>
          <w:szCs w:val="24"/>
        </w:rPr>
        <w:t>was studied using MCR-52 Rheometer (Anton Paar, Germany); parallel plate geometery PP50 (50 mm diameter) with a 0.5 mm measuring gap. The temperature of the sample was maintained by Anton Paar, peltier system. The shear rate sweep was conducted using a continuous ramp from 0.1-100 s</w:t>
      </w:r>
      <w:r w:rsidRPr="00951749">
        <w:rPr>
          <w:rFonts w:ascii="Times New Roman" w:hAnsi="Times New Roman"/>
          <w:sz w:val="24"/>
          <w:szCs w:val="24"/>
          <w:vertAlign w:val="superscript"/>
        </w:rPr>
        <w:t>-1</w:t>
      </w:r>
      <w:r w:rsidRPr="00951749">
        <w:rPr>
          <w:rFonts w:ascii="Times New Roman" w:hAnsi="Times New Roman"/>
          <w:sz w:val="24"/>
          <w:szCs w:val="24"/>
        </w:rPr>
        <w:t xml:space="preserve"> while keeping the temperature of sample at 25°C. All measurements were performed in triplicates. The shear flow curves obtained in steady shear analysis were analyzed using different flow models such as Power law, Herschel-Bulkley, Casson and Bingham model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&lt;EndNote&gt;&lt;Cite&gt;&lt;Author&gt;Sharma&lt;/Author&gt;&lt;Year&gt;2017&lt;/Year&gt;&lt;RecNum&gt;55&lt;/RecNum&gt;&lt;DisplayText&gt;[8]&lt;/DisplayText&gt;&lt;record&gt;&lt;rec-number&gt;55&lt;/rec-number&gt;&lt;foreign-keys&gt;&lt;key app="EN" db-id="d2fpw0wedwsdaxe9rabxw0z4d55a0sze0xft"&gt;55&lt;/key&gt;&lt;/foreign-keys&gt;&lt;ref-type name="Journal Article"&gt;17&lt;/ref-type&gt;&lt;contributors&gt;&lt;authors&gt;&lt;author&gt;Sharma, Radhika&lt;/author&gt;&lt;author&gt;Rana, Vikas&lt;/author&gt;&lt;/authors&gt;&lt;/contributors&gt;&lt;titles&gt;&lt;title&gt;Effect of carboxymethylation on rheological and drug release characteristics of Terminalia catappa gum&lt;/title&gt;&lt;secondary-title&gt;Carbohydrate polymers&lt;/secondary-title&gt;&lt;/titles&gt;&lt;periodical&gt;&lt;full-title&gt;Carbohydrate polymers&lt;/full-title&gt;&lt;/periodical&gt;&lt;pages&gt;728-738&lt;/pages&gt;&lt;volume&gt;175&lt;/volume&gt;&lt;dates&gt;&lt;year&gt;2017&lt;/year&gt;&lt;/dates&gt;&lt;isbn&gt;0144-8617&lt;/isbn&gt;&lt;urls&gt;&lt;/urls&gt;&lt;/record&gt;&lt;/Cite&gt;&lt;/EndNote&gt;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8" w:tooltip="Sharma, 2017 #55" w:history="1">
        <w:r w:rsidR="00F60EB8">
          <w:rPr>
            <w:rFonts w:ascii="Times New Roman" w:hAnsi="Times New Roman"/>
            <w:noProof/>
            <w:sz w:val="24"/>
            <w:szCs w:val="24"/>
          </w:rPr>
          <w:t>8</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The effect of temperature on the flow characteristics was also observed by carrying out temperature sweep test. The test was carried out in a range from 0˚C to 40˚C at a shear rate of 50 s</w:t>
      </w:r>
      <w:r w:rsidRPr="00951749">
        <w:rPr>
          <w:rFonts w:ascii="Times New Roman" w:hAnsi="Times New Roman"/>
          <w:sz w:val="24"/>
          <w:szCs w:val="24"/>
          <w:vertAlign w:val="superscript"/>
        </w:rPr>
        <w:t>-1</w:t>
      </w:r>
      <w:r w:rsidRPr="00951749">
        <w:rPr>
          <w:rFonts w:ascii="Times New Roman" w:hAnsi="Times New Roman"/>
          <w:sz w:val="24"/>
          <w:szCs w:val="24"/>
        </w:rPr>
        <w:t xml:space="preserve"> according to the arrhenious mode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&lt;EndNote&gt;&lt;Cite&gt;&lt;Author&gt;Kamboj&lt;/Author&gt;&lt;Year&gt;2018&lt;/Year&gt;&lt;RecNum&gt;54&lt;/RecNum&gt;&lt;DisplayText&gt;[9]&lt;/DisplayText&gt;&lt;record&gt;&lt;rec-number&gt;54&lt;/rec-number&gt;&lt;foreign-keys&gt;&lt;key app="EN" db-id="d2fpw0wedwsdaxe9rabxw0z4d55a0sze0xft"&gt;54&lt;/key&gt;&lt;/foreign-keys&gt;&lt;ref-type name="Journal Article"&gt;17&lt;/ref-type&gt;&lt;contributors&gt;&lt;authors&gt;&lt;author&gt;Kamboj, Sunil&lt;/author&gt;&lt;author&gt;Sethi, Sheshank&lt;/author&gt;&lt;author&gt;Rana, Vikas&lt;/author&gt;&lt;/authors&gt;&lt;/contributors&gt;&lt;titles&gt;&lt;title&gt;Lipid based delivery of Efavirenz: an answer to its erratic absorption and food effect&lt;/title&gt;&lt;secondary-title&gt;European Journal of Pharmaceutical Sciences&lt;/secondary-title&gt;&lt;/titles&gt;&lt;periodical&gt;&lt;full-title&gt;European Journal of Pharmaceutical Sciences&lt;/full-title&gt;&lt;/periodical&gt;&lt;pages&gt;199-216&lt;/pages&gt;&lt;volume&gt;123&lt;/volume&gt;&lt;dates&gt;&lt;year&gt;2018&lt;/year&gt;&lt;/dates&gt;&lt;isbn&gt;0928-0987&lt;/isbn&gt;&lt;urls&gt;&lt;/urls&gt;&lt;/record&gt;&lt;/Cite&gt;&lt;/EndNote&gt;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9" w:tooltip="Kamboj, 2018 #54" w:history="1">
        <w:r w:rsidR="00F60EB8">
          <w:rPr>
            <w:rFonts w:ascii="Times New Roman" w:hAnsi="Times New Roman"/>
            <w:noProof/>
            <w:sz w:val="24"/>
            <w:szCs w:val="24"/>
          </w:rPr>
          <w:t>9</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xml:space="preserve">.  </w:t>
      </w:r>
    </w:p>
    <w:p w:rsidR="00D52F74" w:rsidRDefault="00D52F74" w:rsidP="00763980">
      <w:pPr>
        <w:autoSpaceDE w:val="0"/>
        <w:autoSpaceDN w:val="0"/>
        <w:adjustRightInd w:val="0"/>
        <w:spacing w:after="0" w:line="360" w:lineRule="auto"/>
        <w:jc w:val="both"/>
        <w:rPr>
          <w:rFonts w:ascii="Times New Roman" w:eastAsiaTheme="minorHAnsi" w:hAnsi="Times New Roman"/>
          <w:b/>
          <w:sz w:val="24"/>
          <w:szCs w:val="24"/>
        </w:rPr>
      </w:pPr>
      <w:r>
        <w:rPr>
          <w:rFonts w:ascii="Times New Roman" w:eastAsiaTheme="minorHAnsi" w:hAnsi="Times New Roman"/>
          <w:b/>
          <w:sz w:val="24"/>
          <w:szCs w:val="24"/>
        </w:rPr>
        <w:t>Result and Discussion</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sz w:val="24"/>
          <w:szCs w:val="24"/>
        </w:rPr>
      </w:pPr>
      <w:r w:rsidRPr="00951749">
        <w:rPr>
          <w:rFonts w:ascii="Times New Roman" w:eastAsiaTheme="minorHAnsi" w:hAnsi="Times New Roman"/>
          <w:b/>
          <w:sz w:val="24"/>
          <w:szCs w:val="24"/>
        </w:rPr>
        <w:lastRenderedPageBreak/>
        <w:t>Risk assessment study</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Fig. </w:t>
      </w:r>
      <w:r w:rsidR="00172AC5">
        <w:rPr>
          <w:rFonts w:ascii="Times New Roman" w:eastAsiaTheme="minorHAnsi" w:hAnsi="Times New Roman"/>
          <w:sz w:val="24"/>
          <w:szCs w:val="24"/>
        </w:rPr>
        <w:t>S</w:t>
      </w:r>
      <w:r w:rsidRPr="00951749">
        <w:rPr>
          <w:rFonts w:ascii="Times New Roman" w:eastAsiaTheme="minorHAnsi" w:hAnsi="Times New Roman"/>
          <w:sz w:val="24"/>
          <w:szCs w:val="24"/>
        </w:rPr>
        <w:t>1 data represents the Ishikawa fish-bone diagram for the development of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xml:space="preserve"> depicting the cause-and-effect relationship among the potential formulation and process variables considerably affecting the performance of drug product.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2 illustrates the rationale justification of the critical quality attributes (CQAs) involved in formulating ATZ loaded S</w:t>
      </w:r>
      <w:r w:rsidR="00D75102">
        <w:rPr>
          <w:rFonts w:ascii="Times New Roman" w:eastAsiaTheme="minorHAnsi" w:hAnsi="Times New Roman"/>
          <w:sz w:val="24"/>
          <w:szCs w:val="24"/>
        </w:rPr>
        <w:t>P</w:t>
      </w:r>
      <w:r w:rsidRPr="00951749">
        <w:rPr>
          <w:rFonts w:ascii="Times New Roman" w:eastAsiaTheme="minorHAnsi" w:hAnsi="Times New Roman"/>
          <w:sz w:val="24"/>
          <w:szCs w:val="24"/>
        </w:rPr>
        <w:t>-</w:t>
      </w:r>
      <w:r w:rsidR="00D75102">
        <w:rPr>
          <w:rFonts w:ascii="Times New Roman" w:eastAsiaTheme="minorHAnsi" w:hAnsi="Times New Roman"/>
          <w:sz w:val="24"/>
          <w:szCs w:val="24"/>
        </w:rPr>
        <w:t>IM</w:t>
      </w:r>
      <w:r w:rsidRPr="00951749">
        <w:rPr>
          <w:rFonts w:ascii="Times New Roman" w:eastAsiaTheme="minorHAnsi" w:hAnsi="Times New Roman"/>
          <w:sz w:val="24"/>
          <w:szCs w:val="24"/>
        </w:rPr>
        <w:t>. Further, failure mode &amp; effect analysis (FMEA) was carried out to screen the material attributes and process parameters on the basis of risk prior</w:t>
      </w:r>
      <w:r w:rsidR="00172AC5">
        <w:rPr>
          <w:rFonts w:ascii="Times New Roman" w:eastAsiaTheme="minorHAnsi" w:hAnsi="Times New Roman"/>
          <w:sz w:val="24"/>
          <w:szCs w:val="24"/>
        </w:rPr>
        <w:t>ity number (RPN) score (Table S3</w:t>
      </w:r>
      <w:r w:rsidRPr="00951749">
        <w:rPr>
          <w:rFonts w:ascii="Times New Roman" w:eastAsiaTheme="minorHAnsi" w:hAnsi="Times New Roman"/>
          <w:sz w:val="24"/>
          <w:szCs w:val="24"/>
        </w:rPr>
        <w:t>). The aforementioned tool has suggested that four factors namely concentration of oil, surfactant, co-surfactant and the temperature required for solubilizing the ATZ were found to be highly critical owing to the high risk associated with them on CQAs. While, the other process parameters involving medium risk were kept constant throughout the study.</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b/>
          <w:sz w:val="24"/>
          <w:szCs w:val="24"/>
        </w:rPr>
      </w:pPr>
      <w:r w:rsidRPr="00951749">
        <w:rPr>
          <w:rFonts w:ascii="Times New Roman" w:eastAsiaTheme="minorHAnsi" w:hAnsi="Times New Roman"/>
          <w:b/>
          <w:sz w:val="24"/>
          <w:szCs w:val="24"/>
        </w:rPr>
        <w:t>Factor screening studies</w:t>
      </w:r>
    </w:p>
    <w:p w:rsidR="00763980" w:rsidRPr="00951749" w:rsidRDefault="00763980" w:rsidP="00763980">
      <w:pPr>
        <w:autoSpaceDE w:val="0"/>
        <w:autoSpaceDN w:val="0"/>
        <w:adjustRightInd w:val="0"/>
        <w:spacing w:after="0" w:line="360" w:lineRule="auto"/>
        <w:jc w:val="both"/>
        <w:rPr>
          <w:rFonts w:ascii="Times New Roman" w:eastAsiaTheme="minorHAnsi" w:hAnsi="Times New Roman"/>
          <w:sz w:val="24"/>
          <w:szCs w:val="24"/>
        </w:rPr>
      </w:pPr>
      <w:r w:rsidRPr="00951749">
        <w:rPr>
          <w:rFonts w:ascii="Times New Roman" w:eastAsiaTheme="minorHAnsi" w:hAnsi="Times New Roman"/>
          <w:sz w:val="24"/>
          <w:szCs w:val="24"/>
        </w:rPr>
        <w:t xml:space="preserve">The factor screening studies were carried out on the material attributes and the process parameters involving high risk by employing triangular prism design. The purpose of triangular prism design was to identify the significant main effects, rather than any interaction effects. As per the design matrix, each point on a triangular face representing a given temperature, can be defined in terms of its composition as a mixture of oil, surfactant and co-surfactant or alternatively as a mixture of the 3 pseudo components which have the mixture composition for each vertex of the simplex. Therefore, we wish to achieve a predictive screening model for the solubility of ATZ in components within this space. Thus, 12 formulations were prepared and were evaluated for various critical response variables (CQAs) namely % transmittance, particle size, drug content (indicates solubility of ATZ) and PDI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 xml:space="preserve">4). The multiple linear regression analysis (MLR) was carried for all critical response variables to find out the intercept and coefficient for different response variables (Table </w:t>
      </w:r>
      <w:r w:rsidR="00172AC5">
        <w:rPr>
          <w:rFonts w:ascii="Times New Roman" w:eastAsiaTheme="minorHAnsi" w:hAnsi="Times New Roman"/>
          <w:sz w:val="24"/>
          <w:szCs w:val="24"/>
        </w:rPr>
        <w:t>S</w:t>
      </w:r>
      <w:r w:rsidRPr="00951749">
        <w:rPr>
          <w:rFonts w:ascii="Times New Roman" w:eastAsiaTheme="minorHAnsi" w:hAnsi="Times New Roman"/>
          <w:sz w:val="24"/>
          <w:szCs w:val="24"/>
        </w:rPr>
        <w:t>5). The outcome of MLR suggesting the positive effect of variable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xml:space="preserve"> in affecting the drug content, % Transmittance and PDI of ATZ loaded </w:t>
      </w:r>
      <w:r w:rsidR="005A626C">
        <w:rPr>
          <w:rFonts w:ascii="Times New Roman" w:eastAsiaTheme="minorHAnsi" w:hAnsi="Times New Roman"/>
          <w:sz w:val="24"/>
          <w:szCs w:val="24"/>
        </w:rPr>
        <w:t>IM</w:t>
      </w:r>
      <w:r w:rsidRPr="00951749">
        <w:rPr>
          <w:rFonts w:ascii="Times New Roman" w:eastAsiaTheme="minorHAnsi" w:hAnsi="Times New Roman"/>
          <w:sz w:val="24"/>
          <w:szCs w:val="24"/>
        </w:rPr>
        <w:t>. However, no significant influence of Z</w:t>
      </w:r>
      <w:r w:rsidRPr="00951749">
        <w:rPr>
          <w:rFonts w:ascii="Times New Roman" w:eastAsiaTheme="minorHAnsi" w:hAnsi="Times New Roman"/>
          <w:sz w:val="24"/>
          <w:szCs w:val="24"/>
          <w:vertAlign w:val="subscript"/>
        </w:rPr>
        <w:t>4</w:t>
      </w:r>
      <w:r w:rsidRPr="00951749">
        <w:rPr>
          <w:rFonts w:ascii="Times New Roman" w:eastAsiaTheme="minorHAnsi" w:hAnsi="Times New Roman"/>
          <w:sz w:val="24"/>
          <w:szCs w:val="24"/>
        </w:rPr>
        <w:t xml:space="preserve"> was observed on particle size while keeping other factors of simplex constant. Further, it was observed that to achieve higher CQAs (transmittance and drug content) and lowest particle size and PDI, solubilization of ATZ into oils, surfactant and co-surfactant at 80˚C was a crucial step. Therefore, maintaining 80˚C temperature has been screened for the preparation of ATZ loaded </w:t>
      </w:r>
      <w:r w:rsidR="005A626C">
        <w:rPr>
          <w:rFonts w:ascii="Times New Roman" w:eastAsiaTheme="minorHAnsi" w:hAnsi="Times New Roman"/>
          <w:sz w:val="24"/>
          <w:szCs w:val="24"/>
        </w:rPr>
        <w:t>IM</w:t>
      </w:r>
      <w:r w:rsidRPr="00951749">
        <w:rPr>
          <w:rFonts w:ascii="Times New Roman" w:eastAsiaTheme="minorHAnsi" w:hAnsi="Times New Roman"/>
          <w:sz w:val="24"/>
          <w:szCs w:val="24"/>
        </w:rPr>
        <w:t xml:space="preserve">. The screened formulation </w:t>
      </w:r>
      <w:r w:rsidRPr="00951749">
        <w:rPr>
          <w:rFonts w:ascii="Times New Roman" w:eastAsiaTheme="minorHAnsi" w:hAnsi="Times New Roman"/>
          <w:sz w:val="24"/>
          <w:szCs w:val="24"/>
        </w:rPr>
        <w:lastRenderedPageBreak/>
        <w:t>from the combined optimal design has been taken further in the optimization design. While, the process parameters bearing medium risk has been kept constant throughout the study.</w:t>
      </w:r>
    </w:p>
    <w:p w:rsidR="0050295B" w:rsidRPr="00951749" w:rsidRDefault="0050295B" w:rsidP="0050295B">
      <w:pPr>
        <w:autoSpaceDE w:val="0"/>
        <w:autoSpaceDN w:val="0"/>
        <w:adjustRightInd w:val="0"/>
        <w:spacing w:after="0" w:line="360" w:lineRule="auto"/>
        <w:jc w:val="both"/>
        <w:rPr>
          <w:rFonts w:ascii="Times New Roman" w:eastAsiaTheme="minorHAnsi" w:hAnsi="Times New Roman"/>
          <w:b/>
          <w:i/>
          <w:sz w:val="24"/>
          <w:szCs w:val="24"/>
        </w:rPr>
      </w:pPr>
      <w:r w:rsidRPr="00951749">
        <w:rPr>
          <w:rFonts w:ascii="Times New Roman" w:eastAsiaTheme="minorHAnsi" w:hAnsi="Times New Roman"/>
          <w:b/>
          <w:i/>
          <w:sz w:val="24"/>
          <w:szCs w:val="24"/>
        </w:rPr>
        <w:t>Rheological studies</w:t>
      </w:r>
    </w:p>
    <w:p w:rsidR="0050295B" w:rsidRPr="00951749" w:rsidRDefault="0050295B" w:rsidP="0050295B">
      <w:pPr>
        <w:autoSpaceDE w:val="0"/>
        <w:autoSpaceDN w:val="0"/>
        <w:adjustRightInd w:val="0"/>
        <w:spacing w:after="0" w:line="360" w:lineRule="auto"/>
        <w:jc w:val="both"/>
        <w:rPr>
          <w:rFonts w:ascii="Times New Roman" w:hAnsi="Times New Roman"/>
          <w:sz w:val="24"/>
          <w:szCs w:val="24"/>
        </w:rPr>
      </w:pPr>
      <w:r w:rsidRPr="00951749">
        <w:rPr>
          <w:rFonts w:ascii="Times New Roman" w:hAnsi="Times New Roman"/>
          <w:sz w:val="24"/>
          <w:szCs w:val="24"/>
        </w:rPr>
        <w:t>The rheolog</w:t>
      </w:r>
      <w:r w:rsidR="005A626C">
        <w:rPr>
          <w:rFonts w:ascii="Times New Roman" w:hAnsi="Times New Roman"/>
          <w:sz w:val="24"/>
          <w:szCs w:val="24"/>
        </w:rPr>
        <w:t>ical performance of blank IM</w:t>
      </w:r>
      <w:r w:rsidRPr="00951749">
        <w:rPr>
          <w:rFonts w:ascii="Times New Roman" w:hAnsi="Times New Roman"/>
          <w:sz w:val="24"/>
          <w:szCs w:val="24"/>
        </w:rPr>
        <w:t xml:space="preserv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ATZ loaded </w:t>
      </w:r>
      <w:r w:rsidR="005A626C">
        <w:rPr>
          <w:rFonts w:ascii="Times New Roman" w:hAnsi="Times New Roman"/>
          <w:sz w:val="24"/>
          <w:szCs w:val="24"/>
        </w:rPr>
        <w:t>IM</w:t>
      </w:r>
      <w:r w:rsidRPr="00951749">
        <w:rPr>
          <w:rFonts w:ascii="Times New Roman" w:hAnsi="Times New Roman"/>
          <w:sz w:val="24"/>
          <w:szCs w:val="24"/>
        </w:rPr>
        <w:t xml:space="preserve"> (F</w:t>
      </w:r>
      <w:r w:rsidRPr="00951749">
        <w:rPr>
          <w:rFonts w:ascii="Times New Roman" w:hAnsi="Times New Roman"/>
          <w:sz w:val="24"/>
          <w:szCs w:val="24"/>
          <w:vertAlign w:val="subscript"/>
        </w:rPr>
        <w:t>1</w:t>
      </w:r>
      <w:r w:rsidRPr="00951749">
        <w:rPr>
          <w:rFonts w:ascii="Times New Roman" w:hAnsi="Times New Roman"/>
          <w:sz w:val="24"/>
          <w:szCs w:val="24"/>
        </w:rPr>
        <w:t>), S</w:t>
      </w:r>
      <w:r w:rsidR="005A626C">
        <w:rPr>
          <w:rFonts w:ascii="Times New Roman" w:hAnsi="Times New Roman"/>
          <w:sz w:val="24"/>
          <w:szCs w:val="24"/>
        </w:rPr>
        <w:t>P</w:t>
      </w:r>
      <w:r w:rsidRPr="00951749">
        <w:rPr>
          <w:rFonts w:ascii="Times New Roman" w:hAnsi="Times New Roman"/>
          <w:sz w:val="24"/>
          <w:szCs w:val="24"/>
        </w:rPr>
        <w:t>-</w:t>
      </w:r>
      <w:r w:rsidR="005A626C">
        <w:rPr>
          <w:rFonts w:ascii="Times New Roman" w:hAnsi="Times New Roman"/>
          <w:sz w:val="24"/>
          <w:szCs w:val="24"/>
        </w:rPr>
        <w:t>IM</w:t>
      </w:r>
      <w:r w:rsidRPr="00951749">
        <w:rPr>
          <w:rFonts w:ascii="Times New Roman" w:hAnsi="Times New Roman"/>
          <w:sz w:val="24"/>
          <w:szCs w:val="24"/>
        </w:rPr>
        <w:t xml:space="preserve"> without ATZ (Blank F</w:t>
      </w:r>
      <w:r w:rsidRPr="00951749">
        <w:rPr>
          <w:rFonts w:ascii="Times New Roman" w:hAnsi="Times New Roman"/>
          <w:sz w:val="24"/>
          <w:szCs w:val="24"/>
          <w:vertAlign w:val="subscript"/>
        </w:rPr>
        <w:t>ss</w:t>
      </w:r>
      <w:r w:rsidRPr="00951749">
        <w:rPr>
          <w:rFonts w:ascii="Times New Roman" w:hAnsi="Times New Roman"/>
          <w:sz w:val="24"/>
          <w:szCs w:val="24"/>
        </w:rPr>
        <w:t>) and ATZ loaded S</w:t>
      </w:r>
      <w:r w:rsidR="005A626C">
        <w:rPr>
          <w:rFonts w:ascii="Times New Roman" w:hAnsi="Times New Roman"/>
          <w:sz w:val="24"/>
          <w:szCs w:val="24"/>
        </w:rPr>
        <w:t>P</w:t>
      </w:r>
      <w:r w:rsidRPr="00951749">
        <w:rPr>
          <w:rFonts w:ascii="Times New Roman" w:hAnsi="Times New Roman"/>
          <w:sz w:val="24"/>
          <w:szCs w:val="24"/>
        </w:rPr>
        <w:t>-</w:t>
      </w:r>
      <w:r w:rsidR="005A626C">
        <w:rPr>
          <w:rFonts w:ascii="Times New Roman" w:hAnsi="Times New Roman"/>
          <w:sz w:val="24"/>
          <w:szCs w:val="24"/>
        </w:rPr>
        <w:t>IM</w:t>
      </w:r>
      <w:r w:rsidRPr="00951749">
        <w:rPr>
          <w:rFonts w:ascii="Times New Roman" w:hAnsi="Times New Roman"/>
          <w:sz w:val="24"/>
          <w:szCs w:val="24"/>
        </w:rPr>
        <w:t xml:space="preserve"> (F</w:t>
      </w:r>
      <w:r w:rsidRPr="00951749">
        <w:rPr>
          <w:rFonts w:ascii="Times New Roman" w:hAnsi="Times New Roman"/>
          <w:sz w:val="24"/>
          <w:szCs w:val="24"/>
          <w:vertAlign w:val="subscript"/>
        </w:rPr>
        <w:t>ss</w:t>
      </w:r>
      <w:r w:rsidRPr="00951749">
        <w:rPr>
          <w:rFonts w:ascii="Times New Roman" w:hAnsi="Times New Roman"/>
          <w:sz w:val="24"/>
          <w:szCs w:val="24"/>
        </w:rPr>
        <w:t>) was carried out at controlled shear rate. The effect of increasing shear rate on viscosity at 25˚C</w:t>
      </w:r>
      <w:r w:rsidR="00C07381">
        <w:rPr>
          <w:rFonts w:ascii="Times New Roman" w:hAnsi="Times New Roman"/>
          <w:sz w:val="24"/>
          <w:szCs w:val="24"/>
        </w:rPr>
        <w:t xml:space="preserve"> has been illustrated in Fig. S4 A</w:t>
      </w:r>
      <w:r w:rsidRPr="00951749">
        <w:rPr>
          <w:rFonts w:ascii="Times New Roman" w:hAnsi="Times New Roman"/>
          <w:sz w:val="24"/>
          <w:szCs w:val="24"/>
        </w:rPr>
        <w:t>. The results suggested that all the samples except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exhibited a decrease in the value of viscosity with increasing shear rate which clearly depicts that all the samples exhibited a shear-thinning behavior. While the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sample showed a shear-thickening behavior. This shear-thickening behavior was evident by the fact that blank formulation without drug and polymer has not been provided any heating source to solubilize either of the component due to which the viscosity of the Blank F</w:t>
      </w:r>
      <w:r w:rsidRPr="00951749">
        <w:rPr>
          <w:rFonts w:ascii="Times New Roman" w:hAnsi="Times New Roman"/>
          <w:sz w:val="24"/>
          <w:szCs w:val="24"/>
          <w:vertAlign w:val="subscript"/>
        </w:rPr>
        <w:t>1</w:t>
      </w:r>
      <w:r w:rsidRPr="00951749">
        <w:rPr>
          <w:rFonts w:ascii="Times New Roman" w:hAnsi="Times New Roman"/>
          <w:sz w:val="24"/>
          <w:szCs w:val="24"/>
        </w:rPr>
        <w:t xml:space="preserve"> sample was high as comparison to other samples. Further, to describe the flow characteristics of all the formulations, different models were applied. It was observed that all the formulations shown a typical newtonian low viscous Bingham flow type. Bingham fluids shows linear shear stress/shear rate dependence after initial threshold has been reached. The results obtained for all the samples are in agreement with those found by Milovic et al., when carbamazepine loaded SMEDDS formulated was analyzed for rheological investigation </w:t>
      </w:r>
      <w:r w:rsidR="00A212ED" w:rsidRPr="00951749">
        <w:rPr>
          <w:rFonts w:ascii="Times New Roman" w:hAnsi="Times New Roman"/>
          <w:sz w:val="24"/>
          <w:szCs w:val="24"/>
        </w:rPr>
        <w:fldChar w:fldCharType="begin"/>
      </w:r>
      <w:r w:rsidR="00F60EB8">
        <w:rPr>
          <w:rFonts w:ascii="Times New Roman" w:hAnsi="Times New Roman"/>
          <w:sz w:val="24"/>
          <w:szCs w:val="24"/>
        </w:rPr>
        <w:instrText xml:space="preserve"> ADDIN EN.CITE &lt;EndNote&gt;&lt;Cite&gt;&lt;Author&gt;Milović&lt;/Author&gt;&lt;Year&gt;2012&lt;/Year&gt;&lt;RecNum&gt;83&lt;/RecNum&gt;&lt;DisplayText&gt;[10]&lt;/DisplayText&gt;&lt;record&gt;&lt;rec-number&gt;83&lt;/rec-number&gt;&lt;foreign-keys&gt;&lt;key app="EN" db-id="d2fpw0wedwsdaxe9rabxw0z4d55a0sze0xft"&gt;83&lt;/key&gt;&lt;/foreign-keys&gt;&lt;ref-type name="Journal Article"&gt;17&lt;/ref-type&gt;&lt;contributors&gt;&lt;authors&gt;&lt;author&gt;Milović, Mladen&lt;/author&gt;&lt;author&gt;Djuriš, Jelena&lt;/author&gt;&lt;author&gt;Djekić, Ljiljana&lt;/author&gt;&lt;author&gt;Vasiljević, Dragana&lt;/author&gt;&lt;author&gt;Ibrić, Svetlana&lt;/author&gt;&lt;/authors&gt;&lt;/contributors&gt;&lt;titles&gt;&lt;title&gt;Characterization and evaluation of solid self-microemulsifying drug delivery systems with porous carriers as systems for improved carbamazepine release&lt;/title&gt;&lt;secondary-title&gt;International journal of pharmaceutics&lt;/secondary-title&gt;&lt;/titles&gt;&lt;periodical&gt;&lt;full-title&gt;International journal of pharmaceutics&lt;/full-title&gt;&lt;/periodical&gt;&lt;pages&gt;58-65&lt;/pages&gt;&lt;volume&gt;436&lt;/volume&gt;&lt;number&gt;1-2&lt;/number&gt;&lt;dates&gt;&lt;year&gt;2012&lt;/year&gt;&lt;/dates&gt;&lt;isbn&gt;0378-5173&lt;/isbn&gt;&lt;urls&gt;&lt;/urls&gt;&lt;/record&gt;&lt;/Cite&gt;&lt;/EndNote&gt;</w:instrText>
      </w:r>
      <w:r w:rsidR="00A212ED" w:rsidRPr="00951749">
        <w:rPr>
          <w:rFonts w:ascii="Times New Roman" w:hAnsi="Times New Roman"/>
          <w:sz w:val="24"/>
          <w:szCs w:val="24"/>
        </w:rPr>
        <w:fldChar w:fldCharType="separate"/>
      </w:r>
      <w:r w:rsidR="00F60EB8">
        <w:rPr>
          <w:rFonts w:ascii="Times New Roman" w:hAnsi="Times New Roman"/>
          <w:noProof/>
          <w:sz w:val="24"/>
          <w:szCs w:val="24"/>
        </w:rPr>
        <w:t>[</w:t>
      </w:r>
      <w:hyperlink w:anchor="_ENREF_10" w:tooltip="Milović, 2012 #83" w:history="1">
        <w:r w:rsidR="00F60EB8">
          <w:rPr>
            <w:rFonts w:ascii="Times New Roman" w:hAnsi="Times New Roman"/>
            <w:noProof/>
            <w:sz w:val="24"/>
            <w:szCs w:val="24"/>
          </w:rPr>
          <w:t>10</w:t>
        </w:r>
      </w:hyperlink>
      <w:r w:rsidR="00F60EB8">
        <w:rPr>
          <w:rFonts w:ascii="Times New Roman" w:hAnsi="Times New Roman"/>
          <w:noProof/>
          <w:sz w:val="24"/>
          <w:szCs w:val="24"/>
        </w:rPr>
        <w:t>]</w:t>
      </w:r>
      <w:r w:rsidR="00A212ED" w:rsidRPr="00951749">
        <w:rPr>
          <w:rFonts w:ascii="Times New Roman" w:hAnsi="Times New Roman"/>
          <w:sz w:val="24"/>
          <w:szCs w:val="24"/>
        </w:rPr>
        <w:fldChar w:fldCharType="end"/>
      </w:r>
      <w:r w:rsidRPr="00951749">
        <w:rPr>
          <w:rFonts w:ascii="Times New Roman" w:hAnsi="Times New Roman"/>
          <w:sz w:val="24"/>
          <w:szCs w:val="24"/>
        </w:rPr>
        <w:t xml:space="preserve">. </w:t>
      </w:r>
    </w:p>
    <w:p w:rsidR="00902FB0" w:rsidRDefault="0050295B" w:rsidP="00902FB0">
      <w:pPr>
        <w:spacing w:line="360" w:lineRule="auto"/>
        <w:jc w:val="both"/>
        <w:rPr>
          <w:rFonts w:ascii="Times New Roman" w:eastAsia="GulliverRM" w:hAnsi="Times New Roman"/>
          <w:sz w:val="24"/>
          <w:szCs w:val="24"/>
        </w:rPr>
      </w:pPr>
      <w:r w:rsidRPr="00951749">
        <w:rPr>
          <w:rFonts w:ascii="Times New Roman" w:eastAsia="GulliverRM" w:hAnsi="Times New Roman"/>
          <w:sz w:val="24"/>
          <w:szCs w:val="24"/>
        </w:rPr>
        <w:t>To study the effect of temperature on the flow characteristics, all the formulations were subjected to temperature sweep test from 0 to 40˚C. The rheogram showing the effect of temperature on the viscosity of the different formulati</w:t>
      </w:r>
      <w:r w:rsidR="00C07381">
        <w:rPr>
          <w:rFonts w:ascii="Times New Roman" w:eastAsia="GulliverRM" w:hAnsi="Times New Roman"/>
          <w:sz w:val="24"/>
          <w:szCs w:val="24"/>
        </w:rPr>
        <w:t>ons has been depicted in Fig. S4 B</w:t>
      </w:r>
      <w:r w:rsidRPr="00951749">
        <w:rPr>
          <w:rFonts w:ascii="Times New Roman" w:eastAsia="GulliverRM" w:hAnsi="Times New Roman"/>
          <w:sz w:val="24"/>
          <w:szCs w:val="24"/>
        </w:rPr>
        <w:t>. The rheogram of all the formulation showed that by increasing the temperature of all the formulation, the viscosity of the sample decreases and follows arrhenious equation. The activation energy (E</w:t>
      </w:r>
      <w:r w:rsidRPr="00951749">
        <w:rPr>
          <w:rFonts w:ascii="Times New Roman" w:eastAsia="GulliverRM" w:hAnsi="Times New Roman"/>
          <w:sz w:val="24"/>
          <w:szCs w:val="24"/>
          <w:vertAlign w:val="subscript"/>
        </w:rPr>
        <w:t>a</w:t>
      </w:r>
      <w:r w:rsidRPr="00951749">
        <w:rPr>
          <w:rFonts w:ascii="Times New Roman" w:eastAsia="GulliverRM" w:hAnsi="Times New Roman"/>
          <w:sz w:val="24"/>
          <w:szCs w:val="24"/>
        </w:rPr>
        <w:t>) of Blank F</w:t>
      </w:r>
      <w:r w:rsidRPr="00951749">
        <w:rPr>
          <w:rFonts w:ascii="Times New Roman" w:eastAsia="GulliverRM" w:hAnsi="Times New Roman"/>
          <w:sz w:val="24"/>
          <w:szCs w:val="24"/>
          <w:vertAlign w:val="subscript"/>
        </w:rPr>
        <w:t>1</w:t>
      </w:r>
      <w:r w:rsidRPr="00951749">
        <w:rPr>
          <w:rFonts w:ascii="Times New Roman" w:eastAsia="GulliverRM" w:hAnsi="Times New Roman"/>
          <w:sz w:val="24"/>
          <w:szCs w:val="24"/>
        </w:rPr>
        <w:t>, F</w:t>
      </w:r>
      <w:r w:rsidRPr="00951749">
        <w:rPr>
          <w:rFonts w:ascii="Times New Roman" w:eastAsia="GulliverRM" w:hAnsi="Times New Roman"/>
          <w:sz w:val="24"/>
          <w:szCs w:val="24"/>
          <w:vertAlign w:val="subscript"/>
        </w:rPr>
        <w:t>1</w:t>
      </w:r>
      <w:r w:rsidRPr="00951749">
        <w:rPr>
          <w:rFonts w:ascii="Times New Roman" w:eastAsia="GulliverRM" w:hAnsi="Times New Roman"/>
          <w:sz w:val="24"/>
          <w:szCs w:val="24"/>
        </w:rPr>
        <w:t>, Blank F</w:t>
      </w:r>
      <w:r w:rsidRPr="00951749">
        <w:rPr>
          <w:rFonts w:ascii="Times New Roman" w:eastAsia="GulliverRM" w:hAnsi="Times New Roman"/>
          <w:sz w:val="24"/>
          <w:szCs w:val="24"/>
          <w:vertAlign w:val="subscript"/>
        </w:rPr>
        <w:t>ss</w:t>
      </w:r>
      <w:r w:rsidRPr="00951749">
        <w:rPr>
          <w:rFonts w:ascii="Times New Roman" w:eastAsia="GulliverRM" w:hAnsi="Times New Roman"/>
          <w:sz w:val="24"/>
          <w:szCs w:val="24"/>
        </w:rPr>
        <w:t xml:space="preserve"> and </w:t>
      </w:r>
      <w:r w:rsidRPr="00951749">
        <w:rPr>
          <w:rFonts w:ascii="Times New Roman" w:hAnsi="Times New Roman"/>
          <w:sz w:val="24"/>
          <w:szCs w:val="24"/>
        </w:rPr>
        <w:t>F</w:t>
      </w:r>
      <w:r w:rsidRPr="00951749">
        <w:rPr>
          <w:rFonts w:ascii="Times New Roman" w:hAnsi="Times New Roman"/>
          <w:sz w:val="24"/>
          <w:szCs w:val="24"/>
          <w:vertAlign w:val="subscript"/>
        </w:rPr>
        <w:t>ss</w:t>
      </w:r>
      <w:r w:rsidRPr="00951749">
        <w:rPr>
          <w:rFonts w:ascii="Times New Roman" w:hAnsi="Times New Roman"/>
          <w:sz w:val="24"/>
          <w:szCs w:val="24"/>
        </w:rPr>
        <w:t xml:space="preserve"> formulations</w:t>
      </w:r>
      <w:r w:rsidRPr="00951749">
        <w:rPr>
          <w:rFonts w:ascii="Times New Roman" w:eastAsia="GulliverRM" w:hAnsi="Times New Roman"/>
          <w:sz w:val="24"/>
          <w:szCs w:val="24"/>
        </w:rPr>
        <w:t xml:space="preserve"> were found out to be 16.22 kJ/mol, 20.02 kJ/mol, 5.54 kJ/mol and 8.68 kJ/mol respectively. The above results suggested that all the formulations were found out to be stable at higher temperature.</w:t>
      </w:r>
    </w:p>
    <w:p w:rsidR="00902FB0" w:rsidRDefault="00902FB0" w:rsidP="00902FB0">
      <w:pPr>
        <w:spacing w:line="360" w:lineRule="auto"/>
        <w:jc w:val="both"/>
        <w:rPr>
          <w:rFonts w:ascii="Times New Roman" w:eastAsia="GulliverRM" w:hAnsi="Times New Roman"/>
          <w:sz w:val="24"/>
          <w:szCs w:val="24"/>
        </w:rPr>
      </w:pPr>
    </w:p>
    <w:p w:rsidR="005A626C" w:rsidRDefault="005A626C" w:rsidP="00902FB0">
      <w:pPr>
        <w:spacing w:line="360" w:lineRule="auto"/>
        <w:jc w:val="both"/>
        <w:rPr>
          <w:rFonts w:ascii="Times New Roman" w:eastAsia="GulliverRM" w:hAnsi="Times New Roman"/>
          <w:sz w:val="24"/>
          <w:szCs w:val="24"/>
        </w:rPr>
      </w:pPr>
    </w:p>
    <w:p w:rsidR="00902FB0" w:rsidRDefault="00902FB0" w:rsidP="00902FB0">
      <w:pPr>
        <w:spacing w:line="360" w:lineRule="auto"/>
        <w:jc w:val="both"/>
        <w:rPr>
          <w:rFonts w:ascii="Times New Roman" w:eastAsia="GulliverRM" w:hAnsi="Times New Roman"/>
          <w:sz w:val="24"/>
          <w:szCs w:val="24"/>
        </w:rPr>
      </w:pPr>
    </w:p>
    <w:p w:rsidR="00902FB0" w:rsidRDefault="00902FB0" w:rsidP="00902FB0">
      <w:pPr>
        <w:spacing w:line="360" w:lineRule="auto"/>
        <w:jc w:val="both"/>
        <w:rPr>
          <w:rFonts w:ascii="Times New Roman" w:eastAsia="GulliverRM" w:hAnsi="Times New Roman"/>
          <w:sz w:val="24"/>
          <w:szCs w:val="24"/>
        </w:rPr>
      </w:pPr>
    </w:p>
    <w:p w:rsidR="003031A8" w:rsidRPr="00902FB0" w:rsidRDefault="003031A8" w:rsidP="003031A8">
      <w:pPr>
        <w:spacing w:line="240" w:lineRule="auto"/>
        <w:rPr>
          <w:rFonts w:ascii="Times New Roman" w:hAnsi="Times New Roman"/>
          <w:sz w:val="20"/>
          <w:szCs w:val="20"/>
        </w:rPr>
      </w:pPr>
      <w:r w:rsidRPr="00902FB0">
        <w:rPr>
          <w:rFonts w:ascii="Times New Roman" w:hAnsi="Times New Roman"/>
          <w:b/>
          <w:sz w:val="20"/>
          <w:szCs w:val="20"/>
        </w:rPr>
        <w:lastRenderedPageBreak/>
        <w:t>Table S1:</w:t>
      </w:r>
      <w:r w:rsidRPr="00902FB0">
        <w:rPr>
          <w:rFonts w:ascii="Times New Roman" w:hAnsi="Times New Roman"/>
          <w:sz w:val="20"/>
          <w:szCs w:val="20"/>
        </w:rPr>
        <w:t xml:space="preserve"> Quality target product profile (QTPP) postulated for the development of S</w:t>
      </w:r>
      <w:r w:rsidR="005A626C">
        <w:rPr>
          <w:rFonts w:ascii="Times New Roman" w:hAnsi="Times New Roman"/>
          <w:sz w:val="20"/>
          <w:szCs w:val="20"/>
        </w:rPr>
        <w:t>P</w:t>
      </w:r>
      <w:r w:rsidRPr="00902FB0">
        <w:rPr>
          <w:rFonts w:ascii="Times New Roman" w:hAnsi="Times New Roman"/>
          <w:sz w:val="20"/>
          <w:szCs w:val="20"/>
        </w:rPr>
        <w:t>-</w:t>
      </w:r>
      <w:r w:rsidR="005A626C">
        <w:rPr>
          <w:rFonts w:ascii="Times New Roman" w:hAnsi="Times New Roman"/>
          <w:sz w:val="20"/>
          <w:szCs w:val="20"/>
        </w:rPr>
        <w:t>IM of Atazanavir</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448"/>
        <w:gridCol w:w="2160"/>
        <w:gridCol w:w="4968"/>
      </w:tblGrid>
      <w:tr w:rsidR="003031A8" w:rsidRPr="003031A8" w:rsidTr="00EA62C2">
        <w:tc>
          <w:tcPr>
            <w:tcW w:w="244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QTPP Elements</w:t>
            </w:r>
          </w:p>
        </w:tc>
        <w:tc>
          <w:tcPr>
            <w:tcW w:w="2160"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Target</w:t>
            </w:r>
          </w:p>
        </w:tc>
        <w:tc>
          <w:tcPr>
            <w:tcW w:w="496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Justification</w:t>
            </w:r>
          </w:p>
        </w:tc>
      </w:tr>
      <w:tr w:rsidR="003031A8" w:rsidRPr="003031A8" w:rsidTr="00EA62C2">
        <w:tc>
          <w:tcPr>
            <w:tcW w:w="2448" w:type="dxa"/>
            <w:tcBorders>
              <w:top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form</w:t>
            </w:r>
          </w:p>
        </w:tc>
        <w:tc>
          <w:tcPr>
            <w:tcW w:w="2160" w:type="dxa"/>
            <w:tcBorders>
              <w:top w:val="single" w:sz="4" w:space="0" w:color="auto"/>
            </w:tcBorders>
          </w:tcPr>
          <w:p w:rsidR="003031A8" w:rsidRPr="003031A8" w:rsidRDefault="003031A8" w:rsidP="005A626C">
            <w:pPr>
              <w:jc w:val="center"/>
              <w:rPr>
                <w:rFonts w:ascii="Times New Roman" w:hAnsi="Times New Roman"/>
                <w:sz w:val="20"/>
                <w:szCs w:val="20"/>
              </w:rPr>
            </w:pPr>
            <w:r w:rsidRPr="003031A8">
              <w:rPr>
                <w:rFonts w:ascii="Times New Roman" w:hAnsi="Times New Roman"/>
                <w:sz w:val="20"/>
                <w:szCs w:val="20"/>
              </w:rPr>
              <w:t>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p>
        </w:tc>
        <w:tc>
          <w:tcPr>
            <w:tcW w:w="4968" w:type="dxa"/>
            <w:tcBorders>
              <w:top w:val="single" w:sz="4" w:space="0" w:color="auto"/>
            </w:tcBorders>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Selection of suitable excipients for the development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which helps in the enhancement of biopharmaceutical attributes of BCS Class II drug (Atazanavir)</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type</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Immediate release</w:t>
            </w:r>
          </w:p>
        </w:tc>
        <w:tc>
          <w:tcPr>
            <w:tcW w:w="4968" w:type="dxa"/>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Faster onset of action leading to enhanced therapeutic efficacy</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Dosage strength</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50 mg</w:t>
            </w:r>
          </w:p>
        </w:tc>
        <w:tc>
          <w:tcPr>
            <w:tcW w:w="4968" w:type="dxa"/>
          </w:tcPr>
          <w:p w:rsidR="003031A8" w:rsidRPr="003031A8" w:rsidRDefault="003031A8" w:rsidP="005A626C">
            <w:pPr>
              <w:rPr>
                <w:rFonts w:ascii="Times New Roman" w:hAnsi="Times New Roman"/>
                <w:sz w:val="20"/>
                <w:szCs w:val="20"/>
              </w:rPr>
            </w:pPr>
            <w:r w:rsidRPr="003031A8">
              <w:rPr>
                <w:rFonts w:ascii="Times New Roman" w:hAnsi="Times New Roman"/>
                <w:sz w:val="20"/>
                <w:szCs w:val="20"/>
              </w:rPr>
              <w:t>Unit dose of Atazanvir that can be incorporated into a 1 g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Route of administration</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Oral</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Recommended route for the delivery of atazanavir </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Dispersity</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 dispersity of the globules after emulsification</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Uniform size distribution is a crucial step for attaining the therapeutic effective concentration of ATZ </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Pharmacokinetics</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Higher C</w:t>
            </w:r>
            <w:r w:rsidRPr="003031A8">
              <w:rPr>
                <w:rFonts w:ascii="Times New Roman" w:hAnsi="Times New Roman"/>
                <w:sz w:val="20"/>
                <w:szCs w:val="20"/>
                <w:vertAlign w:val="subscript"/>
              </w:rPr>
              <w:t>max</w:t>
            </w:r>
            <w:r w:rsidRPr="003031A8">
              <w:rPr>
                <w:rFonts w:ascii="Times New Roman" w:hAnsi="Times New Roman"/>
                <w:sz w:val="20"/>
                <w:szCs w:val="20"/>
              </w:rPr>
              <w:t xml:space="preserve"> and AUC</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For attaining the required therapeutic concentration in the systemic circulation </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Stability</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As per the conditions of ICH Q1A (R2) stability study</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 xml:space="preserve">To maintain the therapeutic level of the drug during the shelf life </w:t>
            </w:r>
          </w:p>
        </w:tc>
      </w:tr>
      <w:tr w:rsidR="003031A8" w:rsidRPr="003031A8" w:rsidTr="00EA62C2">
        <w:tc>
          <w:tcPr>
            <w:tcW w:w="2448"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Container closure system</w:t>
            </w:r>
          </w:p>
        </w:tc>
        <w:tc>
          <w:tcPr>
            <w:tcW w:w="2160" w:type="dxa"/>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Air-tight glass bottle</w:t>
            </w:r>
          </w:p>
        </w:tc>
        <w:tc>
          <w:tcPr>
            <w:tcW w:w="4968" w:type="dxa"/>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To protect against the degradation of drug and lipids in the presence of atmospheric air</w:t>
            </w:r>
          </w:p>
        </w:tc>
      </w:tr>
      <w:tr w:rsidR="003031A8" w:rsidRPr="003031A8" w:rsidTr="00EA62C2">
        <w:tc>
          <w:tcPr>
            <w:tcW w:w="2448" w:type="dxa"/>
            <w:tcBorders>
              <w:bottom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Contraindications</w:t>
            </w:r>
          </w:p>
        </w:tc>
        <w:tc>
          <w:tcPr>
            <w:tcW w:w="2160" w:type="dxa"/>
            <w:tcBorders>
              <w:bottom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None</w:t>
            </w:r>
          </w:p>
        </w:tc>
        <w:tc>
          <w:tcPr>
            <w:tcW w:w="4968" w:type="dxa"/>
            <w:tcBorders>
              <w:bottom w:val="single" w:sz="4" w:space="0" w:color="auto"/>
            </w:tcBorders>
          </w:tcPr>
          <w:p w:rsidR="003031A8" w:rsidRPr="003031A8" w:rsidRDefault="003031A8" w:rsidP="003031A8">
            <w:pPr>
              <w:rPr>
                <w:rFonts w:ascii="Times New Roman" w:hAnsi="Times New Roman"/>
                <w:sz w:val="20"/>
                <w:szCs w:val="20"/>
              </w:rPr>
            </w:pPr>
            <w:r w:rsidRPr="003031A8">
              <w:rPr>
                <w:rFonts w:ascii="Times New Roman" w:hAnsi="Times New Roman"/>
                <w:sz w:val="20"/>
                <w:szCs w:val="20"/>
              </w:rPr>
              <w:t>None</w:t>
            </w:r>
          </w:p>
        </w:tc>
      </w:tr>
    </w:tbl>
    <w:p w:rsidR="00902FB0" w:rsidRDefault="00902FB0" w:rsidP="003031A8">
      <w:pPr>
        <w:spacing w:line="240" w:lineRule="auto"/>
        <w:rPr>
          <w:rFonts w:ascii="Times New Roman" w:hAnsi="Times New Roman"/>
          <w:b/>
          <w:sz w:val="20"/>
          <w:szCs w:val="20"/>
        </w:rPr>
      </w:pPr>
    </w:p>
    <w:p w:rsidR="003031A8" w:rsidRPr="00902FB0" w:rsidRDefault="003031A8" w:rsidP="003031A8">
      <w:pPr>
        <w:spacing w:line="240" w:lineRule="auto"/>
        <w:rPr>
          <w:rFonts w:ascii="Times New Roman" w:hAnsi="Times New Roman"/>
          <w:sz w:val="20"/>
          <w:szCs w:val="20"/>
        </w:rPr>
      </w:pPr>
      <w:r w:rsidRPr="00902FB0">
        <w:rPr>
          <w:rFonts w:ascii="Times New Roman" w:hAnsi="Times New Roman"/>
          <w:b/>
          <w:sz w:val="20"/>
          <w:szCs w:val="20"/>
        </w:rPr>
        <w:t>Table S2:</w:t>
      </w:r>
      <w:r w:rsidRPr="00902FB0">
        <w:rPr>
          <w:rFonts w:ascii="Times New Roman" w:hAnsi="Times New Roman"/>
          <w:sz w:val="20"/>
          <w:szCs w:val="20"/>
        </w:rPr>
        <w:t xml:space="preserve"> Critical quality attributes (CQAs) involved in formulating S</w:t>
      </w:r>
      <w:r w:rsidR="005A626C">
        <w:rPr>
          <w:rFonts w:ascii="Times New Roman" w:hAnsi="Times New Roman"/>
          <w:sz w:val="20"/>
          <w:szCs w:val="20"/>
        </w:rPr>
        <w:t>P</w:t>
      </w:r>
      <w:r w:rsidRPr="00902FB0">
        <w:rPr>
          <w:rFonts w:ascii="Times New Roman" w:hAnsi="Times New Roman"/>
          <w:sz w:val="20"/>
          <w:szCs w:val="20"/>
        </w:rPr>
        <w:t>-</w:t>
      </w:r>
      <w:r w:rsidR="005A626C">
        <w:rPr>
          <w:rFonts w:ascii="Times New Roman" w:hAnsi="Times New Roman"/>
          <w:sz w:val="20"/>
          <w:szCs w:val="20"/>
        </w:rPr>
        <w:t>IM</w:t>
      </w:r>
      <w:r w:rsidRPr="00902FB0">
        <w:rPr>
          <w:rFonts w:ascii="Times New Roman" w:hAnsi="Times New Roman"/>
          <w:sz w:val="20"/>
          <w:szCs w:val="20"/>
        </w:rPr>
        <w:t xml:space="preserve"> of Atazanavir and their justification</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100"/>
        <w:gridCol w:w="1428"/>
        <w:gridCol w:w="1845"/>
        <w:gridCol w:w="4203"/>
      </w:tblGrid>
      <w:tr w:rsidR="003031A8" w:rsidRPr="003031A8" w:rsidTr="005A626C">
        <w:tc>
          <w:tcPr>
            <w:tcW w:w="2100"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Quality attributes of the drug product</w:t>
            </w:r>
          </w:p>
        </w:tc>
        <w:tc>
          <w:tcPr>
            <w:tcW w:w="1428"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Target</w:t>
            </w:r>
          </w:p>
        </w:tc>
        <w:tc>
          <w:tcPr>
            <w:tcW w:w="1845"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Is this a CQA?</w:t>
            </w:r>
          </w:p>
        </w:tc>
        <w:tc>
          <w:tcPr>
            <w:tcW w:w="4203" w:type="dxa"/>
            <w:tcBorders>
              <w:top w:val="single" w:sz="4" w:space="0" w:color="auto"/>
              <w:bottom w:val="single" w:sz="4" w:space="0" w:color="auto"/>
            </w:tcBorders>
          </w:tcPr>
          <w:p w:rsidR="003031A8" w:rsidRPr="003031A8" w:rsidRDefault="003031A8" w:rsidP="003031A8">
            <w:pPr>
              <w:jc w:val="center"/>
              <w:rPr>
                <w:rFonts w:ascii="Times New Roman" w:hAnsi="Times New Roman"/>
                <w:b/>
                <w:sz w:val="20"/>
                <w:szCs w:val="20"/>
              </w:rPr>
            </w:pPr>
            <w:r w:rsidRPr="003031A8">
              <w:rPr>
                <w:rFonts w:ascii="Times New Roman" w:hAnsi="Times New Roman"/>
                <w:b/>
                <w:sz w:val="20"/>
                <w:szCs w:val="20"/>
              </w:rPr>
              <w:t>Justification</w:t>
            </w:r>
          </w:p>
        </w:tc>
      </w:tr>
      <w:tr w:rsidR="003031A8" w:rsidRPr="003031A8" w:rsidTr="005A626C">
        <w:tc>
          <w:tcPr>
            <w:tcW w:w="2100" w:type="dxa"/>
            <w:tcBorders>
              <w:top w:val="single" w:sz="4" w:space="0" w:color="auto"/>
            </w:tcBorders>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Physical attributes</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 Color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(ii) Odor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(iii) Appearance</w:t>
            </w:r>
          </w:p>
        </w:tc>
        <w:tc>
          <w:tcPr>
            <w:tcW w:w="1428" w:type="dxa"/>
            <w:tcBorders>
              <w:top w:val="single" w:sz="4" w:space="0" w:color="auto"/>
            </w:tcBorders>
          </w:tcPr>
          <w:p w:rsidR="003031A8" w:rsidRPr="003031A8" w:rsidRDefault="003031A8" w:rsidP="003031A8">
            <w:pPr>
              <w:rPr>
                <w:rFonts w:ascii="Times New Roman" w:hAnsi="Times New Roman"/>
                <w:sz w:val="20"/>
                <w:szCs w:val="20"/>
              </w:rPr>
            </w:pP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Acceptable to patients</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No unpleasant odor</w:t>
            </w:r>
          </w:p>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Acceptable to patients</w:t>
            </w:r>
          </w:p>
        </w:tc>
        <w:tc>
          <w:tcPr>
            <w:tcW w:w="1845" w:type="dxa"/>
            <w:tcBorders>
              <w:top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No</w:t>
            </w:r>
          </w:p>
        </w:tc>
        <w:tc>
          <w:tcPr>
            <w:tcW w:w="4203" w:type="dxa"/>
            <w:tcBorders>
              <w:top w:val="single" w:sz="4" w:space="0" w:color="auto"/>
            </w:tcBorders>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Color, odor and appearance were not considered as CQA, as these are not directly associated with patient efficacy and safety.</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Particle Size (nm)</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&lt;100 nm</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Nanoparticulate of smaller particle size allows ease in penetration across GI epithelial lining and paracellular pathways; therefore considered as highly critical.</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Polydispersity index (PDI)</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0 to 0.3</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Uniform size distribution of ATZ nanoparticulates formed after reconstitution is important for achieving the desired therapeutic efficacy; hence considered as highly critical.</w:t>
            </w:r>
          </w:p>
        </w:tc>
      </w:tr>
      <w:tr w:rsidR="003031A8" w:rsidRPr="003031A8" w:rsidTr="005A626C">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Emulsification Time (s)</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0 to 60 s</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3031A8">
            <w:pPr>
              <w:jc w:val="both"/>
              <w:rPr>
                <w:rFonts w:ascii="Times New Roman" w:hAnsi="Times New Roman"/>
                <w:sz w:val="20"/>
                <w:szCs w:val="20"/>
              </w:rPr>
            </w:pPr>
            <w:r w:rsidRPr="003031A8">
              <w:rPr>
                <w:rFonts w:ascii="Times New Roman" w:hAnsi="Times New Roman"/>
                <w:sz w:val="20"/>
                <w:szCs w:val="20"/>
              </w:rPr>
              <w:t>Lower values of emulsification time helps in ease of forming microemulsion after reconstitution; hence regarded as highly critical.</w:t>
            </w:r>
          </w:p>
        </w:tc>
      </w:tr>
      <w:tr w:rsidR="003031A8" w:rsidRPr="003031A8" w:rsidTr="005A626C">
        <w:trPr>
          <w:trHeight w:val="1232"/>
        </w:trPr>
        <w:tc>
          <w:tcPr>
            <w:tcW w:w="2100"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Drug Content (%)</w:t>
            </w:r>
          </w:p>
        </w:tc>
        <w:tc>
          <w:tcPr>
            <w:tcW w:w="1428" w:type="dxa"/>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High</w:t>
            </w:r>
          </w:p>
        </w:tc>
        <w:tc>
          <w:tcPr>
            <w:tcW w:w="1845" w:type="dxa"/>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vAlign w:val="center"/>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As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being the homogenous dispersions containing ATZ solubilized in the blend of oil, surfactant and co-surfactant. Hence, this variable was regarded as highly critical.</w:t>
            </w:r>
          </w:p>
        </w:tc>
      </w:tr>
      <w:tr w:rsidR="003031A8" w:rsidRPr="003031A8" w:rsidTr="005A626C">
        <w:tc>
          <w:tcPr>
            <w:tcW w:w="2100" w:type="dxa"/>
            <w:tcBorders>
              <w:bottom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Percent Transmittance (%)</w:t>
            </w:r>
          </w:p>
        </w:tc>
        <w:tc>
          <w:tcPr>
            <w:tcW w:w="1428" w:type="dxa"/>
            <w:tcBorders>
              <w:bottom w:val="single" w:sz="4" w:space="0" w:color="auto"/>
            </w:tcBorders>
            <w:vAlign w:val="center"/>
          </w:tcPr>
          <w:p w:rsidR="003031A8" w:rsidRPr="003031A8" w:rsidRDefault="003031A8" w:rsidP="003031A8">
            <w:pPr>
              <w:jc w:val="center"/>
              <w:rPr>
                <w:rFonts w:ascii="Times New Roman" w:hAnsi="Times New Roman"/>
                <w:sz w:val="20"/>
                <w:szCs w:val="20"/>
              </w:rPr>
            </w:pPr>
            <w:r w:rsidRPr="003031A8">
              <w:rPr>
                <w:rFonts w:ascii="Times New Roman" w:hAnsi="Times New Roman"/>
                <w:sz w:val="20"/>
                <w:szCs w:val="20"/>
              </w:rPr>
              <w:t>90 to 100%</w:t>
            </w:r>
          </w:p>
        </w:tc>
        <w:tc>
          <w:tcPr>
            <w:tcW w:w="1845" w:type="dxa"/>
            <w:tcBorders>
              <w:bottom w:val="single" w:sz="4" w:space="0" w:color="auto"/>
            </w:tcBorders>
            <w:vAlign w:val="center"/>
          </w:tcPr>
          <w:p w:rsidR="003031A8" w:rsidRPr="003031A8" w:rsidRDefault="003031A8" w:rsidP="003031A8">
            <w:pPr>
              <w:jc w:val="center"/>
              <w:rPr>
                <w:rFonts w:ascii="Times New Roman" w:hAnsi="Times New Roman"/>
                <w:sz w:val="20"/>
                <w:szCs w:val="20"/>
                <w:vertAlign w:val="superscript"/>
              </w:rPr>
            </w:pPr>
            <w:r w:rsidRPr="003031A8">
              <w:rPr>
                <w:rFonts w:ascii="Times New Roman" w:hAnsi="Times New Roman"/>
                <w:sz w:val="20"/>
                <w:szCs w:val="20"/>
              </w:rPr>
              <w:t>Yes</w:t>
            </w:r>
            <w:r w:rsidRPr="003031A8">
              <w:rPr>
                <w:rFonts w:ascii="Times New Roman" w:hAnsi="Times New Roman"/>
                <w:sz w:val="20"/>
                <w:szCs w:val="20"/>
                <w:vertAlign w:val="superscript"/>
              </w:rPr>
              <w:t>*</w:t>
            </w:r>
          </w:p>
        </w:tc>
        <w:tc>
          <w:tcPr>
            <w:tcW w:w="4203" w:type="dxa"/>
            <w:tcBorders>
              <w:bottom w:val="single" w:sz="4" w:space="0" w:color="auto"/>
            </w:tcBorders>
          </w:tcPr>
          <w:p w:rsidR="003031A8" w:rsidRPr="003031A8" w:rsidRDefault="003031A8" w:rsidP="005A626C">
            <w:pPr>
              <w:jc w:val="both"/>
              <w:rPr>
                <w:rFonts w:ascii="Times New Roman" w:hAnsi="Times New Roman"/>
                <w:sz w:val="20"/>
                <w:szCs w:val="20"/>
              </w:rPr>
            </w:pPr>
            <w:r w:rsidRPr="003031A8">
              <w:rPr>
                <w:rFonts w:ascii="Times New Roman" w:hAnsi="Times New Roman"/>
                <w:sz w:val="20"/>
                <w:szCs w:val="20"/>
              </w:rPr>
              <w:t>Higher the values of % transmittance of S</w:t>
            </w:r>
            <w:r w:rsidR="005A626C">
              <w:rPr>
                <w:rFonts w:ascii="Times New Roman" w:hAnsi="Times New Roman"/>
                <w:sz w:val="20"/>
                <w:szCs w:val="20"/>
              </w:rPr>
              <w:t>P</w:t>
            </w:r>
            <w:r w:rsidRPr="003031A8">
              <w:rPr>
                <w:rFonts w:ascii="Times New Roman" w:hAnsi="Times New Roman"/>
                <w:sz w:val="20"/>
                <w:szCs w:val="20"/>
              </w:rPr>
              <w:t>-</w:t>
            </w:r>
            <w:r w:rsidR="005A626C">
              <w:rPr>
                <w:rFonts w:ascii="Times New Roman" w:hAnsi="Times New Roman"/>
                <w:sz w:val="20"/>
                <w:szCs w:val="20"/>
              </w:rPr>
              <w:t>IM</w:t>
            </w:r>
            <w:r w:rsidRPr="003031A8">
              <w:rPr>
                <w:rFonts w:ascii="Times New Roman" w:hAnsi="Times New Roman"/>
                <w:sz w:val="20"/>
                <w:szCs w:val="20"/>
              </w:rPr>
              <w:t xml:space="preserve"> formed after reconstitution shows the stability of the microemulsion and in addition to it lower will be the particle size; hence considered as highly critical.</w:t>
            </w:r>
          </w:p>
        </w:tc>
      </w:tr>
    </w:tbl>
    <w:p w:rsidR="00F60EB8" w:rsidRDefault="00F60EB8" w:rsidP="00F6762E">
      <w:pPr>
        <w:jc w:val="center"/>
        <w:rPr>
          <w:rFonts w:ascii="Times New Roman" w:hAnsi="Times New Roman"/>
          <w:noProof/>
          <w:sz w:val="24"/>
          <w:szCs w:val="24"/>
        </w:rPr>
      </w:pPr>
    </w:p>
    <w:p w:rsidR="00D52F74" w:rsidRDefault="00460DDD" w:rsidP="00F6762E">
      <w:pPr>
        <w:jc w:val="center"/>
        <w:rPr>
          <w:rFonts w:ascii="Times New Roman" w:hAnsi="Times New Roman"/>
          <w:b/>
          <w:sz w:val="20"/>
          <w:szCs w:val="20"/>
        </w:rPr>
      </w:pPr>
      <w:r w:rsidRPr="00460DDD">
        <w:rPr>
          <w:rFonts w:ascii="Times New Roman" w:hAnsi="Times New Roman"/>
          <w:noProof/>
          <w:sz w:val="24"/>
          <w:szCs w:val="24"/>
        </w:rPr>
        <w:drawing>
          <wp:inline distT="0" distB="0" distL="0" distR="0">
            <wp:extent cx="5940328" cy="32194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srcRect/>
                    <a:stretch>
                      <a:fillRect/>
                    </a:stretch>
                  </pic:blipFill>
                  <pic:spPr bwMode="auto">
                    <a:xfrm>
                      <a:off x="0" y="0"/>
                      <a:ext cx="5943600" cy="3221223"/>
                    </a:xfrm>
                    <a:prstGeom prst="rect">
                      <a:avLst/>
                    </a:prstGeom>
                    <a:noFill/>
                    <a:ln w="9525">
                      <a:noFill/>
                      <a:miter lim="800000"/>
                      <a:headEnd/>
                      <a:tailEnd/>
                    </a:ln>
                  </pic:spPr>
                </pic:pic>
              </a:graphicData>
            </a:graphic>
          </wp:inline>
        </w:drawing>
      </w:r>
    </w:p>
    <w:p w:rsidR="00D52F74" w:rsidRPr="00172AC5" w:rsidRDefault="00D52F74" w:rsidP="00D52F74">
      <w:pPr>
        <w:spacing w:line="240" w:lineRule="auto"/>
        <w:jc w:val="both"/>
        <w:rPr>
          <w:rFonts w:ascii="Times New Roman" w:hAnsi="Times New Roman"/>
          <w:noProof/>
          <w:sz w:val="20"/>
          <w:szCs w:val="20"/>
        </w:rPr>
      </w:pPr>
      <w:r w:rsidRPr="00172AC5">
        <w:rPr>
          <w:rFonts w:ascii="Times New Roman" w:hAnsi="Times New Roman"/>
          <w:b/>
          <w:noProof/>
          <w:sz w:val="20"/>
          <w:szCs w:val="20"/>
        </w:rPr>
        <w:t>Fig. S1:</w:t>
      </w:r>
      <w:r w:rsidRPr="00172AC5">
        <w:rPr>
          <w:rFonts w:ascii="Times New Roman" w:hAnsi="Times New Roman"/>
          <w:noProof/>
          <w:sz w:val="20"/>
          <w:szCs w:val="20"/>
        </w:rPr>
        <w:t xml:space="preserve"> Ishikawa fish-bone diagram depicting the cause-and-effect relationship among the formulation and process variables for the development of S</w:t>
      </w:r>
      <w:r w:rsidR="005A626C">
        <w:rPr>
          <w:rFonts w:ascii="Times New Roman" w:hAnsi="Times New Roman"/>
          <w:noProof/>
          <w:sz w:val="20"/>
          <w:szCs w:val="20"/>
        </w:rPr>
        <w:t>P</w:t>
      </w:r>
      <w:r w:rsidRPr="00172AC5">
        <w:rPr>
          <w:rFonts w:ascii="Times New Roman" w:hAnsi="Times New Roman"/>
          <w:noProof/>
          <w:sz w:val="20"/>
          <w:szCs w:val="20"/>
        </w:rPr>
        <w:t>-</w:t>
      </w:r>
      <w:r w:rsidR="005A626C">
        <w:rPr>
          <w:rFonts w:ascii="Times New Roman" w:hAnsi="Times New Roman"/>
          <w:noProof/>
          <w:sz w:val="20"/>
          <w:szCs w:val="20"/>
        </w:rPr>
        <w:t>IM</w:t>
      </w:r>
    </w:p>
    <w:p w:rsidR="00902FB0" w:rsidRDefault="00902FB0" w:rsidP="00902FB0">
      <w:pPr>
        <w:rPr>
          <w:rFonts w:ascii="Times New Roman" w:hAnsi="Times New Roman"/>
          <w:sz w:val="24"/>
          <w:szCs w:val="24"/>
        </w:rPr>
      </w:pPr>
      <w:r w:rsidRPr="00902FB0">
        <w:rPr>
          <w:rFonts w:ascii="Times New Roman" w:hAnsi="Times New Roman"/>
          <w:b/>
          <w:sz w:val="20"/>
          <w:szCs w:val="20"/>
        </w:rPr>
        <w:t xml:space="preserve">Table S3: </w:t>
      </w:r>
      <w:r w:rsidRPr="00902FB0">
        <w:rPr>
          <w:rFonts w:ascii="Times New Roman" w:hAnsi="Times New Roman"/>
          <w:sz w:val="20"/>
          <w:szCs w:val="20"/>
        </w:rPr>
        <w:t>FMEA matrix enlisting RPN scores for the material attributes and process parameters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758"/>
        <w:gridCol w:w="2246"/>
        <w:gridCol w:w="1250"/>
        <w:gridCol w:w="1471"/>
        <w:gridCol w:w="1215"/>
        <w:gridCol w:w="1216"/>
        <w:gridCol w:w="1420"/>
      </w:tblGrid>
      <w:tr w:rsidR="00902FB0" w:rsidRPr="00902FB0" w:rsidTr="00EA62C2">
        <w:trPr>
          <w:jc w:val="center"/>
        </w:trPr>
        <w:tc>
          <w:tcPr>
            <w:tcW w:w="795"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S.No.</w:t>
            </w:r>
          </w:p>
        </w:tc>
        <w:tc>
          <w:tcPr>
            <w:tcW w:w="2650"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Failure Steps</w:t>
            </w:r>
          </w:p>
        </w:tc>
        <w:tc>
          <w:tcPr>
            <w:tcW w:w="1350"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Severity*</w:t>
            </w:r>
          </w:p>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(S)</w:t>
            </w:r>
          </w:p>
        </w:tc>
        <w:tc>
          <w:tcPr>
            <w:tcW w:w="1537"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Occurrence* (O)</w:t>
            </w:r>
          </w:p>
        </w:tc>
        <w:tc>
          <w:tcPr>
            <w:tcW w:w="1253"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Detection* (D)</w:t>
            </w:r>
          </w:p>
        </w:tc>
        <w:tc>
          <w:tcPr>
            <w:tcW w:w="1440"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RPN Score</w:t>
            </w:r>
          </w:p>
        </w:tc>
        <w:tc>
          <w:tcPr>
            <w:tcW w:w="1645" w:type="dxa"/>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Risk Factor</w:t>
            </w:r>
          </w:p>
        </w:tc>
      </w:tr>
      <w:tr w:rsidR="00902FB0" w:rsidRPr="00902FB0" w:rsidTr="00EA62C2">
        <w:trPr>
          <w:jc w:val="center"/>
        </w:trPr>
        <w:tc>
          <w:tcPr>
            <w:tcW w:w="10670" w:type="dxa"/>
            <w:gridSpan w:val="7"/>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Material Attributes</w:t>
            </w:r>
          </w:p>
        </w:tc>
      </w:tr>
      <w:tr w:rsidR="00902FB0" w:rsidRPr="00902FB0" w:rsidTr="00EA62C2">
        <w:trPr>
          <w:jc w:val="center"/>
        </w:trPr>
        <w:tc>
          <w:tcPr>
            <w:tcW w:w="795" w:type="dxa"/>
            <w:tcBorders>
              <w:top w:val="single" w:sz="4" w:space="0" w:color="auto"/>
            </w:tcBorders>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w:t>
            </w:r>
          </w:p>
        </w:tc>
        <w:tc>
          <w:tcPr>
            <w:tcW w:w="265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Type of Oil</w:t>
            </w:r>
          </w:p>
        </w:tc>
        <w:tc>
          <w:tcPr>
            <w:tcW w:w="135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537"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253"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44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125</w:t>
            </w:r>
          </w:p>
        </w:tc>
        <w:tc>
          <w:tcPr>
            <w:tcW w:w="1645" w:type="dxa"/>
            <w:tcBorders>
              <w:top w:val="single" w:sz="4" w:space="0" w:color="auto"/>
            </w:tcBorders>
            <w:vAlign w:val="center"/>
          </w:tcPr>
          <w:p w:rsidR="00902FB0" w:rsidRPr="00902FB0" w:rsidRDefault="00902FB0" w:rsidP="00EA62C2">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EA62C2">
        <w:trPr>
          <w:jc w:val="center"/>
        </w:trPr>
        <w:tc>
          <w:tcPr>
            <w:tcW w:w="795" w:type="dxa"/>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2.</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Type of Surfactant</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4</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100</w:t>
            </w:r>
          </w:p>
        </w:tc>
        <w:tc>
          <w:tcPr>
            <w:tcW w:w="1645" w:type="dxa"/>
            <w:vAlign w:val="center"/>
          </w:tcPr>
          <w:p w:rsidR="00902FB0" w:rsidRPr="00902FB0" w:rsidRDefault="00902FB0" w:rsidP="00EA62C2">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EA62C2">
        <w:trPr>
          <w:jc w:val="center"/>
        </w:trPr>
        <w:tc>
          <w:tcPr>
            <w:tcW w:w="795" w:type="dxa"/>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3.</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Type of Co-Surfactant</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4</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100</w:t>
            </w:r>
          </w:p>
        </w:tc>
        <w:tc>
          <w:tcPr>
            <w:tcW w:w="1645" w:type="dxa"/>
            <w:vAlign w:val="center"/>
          </w:tcPr>
          <w:p w:rsidR="00902FB0" w:rsidRPr="00902FB0" w:rsidRDefault="00902FB0" w:rsidP="00EA62C2">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r w:rsidR="00902FB0" w:rsidRPr="00902FB0" w:rsidTr="00EA62C2">
        <w:trPr>
          <w:jc w:val="center"/>
        </w:trPr>
        <w:tc>
          <w:tcPr>
            <w:tcW w:w="795" w:type="dxa"/>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4.</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Conc. of Oil</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448</w:t>
            </w:r>
          </w:p>
        </w:tc>
        <w:tc>
          <w:tcPr>
            <w:tcW w:w="1645" w:type="dxa"/>
            <w:vAlign w:val="center"/>
          </w:tcPr>
          <w:p w:rsidR="00902FB0" w:rsidRPr="00902FB0" w:rsidRDefault="00902FB0" w:rsidP="00EA62C2">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EA62C2">
        <w:trPr>
          <w:jc w:val="center"/>
        </w:trPr>
        <w:tc>
          <w:tcPr>
            <w:tcW w:w="795" w:type="dxa"/>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Conc. of Surfactant</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384</w:t>
            </w:r>
          </w:p>
        </w:tc>
        <w:tc>
          <w:tcPr>
            <w:tcW w:w="1645" w:type="dxa"/>
            <w:vAlign w:val="center"/>
          </w:tcPr>
          <w:p w:rsidR="00902FB0" w:rsidRPr="00902FB0" w:rsidRDefault="00902FB0" w:rsidP="00EA62C2">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EA62C2">
        <w:trPr>
          <w:jc w:val="center"/>
        </w:trPr>
        <w:tc>
          <w:tcPr>
            <w:tcW w:w="795" w:type="dxa"/>
            <w:tcBorders>
              <w:bottom w:val="single" w:sz="4" w:space="0" w:color="auto"/>
            </w:tcBorders>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265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Conc. of Co-Surfactant</w:t>
            </w:r>
          </w:p>
        </w:tc>
        <w:tc>
          <w:tcPr>
            <w:tcW w:w="135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537"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253"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44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512</w:t>
            </w:r>
          </w:p>
        </w:tc>
        <w:tc>
          <w:tcPr>
            <w:tcW w:w="1645" w:type="dxa"/>
            <w:tcBorders>
              <w:bottom w:val="single" w:sz="4" w:space="0" w:color="auto"/>
            </w:tcBorders>
            <w:vAlign w:val="center"/>
          </w:tcPr>
          <w:p w:rsidR="00902FB0" w:rsidRPr="00902FB0" w:rsidRDefault="00902FB0" w:rsidP="00EA62C2">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EA62C2">
        <w:trPr>
          <w:jc w:val="center"/>
        </w:trPr>
        <w:tc>
          <w:tcPr>
            <w:tcW w:w="10670" w:type="dxa"/>
            <w:gridSpan w:val="7"/>
            <w:tcBorders>
              <w:top w:val="single" w:sz="4" w:space="0" w:color="auto"/>
              <w:bottom w:val="single" w:sz="4" w:space="0" w:color="auto"/>
            </w:tcBorders>
          </w:tcPr>
          <w:p w:rsidR="00902FB0" w:rsidRPr="00902FB0" w:rsidRDefault="00902FB0" w:rsidP="00EA62C2">
            <w:pPr>
              <w:jc w:val="center"/>
              <w:rPr>
                <w:rFonts w:ascii="Times New Roman" w:hAnsi="Times New Roman"/>
                <w:b/>
                <w:sz w:val="20"/>
                <w:szCs w:val="20"/>
              </w:rPr>
            </w:pPr>
            <w:r w:rsidRPr="00902FB0">
              <w:rPr>
                <w:rFonts w:ascii="Times New Roman" w:hAnsi="Times New Roman"/>
                <w:b/>
                <w:sz w:val="20"/>
                <w:szCs w:val="20"/>
              </w:rPr>
              <w:t>Process Parameters</w:t>
            </w:r>
          </w:p>
        </w:tc>
      </w:tr>
      <w:tr w:rsidR="00902FB0" w:rsidRPr="00902FB0" w:rsidTr="00EA62C2">
        <w:trPr>
          <w:jc w:val="center"/>
        </w:trPr>
        <w:tc>
          <w:tcPr>
            <w:tcW w:w="795"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265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Temperature required for solubilization of ATZ</w:t>
            </w:r>
          </w:p>
        </w:tc>
        <w:tc>
          <w:tcPr>
            <w:tcW w:w="135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537"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253"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1440" w:type="dxa"/>
            <w:tcBorders>
              <w:top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448</w:t>
            </w:r>
          </w:p>
        </w:tc>
        <w:tc>
          <w:tcPr>
            <w:tcW w:w="1645" w:type="dxa"/>
            <w:tcBorders>
              <w:top w:val="single" w:sz="4" w:space="0" w:color="auto"/>
            </w:tcBorders>
            <w:vAlign w:val="center"/>
          </w:tcPr>
          <w:p w:rsidR="00902FB0" w:rsidRPr="00902FB0" w:rsidRDefault="00902FB0" w:rsidP="00EA62C2">
            <w:pPr>
              <w:jc w:val="center"/>
              <w:rPr>
                <w:rFonts w:ascii="Times New Roman" w:hAnsi="Times New Roman"/>
                <w:sz w:val="20"/>
                <w:szCs w:val="20"/>
                <w:highlight w:val="red"/>
              </w:rPr>
            </w:pPr>
            <w:r w:rsidRPr="00902FB0">
              <w:rPr>
                <w:rFonts w:ascii="Times New Roman" w:hAnsi="Times New Roman"/>
                <w:sz w:val="20"/>
                <w:szCs w:val="20"/>
                <w:highlight w:val="red"/>
              </w:rPr>
              <w:t>High</w:t>
            </w:r>
          </w:p>
        </w:tc>
      </w:tr>
      <w:tr w:rsidR="00902FB0" w:rsidRPr="00902FB0" w:rsidTr="00EA62C2">
        <w:trPr>
          <w:jc w:val="center"/>
        </w:trPr>
        <w:tc>
          <w:tcPr>
            <w:tcW w:w="795"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8.</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Order of Mixing</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294</w:t>
            </w:r>
          </w:p>
        </w:tc>
        <w:tc>
          <w:tcPr>
            <w:tcW w:w="1645" w:type="dxa"/>
            <w:vAlign w:val="center"/>
          </w:tcPr>
          <w:p w:rsidR="00902FB0" w:rsidRPr="00902FB0" w:rsidRDefault="00902FB0" w:rsidP="00EA62C2">
            <w:pPr>
              <w:jc w:val="center"/>
              <w:rPr>
                <w:rFonts w:ascii="Times New Roman" w:hAnsi="Times New Roman"/>
                <w:sz w:val="20"/>
                <w:szCs w:val="20"/>
                <w:highlight w:val="red"/>
              </w:rPr>
            </w:pPr>
            <w:r w:rsidRPr="00902FB0">
              <w:rPr>
                <w:rFonts w:ascii="Times New Roman" w:hAnsi="Times New Roman"/>
                <w:sz w:val="20"/>
                <w:szCs w:val="20"/>
                <w:highlight w:val="yellow"/>
              </w:rPr>
              <w:t>Medium</w:t>
            </w:r>
          </w:p>
        </w:tc>
      </w:tr>
      <w:tr w:rsidR="00902FB0" w:rsidRPr="00902FB0" w:rsidTr="00EA62C2">
        <w:trPr>
          <w:jc w:val="center"/>
        </w:trPr>
        <w:tc>
          <w:tcPr>
            <w:tcW w:w="795"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9.</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Stirrer Type</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252</w:t>
            </w:r>
          </w:p>
        </w:tc>
        <w:tc>
          <w:tcPr>
            <w:tcW w:w="1645" w:type="dxa"/>
            <w:vAlign w:val="center"/>
          </w:tcPr>
          <w:p w:rsidR="00902FB0" w:rsidRPr="00902FB0" w:rsidRDefault="00902FB0" w:rsidP="00EA62C2">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EA62C2">
        <w:trPr>
          <w:jc w:val="center"/>
        </w:trPr>
        <w:tc>
          <w:tcPr>
            <w:tcW w:w="795"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10.</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Stirring speed</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180</w:t>
            </w:r>
          </w:p>
        </w:tc>
        <w:tc>
          <w:tcPr>
            <w:tcW w:w="1645" w:type="dxa"/>
            <w:vAlign w:val="center"/>
          </w:tcPr>
          <w:p w:rsidR="00902FB0" w:rsidRPr="00902FB0" w:rsidRDefault="00902FB0" w:rsidP="00EA62C2">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EA62C2">
        <w:trPr>
          <w:jc w:val="center"/>
        </w:trPr>
        <w:tc>
          <w:tcPr>
            <w:tcW w:w="795"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11.</w:t>
            </w:r>
          </w:p>
        </w:tc>
        <w:tc>
          <w:tcPr>
            <w:tcW w:w="26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Stirring Time</w:t>
            </w:r>
          </w:p>
        </w:tc>
        <w:tc>
          <w:tcPr>
            <w:tcW w:w="135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537"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w:t>
            </w:r>
          </w:p>
        </w:tc>
        <w:tc>
          <w:tcPr>
            <w:tcW w:w="1253"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6</w:t>
            </w:r>
          </w:p>
        </w:tc>
        <w:tc>
          <w:tcPr>
            <w:tcW w:w="1440" w:type="dxa"/>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294</w:t>
            </w:r>
          </w:p>
        </w:tc>
        <w:tc>
          <w:tcPr>
            <w:tcW w:w="1645" w:type="dxa"/>
            <w:vAlign w:val="center"/>
          </w:tcPr>
          <w:p w:rsidR="00902FB0" w:rsidRPr="00902FB0" w:rsidRDefault="00902FB0" w:rsidP="00EA62C2">
            <w:pPr>
              <w:jc w:val="center"/>
              <w:rPr>
                <w:rFonts w:ascii="Times New Roman" w:hAnsi="Times New Roman"/>
                <w:sz w:val="20"/>
                <w:szCs w:val="20"/>
                <w:highlight w:val="yellow"/>
              </w:rPr>
            </w:pPr>
            <w:r w:rsidRPr="00902FB0">
              <w:rPr>
                <w:rFonts w:ascii="Times New Roman" w:hAnsi="Times New Roman"/>
                <w:sz w:val="20"/>
                <w:szCs w:val="20"/>
                <w:highlight w:val="yellow"/>
              </w:rPr>
              <w:t>Medium</w:t>
            </w:r>
          </w:p>
        </w:tc>
      </w:tr>
      <w:tr w:rsidR="00902FB0" w:rsidRPr="00902FB0" w:rsidTr="00EA62C2">
        <w:trPr>
          <w:jc w:val="center"/>
        </w:trPr>
        <w:tc>
          <w:tcPr>
            <w:tcW w:w="795"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12.</w:t>
            </w:r>
          </w:p>
        </w:tc>
        <w:tc>
          <w:tcPr>
            <w:tcW w:w="265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Humidity</w:t>
            </w:r>
          </w:p>
        </w:tc>
        <w:tc>
          <w:tcPr>
            <w:tcW w:w="135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537"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5</w:t>
            </w:r>
          </w:p>
        </w:tc>
        <w:tc>
          <w:tcPr>
            <w:tcW w:w="1253"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3</w:t>
            </w:r>
          </w:p>
        </w:tc>
        <w:tc>
          <w:tcPr>
            <w:tcW w:w="1440" w:type="dxa"/>
            <w:tcBorders>
              <w:bottom w:val="single" w:sz="4" w:space="0" w:color="auto"/>
            </w:tcBorders>
            <w:vAlign w:val="center"/>
          </w:tcPr>
          <w:p w:rsidR="00902FB0" w:rsidRPr="00902FB0" w:rsidRDefault="00902FB0" w:rsidP="00EA62C2">
            <w:pPr>
              <w:jc w:val="center"/>
              <w:rPr>
                <w:rFonts w:ascii="Times New Roman" w:hAnsi="Times New Roman"/>
                <w:sz w:val="20"/>
                <w:szCs w:val="20"/>
              </w:rPr>
            </w:pPr>
            <w:r w:rsidRPr="00902FB0">
              <w:rPr>
                <w:rFonts w:ascii="Times New Roman" w:hAnsi="Times New Roman"/>
                <w:sz w:val="20"/>
                <w:szCs w:val="20"/>
              </w:rPr>
              <w:t>75</w:t>
            </w:r>
          </w:p>
        </w:tc>
        <w:tc>
          <w:tcPr>
            <w:tcW w:w="1645" w:type="dxa"/>
            <w:tcBorders>
              <w:bottom w:val="single" w:sz="4" w:space="0" w:color="auto"/>
            </w:tcBorders>
            <w:vAlign w:val="center"/>
          </w:tcPr>
          <w:p w:rsidR="00902FB0" w:rsidRPr="00902FB0" w:rsidRDefault="00902FB0" w:rsidP="00EA62C2">
            <w:pPr>
              <w:jc w:val="center"/>
              <w:rPr>
                <w:rFonts w:ascii="Times New Roman" w:hAnsi="Times New Roman"/>
                <w:sz w:val="20"/>
                <w:szCs w:val="20"/>
                <w:highlight w:val="green"/>
              </w:rPr>
            </w:pPr>
            <w:r w:rsidRPr="00902FB0">
              <w:rPr>
                <w:rFonts w:ascii="Times New Roman" w:hAnsi="Times New Roman"/>
                <w:sz w:val="20"/>
                <w:szCs w:val="20"/>
                <w:highlight w:val="green"/>
              </w:rPr>
              <w:t>Low</w:t>
            </w:r>
          </w:p>
        </w:tc>
      </w:tr>
    </w:tbl>
    <w:p w:rsidR="00902FB0" w:rsidRDefault="00902FB0" w:rsidP="00902FB0">
      <w:pPr>
        <w:spacing w:line="240" w:lineRule="auto"/>
        <w:rPr>
          <w:rFonts w:ascii="Times New Roman" w:hAnsi="Times New Roman"/>
          <w:sz w:val="20"/>
          <w:szCs w:val="20"/>
        </w:rPr>
      </w:pPr>
      <w:r w:rsidRPr="00902FB0">
        <w:rPr>
          <w:rFonts w:ascii="Times New Roman" w:hAnsi="Times New Roman"/>
          <w:sz w:val="20"/>
          <w:szCs w:val="20"/>
        </w:rPr>
        <w:t>*Minimum value is assigned as 1; maximum value is assigned as 10</w:t>
      </w:r>
    </w:p>
    <w:p w:rsidR="00902FB0" w:rsidRPr="00902FB0" w:rsidRDefault="00902FB0" w:rsidP="00902FB0">
      <w:pPr>
        <w:spacing w:line="240" w:lineRule="auto"/>
        <w:rPr>
          <w:rFonts w:ascii="Times New Roman" w:hAnsi="Times New Roman"/>
          <w:sz w:val="20"/>
          <w:szCs w:val="20"/>
        </w:rPr>
      </w:pPr>
      <w:r w:rsidRPr="00902FB0">
        <w:rPr>
          <w:rFonts w:ascii="Times New Roman" w:hAnsi="Times New Roman"/>
          <w:sz w:val="20"/>
          <w:szCs w:val="20"/>
        </w:rPr>
        <w:t xml:space="preserve">@ </w:t>
      </w:r>
      <w:r w:rsidRPr="00902FB0">
        <w:rPr>
          <w:rFonts w:ascii="Times New Roman" w:hAnsi="Times New Roman"/>
          <w:sz w:val="20"/>
          <w:szCs w:val="20"/>
          <w:highlight w:val="green"/>
        </w:rPr>
        <w:t>0-125 Low risk</w:t>
      </w:r>
      <w:r w:rsidRPr="00902FB0">
        <w:rPr>
          <w:rFonts w:ascii="Times New Roman" w:hAnsi="Times New Roman"/>
          <w:sz w:val="20"/>
          <w:szCs w:val="20"/>
        </w:rPr>
        <w:t xml:space="preserve">    </w:t>
      </w:r>
      <w:r w:rsidRPr="00902FB0">
        <w:rPr>
          <w:rFonts w:ascii="Times New Roman" w:hAnsi="Times New Roman"/>
          <w:sz w:val="20"/>
          <w:szCs w:val="20"/>
          <w:highlight w:val="yellow"/>
        </w:rPr>
        <w:t>126-300 Medium risk</w:t>
      </w:r>
      <w:r w:rsidRPr="00902FB0">
        <w:rPr>
          <w:rFonts w:ascii="Times New Roman" w:hAnsi="Times New Roman"/>
          <w:sz w:val="20"/>
          <w:szCs w:val="20"/>
        </w:rPr>
        <w:t xml:space="preserve">      </w:t>
      </w:r>
      <w:r w:rsidRPr="00902FB0">
        <w:rPr>
          <w:rFonts w:ascii="Times New Roman" w:hAnsi="Times New Roman"/>
          <w:sz w:val="20"/>
          <w:szCs w:val="20"/>
          <w:highlight w:val="red"/>
        </w:rPr>
        <w:t>301-1000 High risk</w:t>
      </w:r>
    </w:p>
    <w:p w:rsidR="00902FB0" w:rsidRDefault="00902FB0" w:rsidP="00902FB0">
      <w:pPr>
        <w:rPr>
          <w:rFonts w:ascii="Times New Roman" w:hAnsi="Times New Roman"/>
          <w:noProof/>
          <w:sz w:val="24"/>
          <w:szCs w:val="24"/>
        </w:rPr>
      </w:pPr>
    </w:p>
    <w:p w:rsidR="00172AC5" w:rsidRDefault="00172AC5" w:rsidP="00902FB0">
      <w:pPr>
        <w:rPr>
          <w:rFonts w:ascii="Times New Roman" w:hAnsi="Times New Roman"/>
          <w:noProof/>
          <w:sz w:val="24"/>
          <w:szCs w:val="24"/>
        </w:rPr>
      </w:pPr>
    </w:p>
    <w:p w:rsidR="00172AC5" w:rsidRPr="00172AC5" w:rsidRDefault="00172AC5" w:rsidP="00172AC5">
      <w:pPr>
        <w:spacing w:line="240" w:lineRule="auto"/>
        <w:jc w:val="both"/>
        <w:rPr>
          <w:rFonts w:ascii="Times New Roman" w:hAnsi="Times New Roman"/>
          <w:sz w:val="20"/>
          <w:szCs w:val="20"/>
        </w:rPr>
      </w:pPr>
      <w:r w:rsidRPr="00172AC5">
        <w:rPr>
          <w:rFonts w:ascii="Times New Roman" w:hAnsi="Times New Roman"/>
          <w:b/>
          <w:sz w:val="20"/>
          <w:szCs w:val="20"/>
        </w:rPr>
        <w:lastRenderedPageBreak/>
        <w:t>Table S4:</w:t>
      </w:r>
      <w:r w:rsidRPr="00172AC5">
        <w:rPr>
          <w:sz w:val="20"/>
          <w:szCs w:val="20"/>
        </w:rPr>
        <w:t xml:space="preserve"> </w:t>
      </w:r>
      <w:r w:rsidRPr="00172AC5">
        <w:rPr>
          <w:rFonts w:ascii="Times New Roman" w:hAnsi="Times New Roman"/>
          <w:sz w:val="20"/>
          <w:szCs w:val="20"/>
        </w:rPr>
        <w:t xml:space="preserve">Traingular prism design for selecting the appropriate temperature required for the complete solubilization of ATZ into </w:t>
      </w:r>
      <w:r w:rsidR="005A626C">
        <w:rPr>
          <w:rFonts w:ascii="Times New Roman" w:hAnsi="Times New Roman"/>
          <w:sz w:val="20"/>
          <w:szCs w:val="20"/>
        </w:rPr>
        <w:t>IM</w:t>
      </w:r>
      <w:r w:rsidRPr="00172AC5">
        <w:rPr>
          <w:rFonts w:ascii="Times New Roman" w:hAnsi="Times New Roman"/>
          <w:sz w:val="20"/>
          <w:szCs w:val="20"/>
        </w:rPr>
        <w:t>.</w:t>
      </w:r>
    </w:p>
    <w:tbl>
      <w:tblPr>
        <w:tblW w:w="10514" w:type="dxa"/>
        <w:jc w:val="center"/>
        <w:tblCellSpacing w:w="15" w:type="dxa"/>
        <w:tblInd w:w="-143" w:type="dxa"/>
        <w:tblLayout w:type="fixed"/>
        <w:tblCellMar>
          <w:top w:w="15" w:type="dxa"/>
          <w:left w:w="15" w:type="dxa"/>
          <w:bottom w:w="15" w:type="dxa"/>
          <w:right w:w="15" w:type="dxa"/>
        </w:tblCellMar>
        <w:tblLook w:val="04A0"/>
      </w:tblPr>
      <w:tblGrid>
        <w:gridCol w:w="699"/>
        <w:gridCol w:w="1292"/>
        <w:gridCol w:w="1170"/>
        <w:gridCol w:w="1080"/>
        <w:gridCol w:w="1018"/>
        <w:gridCol w:w="1350"/>
        <w:gridCol w:w="1170"/>
        <w:gridCol w:w="1620"/>
        <w:gridCol w:w="1115"/>
      </w:tblGrid>
      <w:tr w:rsidR="00172AC5" w:rsidRPr="00172AC5" w:rsidTr="00EA62C2">
        <w:trPr>
          <w:tblCellSpacing w:w="15" w:type="dxa"/>
          <w:jc w:val="center"/>
        </w:trPr>
        <w:tc>
          <w:tcPr>
            <w:tcW w:w="654" w:type="dxa"/>
            <w:tcBorders>
              <w:top w:val="single" w:sz="4" w:space="0" w:color="auto"/>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F.No.</w:t>
            </w:r>
          </w:p>
        </w:tc>
        <w:tc>
          <w:tcPr>
            <w:tcW w:w="1262" w:type="dxa"/>
            <w:tcBorders>
              <w:top w:val="single" w:sz="4" w:space="0" w:color="auto"/>
              <w:bottom w:val="single" w:sz="4" w:space="0" w:color="auto"/>
            </w:tcBorders>
            <w:shd w:val="clear" w:color="auto" w:fill="FFFFFF"/>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1</w:t>
            </w:r>
            <w:r w:rsidRPr="00172AC5">
              <w:rPr>
                <w:rFonts w:ascii="Times New Roman" w:hAnsi="Times New Roman"/>
                <w:b/>
                <w:color w:val="000000"/>
                <w:sz w:val="20"/>
                <w:szCs w:val="20"/>
              </w:rPr>
              <w:t>)</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Oil (CO:OA)</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(1:1)</w:t>
            </w:r>
          </w:p>
          <w:p w:rsidR="00172AC5" w:rsidRPr="00172AC5" w:rsidRDefault="00F11FA5" w:rsidP="00EA62C2">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1140" w:type="dxa"/>
            <w:tcBorders>
              <w:top w:val="single" w:sz="4" w:space="0" w:color="auto"/>
              <w:bottom w:val="single" w:sz="4" w:space="0" w:color="auto"/>
            </w:tcBorders>
            <w:shd w:val="clear" w:color="auto" w:fill="FFFFFF"/>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2</w:t>
            </w:r>
            <w:r w:rsidRPr="00172AC5">
              <w:rPr>
                <w:rFonts w:ascii="Times New Roman" w:hAnsi="Times New Roman"/>
                <w:b/>
                <w:color w:val="000000"/>
                <w:sz w:val="20"/>
                <w:szCs w:val="20"/>
              </w:rPr>
              <w:t>)</w:t>
            </w:r>
          </w:p>
          <w:p w:rsidR="00172AC5" w:rsidRPr="00172AC5" w:rsidRDefault="00172AC5" w:rsidP="00EA62C2">
            <w:pPr>
              <w:spacing w:after="0"/>
              <w:jc w:val="center"/>
              <w:rPr>
                <w:rFonts w:ascii="Times New Roman" w:hAnsi="Times New Roman"/>
                <w:b/>
                <w:color w:val="000000"/>
                <w:sz w:val="20"/>
                <w:szCs w:val="20"/>
              </w:rPr>
            </w:pP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Surfactant</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(T80)</w:t>
            </w:r>
          </w:p>
          <w:p w:rsidR="00172AC5" w:rsidRPr="00172AC5" w:rsidRDefault="00F11FA5" w:rsidP="00EA62C2">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1050" w:type="dxa"/>
            <w:tcBorders>
              <w:top w:val="single" w:sz="4" w:space="0" w:color="auto"/>
              <w:bottom w:val="single" w:sz="4" w:space="0" w:color="auto"/>
            </w:tcBorders>
            <w:shd w:val="clear" w:color="auto" w:fill="FFFFFF"/>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(X</w:t>
            </w:r>
            <w:r w:rsidRPr="00172AC5">
              <w:rPr>
                <w:rFonts w:ascii="Times New Roman" w:hAnsi="Times New Roman"/>
                <w:b/>
                <w:color w:val="000000"/>
                <w:sz w:val="20"/>
                <w:szCs w:val="20"/>
                <w:vertAlign w:val="subscript"/>
              </w:rPr>
              <w:t>3</w:t>
            </w:r>
            <w:r w:rsidRPr="00172AC5">
              <w:rPr>
                <w:rFonts w:ascii="Times New Roman" w:hAnsi="Times New Roman"/>
                <w:b/>
                <w:color w:val="000000"/>
                <w:sz w:val="20"/>
                <w:szCs w:val="20"/>
              </w:rPr>
              <w:t>)</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Co-Surfactant</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(PG)</w:t>
            </w:r>
          </w:p>
          <w:p w:rsidR="00172AC5" w:rsidRPr="00172AC5" w:rsidRDefault="00F11FA5" w:rsidP="00EA62C2">
            <w:pPr>
              <w:spacing w:after="0"/>
              <w:jc w:val="center"/>
              <w:rPr>
                <w:rFonts w:ascii="Times New Roman" w:hAnsi="Times New Roman"/>
                <w:b/>
                <w:color w:val="000000"/>
                <w:sz w:val="20"/>
                <w:szCs w:val="20"/>
              </w:rPr>
            </w:pPr>
            <w:r>
              <w:rPr>
                <w:rFonts w:ascii="Times New Roman" w:hAnsi="Times New Roman"/>
                <w:b/>
                <w:color w:val="000000"/>
                <w:sz w:val="20"/>
                <w:szCs w:val="20"/>
              </w:rPr>
              <w:t>(g</w:t>
            </w:r>
            <w:r w:rsidR="00172AC5" w:rsidRPr="00172AC5">
              <w:rPr>
                <w:rFonts w:ascii="Times New Roman" w:hAnsi="Times New Roman"/>
                <w:b/>
                <w:color w:val="000000"/>
                <w:sz w:val="20"/>
                <w:szCs w:val="20"/>
              </w:rPr>
              <w:t>)</w:t>
            </w:r>
          </w:p>
        </w:tc>
        <w:tc>
          <w:tcPr>
            <w:tcW w:w="988" w:type="dxa"/>
            <w:tcBorders>
              <w:top w:val="single" w:sz="4" w:space="0" w:color="auto"/>
              <w:bottom w:val="single" w:sz="4" w:space="0" w:color="auto"/>
            </w:tcBorders>
            <w:shd w:val="clear" w:color="auto" w:fill="FFFFFF"/>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(Z</w:t>
            </w:r>
            <w:r w:rsidRPr="00172AC5">
              <w:rPr>
                <w:rFonts w:ascii="Times New Roman" w:hAnsi="Times New Roman"/>
                <w:b/>
                <w:color w:val="000000"/>
                <w:sz w:val="20"/>
                <w:szCs w:val="20"/>
                <w:vertAlign w:val="subscript"/>
              </w:rPr>
              <w:t>4</w:t>
            </w:r>
            <w:r w:rsidRPr="00172AC5">
              <w:rPr>
                <w:rFonts w:ascii="Times New Roman" w:hAnsi="Times New Roman"/>
                <w:b/>
                <w:color w:val="000000"/>
                <w:sz w:val="20"/>
                <w:szCs w:val="20"/>
              </w:rPr>
              <w:t>)</w:t>
            </w:r>
          </w:p>
          <w:p w:rsidR="00172AC5" w:rsidRPr="00172AC5" w:rsidRDefault="00172AC5" w:rsidP="00EA62C2">
            <w:pPr>
              <w:spacing w:after="0"/>
              <w:jc w:val="center"/>
              <w:rPr>
                <w:rFonts w:ascii="Times New Roman" w:hAnsi="Times New Roman"/>
                <w:b/>
                <w:color w:val="000000"/>
                <w:sz w:val="20"/>
                <w:szCs w:val="20"/>
              </w:rPr>
            </w:pP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Temp.</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(˚C)</w:t>
            </w:r>
          </w:p>
        </w:tc>
        <w:tc>
          <w:tcPr>
            <w:tcW w:w="1320" w:type="dxa"/>
            <w:tcBorders>
              <w:top w:val="single" w:sz="4" w:space="0" w:color="auto"/>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 T</w:t>
            </w:r>
          </w:p>
        </w:tc>
        <w:tc>
          <w:tcPr>
            <w:tcW w:w="1140" w:type="dxa"/>
            <w:tcBorders>
              <w:top w:val="single" w:sz="4" w:space="0" w:color="auto"/>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PS</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(nm)</w:t>
            </w:r>
          </w:p>
        </w:tc>
        <w:tc>
          <w:tcPr>
            <w:tcW w:w="1590" w:type="dxa"/>
            <w:tcBorders>
              <w:top w:val="single" w:sz="4" w:space="0" w:color="auto"/>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PDI</w:t>
            </w:r>
          </w:p>
        </w:tc>
        <w:tc>
          <w:tcPr>
            <w:tcW w:w="1070" w:type="dxa"/>
            <w:tcBorders>
              <w:top w:val="single" w:sz="4" w:space="0" w:color="auto"/>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DC</w:t>
            </w:r>
          </w:p>
          <w:p w:rsidR="00172AC5" w:rsidRPr="00172AC5" w:rsidRDefault="00172AC5" w:rsidP="00EA62C2">
            <w:pPr>
              <w:spacing w:after="0"/>
              <w:jc w:val="center"/>
              <w:rPr>
                <w:rFonts w:ascii="Times New Roman" w:hAnsi="Times New Roman"/>
                <w:b/>
                <w:color w:val="000000"/>
                <w:sz w:val="20"/>
                <w:szCs w:val="20"/>
              </w:rPr>
            </w:pPr>
            <w:r w:rsidRPr="00172AC5">
              <w:rPr>
                <w:rFonts w:ascii="Times New Roman" w:hAnsi="Times New Roman"/>
                <w:b/>
                <w:color w:val="000000"/>
                <w:sz w:val="20"/>
                <w:szCs w:val="20"/>
              </w:rPr>
              <w:t>(%)</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w:t>
            </w:r>
          </w:p>
        </w:tc>
        <w:tc>
          <w:tcPr>
            <w:tcW w:w="1262" w:type="dxa"/>
            <w:shd w:val="clear" w:color="auto" w:fill="FFFFFF"/>
            <w:vAlign w:val="center"/>
            <w:hideMark/>
          </w:tcPr>
          <w:p w:rsidR="00172AC5" w:rsidRPr="00172AC5" w:rsidRDefault="00F11FA5" w:rsidP="00F11FA5">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99.4±0.4</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12.7±0.6</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0.098±0.004</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66.1±1.9</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2.</w:t>
            </w:r>
          </w:p>
        </w:tc>
        <w:tc>
          <w:tcPr>
            <w:tcW w:w="1262" w:type="dxa"/>
            <w:shd w:val="clear" w:color="auto" w:fill="FFFFFF"/>
            <w:vAlign w:val="center"/>
            <w:hideMark/>
          </w:tcPr>
          <w:p w:rsidR="00172AC5" w:rsidRPr="00172AC5" w:rsidRDefault="00F11FA5" w:rsidP="00F11FA5">
            <w:pPr>
              <w:spacing w:after="0"/>
              <w:jc w:val="center"/>
              <w:rPr>
                <w:rFonts w:ascii="Times New Roman" w:hAnsi="Times New Roman"/>
                <w:color w:val="000000"/>
                <w:sz w:val="20"/>
                <w:szCs w:val="20"/>
              </w:rPr>
            </w:pPr>
            <w:r>
              <w:rPr>
                <w:rFonts w:ascii="Times New Roman" w:hAnsi="Times New Roman"/>
                <w:color w:val="000000"/>
                <w:sz w:val="20"/>
                <w:szCs w:val="20"/>
              </w:rPr>
              <w:t>0.1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99.5±0.3</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13.1±0.4</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0.493±0.02</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82.3±1.4</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3.</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99.5±0.2</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15.4±0.7</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0.194±0.009</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81.5±1.2</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4.</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35</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98.8±0.6</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14.4±0.3</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0.04±0.002</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69.1±1.4</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5.</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6</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99.4±0.3</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13.1±0.5</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0.045±0.002</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54.3±1.1</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99.1±0.5</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14.4±0.6</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0.034±0.001</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26.5±0.7</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7.</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0.6</w:t>
            </w:r>
            <w:r w:rsidR="00172AC5" w:rsidRPr="00172AC5">
              <w:rPr>
                <w:rFonts w:ascii="Times New Roman" w:hAnsi="Times New Roman"/>
                <w:color w:val="000000"/>
                <w:sz w:val="20"/>
                <w:szCs w:val="20"/>
              </w:rPr>
              <w:t>0</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99.6±0.2</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12.9±0.5</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0.246±0.01</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90.1±2.1</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15</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99.4±0.4</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14.7±0.7</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0.097±0.003</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73.8±1.7</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2</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99±0.6</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44.7±2.1</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0.456±0.02</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85.8±2.2</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10.</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4</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99.5±0.2</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13.2±0.4</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0.63±0.03</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87.6±1.8</w:t>
            </w:r>
          </w:p>
        </w:tc>
      </w:tr>
      <w:tr w:rsidR="00172AC5" w:rsidRPr="00172AC5" w:rsidTr="00EA62C2">
        <w:trPr>
          <w:tblCellSpacing w:w="15" w:type="dxa"/>
          <w:jc w:val="center"/>
        </w:trPr>
        <w:tc>
          <w:tcPr>
            <w:tcW w:w="654"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11.</w:t>
            </w:r>
          </w:p>
        </w:tc>
        <w:tc>
          <w:tcPr>
            <w:tcW w:w="1262"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1</w:t>
            </w:r>
          </w:p>
        </w:tc>
        <w:tc>
          <w:tcPr>
            <w:tcW w:w="114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4</w:t>
            </w:r>
          </w:p>
        </w:tc>
        <w:tc>
          <w:tcPr>
            <w:tcW w:w="988"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99.2±0.5</w:t>
            </w:r>
          </w:p>
        </w:tc>
        <w:tc>
          <w:tcPr>
            <w:tcW w:w="114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12.8±0.6</w:t>
            </w:r>
          </w:p>
        </w:tc>
        <w:tc>
          <w:tcPr>
            <w:tcW w:w="159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0.091±0.003</w:t>
            </w:r>
          </w:p>
        </w:tc>
        <w:tc>
          <w:tcPr>
            <w:tcW w:w="1070" w:type="dxa"/>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23.5±0.7</w:t>
            </w:r>
          </w:p>
        </w:tc>
      </w:tr>
      <w:tr w:rsidR="00172AC5" w:rsidRPr="00172AC5" w:rsidTr="00EA62C2">
        <w:trPr>
          <w:tblCellSpacing w:w="15" w:type="dxa"/>
          <w:jc w:val="center"/>
        </w:trPr>
        <w:tc>
          <w:tcPr>
            <w:tcW w:w="654"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12.</w:t>
            </w:r>
          </w:p>
        </w:tc>
        <w:tc>
          <w:tcPr>
            <w:tcW w:w="1262" w:type="dxa"/>
            <w:tcBorders>
              <w:bottom w:val="single" w:sz="4" w:space="0" w:color="auto"/>
            </w:tcBorders>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0.2</w:t>
            </w:r>
            <w:r w:rsidR="00172AC5" w:rsidRPr="00172AC5">
              <w:rPr>
                <w:rFonts w:ascii="Times New Roman" w:hAnsi="Times New Roman"/>
                <w:color w:val="000000"/>
                <w:sz w:val="20"/>
                <w:szCs w:val="20"/>
              </w:rPr>
              <w:t>0</w:t>
            </w:r>
          </w:p>
        </w:tc>
        <w:tc>
          <w:tcPr>
            <w:tcW w:w="1140" w:type="dxa"/>
            <w:tcBorders>
              <w:bottom w:val="single" w:sz="4" w:space="0" w:color="auto"/>
            </w:tcBorders>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5</w:t>
            </w:r>
          </w:p>
        </w:tc>
        <w:tc>
          <w:tcPr>
            <w:tcW w:w="1050" w:type="dxa"/>
            <w:tcBorders>
              <w:bottom w:val="single" w:sz="4" w:space="0" w:color="auto"/>
            </w:tcBorders>
            <w:shd w:val="clear" w:color="auto" w:fill="FFFFFF"/>
            <w:vAlign w:val="center"/>
            <w:hideMark/>
          </w:tcPr>
          <w:p w:rsidR="00172AC5" w:rsidRPr="00172AC5" w:rsidRDefault="00F11FA5" w:rsidP="00EA62C2">
            <w:pPr>
              <w:spacing w:after="0"/>
              <w:jc w:val="center"/>
              <w:rPr>
                <w:rFonts w:ascii="Times New Roman" w:hAnsi="Times New Roman"/>
                <w:color w:val="000000"/>
                <w:sz w:val="20"/>
                <w:szCs w:val="20"/>
              </w:rPr>
            </w:pPr>
            <w:r>
              <w:rPr>
                <w:rFonts w:ascii="Times New Roman" w:hAnsi="Times New Roman"/>
                <w:color w:val="000000"/>
                <w:sz w:val="20"/>
                <w:szCs w:val="20"/>
              </w:rPr>
              <w:t>0.</w:t>
            </w:r>
            <w:r w:rsidR="00172AC5" w:rsidRPr="00172AC5">
              <w:rPr>
                <w:rFonts w:ascii="Times New Roman" w:hAnsi="Times New Roman"/>
                <w:color w:val="000000"/>
                <w:sz w:val="20"/>
                <w:szCs w:val="20"/>
              </w:rPr>
              <w:t>3</w:t>
            </w:r>
          </w:p>
        </w:tc>
        <w:tc>
          <w:tcPr>
            <w:tcW w:w="988"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60</w:t>
            </w:r>
          </w:p>
        </w:tc>
        <w:tc>
          <w:tcPr>
            <w:tcW w:w="1320"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99±0.4</w:t>
            </w:r>
          </w:p>
        </w:tc>
        <w:tc>
          <w:tcPr>
            <w:tcW w:w="1140"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69.7±3.1</w:t>
            </w:r>
          </w:p>
        </w:tc>
        <w:tc>
          <w:tcPr>
            <w:tcW w:w="1590"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0.297±0.01</w:t>
            </w:r>
          </w:p>
        </w:tc>
        <w:tc>
          <w:tcPr>
            <w:tcW w:w="1070" w:type="dxa"/>
            <w:tcBorders>
              <w:bottom w:val="single" w:sz="4" w:space="0" w:color="auto"/>
            </w:tcBorders>
            <w:shd w:val="clear" w:color="auto" w:fill="FFFFFF"/>
            <w:vAlign w:val="center"/>
            <w:hideMark/>
          </w:tcPr>
          <w:p w:rsidR="00172AC5" w:rsidRPr="00172AC5" w:rsidRDefault="00172AC5" w:rsidP="00EA62C2">
            <w:pPr>
              <w:spacing w:after="0"/>
              <w:jc w:val="center"/>
              <w:rPr>
                <w:rFonts w:ascii="Times New Roman" w:hAnsi="Times New Roman"/>
                <w:color w:val="000000"/>
                <w:sz w:val="20"/>
                <w:szCs w:val="20"/>
              </w:rPr>
            </w:pPr>
            <w:r w:rsidRPr="00172AC5">
              <w:rPr>
                <w:rFonts w:ascii="Times New Roman" w:hAnsi="Times New Roman"/>
                <w:color w:val="000000"/>
                <w:sz w:val="20"/>
                <w:szCs w:val="20"/>
              </w:rPr>
              <w:t>71.6±1.4</w:t>
            </w:r>
          </w:p>
        </w:tc>
      </w:tr>
    </w:tbl>
    <w:p w:rsidR="00172AC5" w:rsidRDefault="00172AC5" w:rsidP="00172AC5">
      <w:pPr>
        <w:rPr>
          <w:rFonts w:ascii="Times New Roman" w:hAnsi="Times New Roman"/>
          <w:sz w:val="20"/>
          <w:szCs w:val="20"/>
        </w:rPr>
      </w:pPr>
      <w:r w:rsidRPr="00865135">
        <w:rPr>
          <w:rFonts w:ascii="Times New Roman" w:hAnsi="Times New Roman"/>
          <w:sz w:val="20"/>
          <w:szCs w:val="20"/>
        </w:rPr>
        <w:t>*CO: Corn Oil; OA: Oleic Acid; T80: Tween 80; PG: Propylene Glycol</w:t>
      </w:r>
      <w:r>
        <w:rPr>
          <w:rFonts w:ascii="Times New Roman" w:hAnsi="Times New Roman"/>
          <w:sz w:val="20"/>
          <w:szCs w:val="20"/>
        </w:rPr>
        <w:t>; % T: Percent Transmittance; PS: Particle Size; PDI: Polydispersity Index; DC: Drug Content</w:t>
      </w:r>
    </w:p>
    <w:p w:rsidR="00172AC5" w:rsidRPr="00172AC5" w:rsidRDefault="00172AC5" w:rsidP="00172AC5">
      <w:pPr>
        <w:rPr>
          <w:rFonts w:ascii="Times New Roman" w:hAnsi="Times New Roman"/>
          <w:sz w:val="20"/>
          <w:szCs w:val="20"/>
        </w:rPr>
      </w:pPr>
      <w:r w:rsidRPr="00172AC5">
        <w:rPr>
          <w:rFonts w:ascii="Times New Roman" w:hAnsi="Times New Roman"/>
          <w:b/>
          <w:sz w:val="20"/>
          <w:szCs w:val="20"/>
        </w:rPr>
        <w:t>Table S5:</w:t>
      </w:r>
      <w:r w:rsidRPr="00172AC5">
        <w:rPr>
          <w:rFonts w:ascii="Times New Roman" w:hAnsi="Times New Roman"/>
          <w:sz w:val="20"/>
          <w:szCs w:val="20"/>
        </w:rPr>
        <w:t xml:space="preserve"> Multiple linear regression (MLR) analysis of various critical response variables (CRVs).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915"/>
        <w:gridCol w:w="1915"/>
        <w:gridCol w:w="2180"/>
        <w:gridCol w:w="2050"/>
      </w:tblGrid>
      <w:tr w:rsidR="00172AC5" w:rsidRPr="00172AC5" w:rsidTr="00EA62C2">
        <w:trPr>
          <w:jc w:val="center"/>
        </w:trPr>
        <w:tc>
          <w:tcPr>
            <w:tcW w:w="1915" w:type="dxa"/>
            <w:tcBorders>
              <w:top w:val="single" w:sz="4" w:space="0" w:color="auto"/>
              <w:bottom w:val="single" w:sz="4" w:space="0" w:color="auto"/>
            </w:tcBorders>
          </w:tcPr>
          <w:p w:rsidR="00172AC5" w:rsidRPr="00172AC5" w:rsidRDefault="00172AC5" w:rsidP="00EA62C2">
            <w:pPr>
              <w:jc w:val="center"/>
              <w:rPr>
                <w:rFonts w:ascii="Times New Roman" w:hAnsi="Times New Roman"/>
                <w:b/>
                <w:sz w:val="20"/>
                <w:szCs w:val="20"/>
              </w:rPr>
            </w:pPr>
            <w:r w:rsidRPr="00172AC5">
              <w:rPr>
                <w:rFonts w:ascii="Times New Roman" w:hAnsi="Times New Roman"/>
                <w:b/>
                <w:sz w:val="20"/>
                <w:szCs w:val="20"/>
              </w:rPr>
              <w:t>Variables</w:t>
            </w:r>
          </w:p>
        </w:tc>
        <w:tc>
          <w:tcPr>
            <w:tcW w:w="1915" w:type="dxa"/>
            <w:tcBorders>
              <w:top w:val="single" w:sz="4" w:space="0" w:color="auto"/>
              <w:bottom w:val="single" w:sz="4" w:space="0" w:color="auto"/>
            </w:tcBorders>
          </w:tcPr>
          <w:p w:rsidR="00172AC5" w:rsidRPr="00172AC5" w:rsidRDefault="00172AC5" w:rsidP="00EA62C2">
            <w:pPr>
              <w:jc w:val="center"/>
              <w:rPr>
                <w:rFonts w:ascii="Times New Roman" w:hAnsi="Times New Roman"/>
                <w:b/>
                <w:sz w:val="20"/>
                <w:szCs w:val="20"/>
              </w:rPr>
            </w:pPr>
            <w:r w:rsidRPr="00172AC5">
              <w:rPr>
                <w:rFonts w:ascii="Times New Roman" w:hAnsi="Times New Roman"/>
                <w:b/>
                <w:sz w:val="20"/>
                <w:szCs w:val="20"/>
              </w:rPr>
              <w:t>Intercept</w:t>
            </w:r>
          </w:p>
        </w:tc>
        <w:tc>
          <w:tcPr>
            <w:tcW w:w="2180" w:type="dxa"/>
            <w:tcBorders>
              <w:top w:val="single" w:sz="4" w:space="0" w:color="auto"/>
              <w:bottom w:val="single" w:sz="4" w:space="0" w:color="auto"/>
            </w:tcBorders>
          </w:tcPr>
          <w:p w:rsidR="00172AC5" w:rsidRPr="00172AC5" w:rsidRDefault="00172AC5" w:rsidP="00EA62C2">
            <w:pPr>
              <w:jc w:val="center"/>
              <w:rPr>
                <w:rFonts w:ascii="Times New Roman" w:hAnsi="Times New Roman"/>
                <w:b/>
                <w:sz w:val="20"/>
                <w:szCs w:val="20"/>
              </w:rPr>
            </w:pPr>
            <w:r w:rsidRPr="00172AC5">
              <w:rPr>
                <w:rFonts w:ascii="Times New Roman" w:hAnsi="Times New Roman"/>
                <w:b/>
                <w:sz w:val="20"/>
                <w:szCs w:val="20"/>
              </w:rPr>
              <w:t>B</w:t>
            </w:r>
          </w:p>
        </w:tc>
        <w:tc>
          <w:tcPr>
            <w:tcW w:w="2050" w:type="dxa"/>
            <w:tcBorders>
              <w:top w:val="single" w:sz="4" w:space="0" w:color="auto"/>
              <w:bottom w:val="single" w:sz="4" w:space="0" w:color="auto"/>
            </w:tcBorders>
          </w:tcPr>
          <w:p w:rsidR="00172AC5" w:rsidRPr="00172AC5" w:rsidRDefault="00172AC5" w:rsidP="00EA62C2">
            <w:pPr>
              <w:jc w:val="center"/>
              <w:rPr>
                <w:rFonts w:ascii="Times New Roman" w:hAnsi="Times New Roman"/>
                <w:b/>
                <w:sz w:val="20"/>
                <w:szCs w:val="20"/>
              </w:rPr>
            </w:pPr>
            <w:r w:rsidRPr="00172AC5">
              <w:rPr>
                <w:rFonts w:ascii="Times New Roman" w:hAnsi="Times New Roman"/>
                <w:b/>
                <w:sz w:val="20"/>
                <w:szCs w:val="20"/>
              </w:rPr>
              <w:t>Active variable</w:t>
            </w:r>
          </w:p>
        </w:tc>
      </w:tr>
      <w:tr w:rsidR="00172AC5" w:rsidRPr="00172AC5" w:rsidTr="00EA62C2">
        <w:trPr>
          <w:jc w:val="center"/>
        </w:trPr>
        <w:tc>
          <w:tcPr>
            <w:tcW w:w="1915" w:type="dxa"/>
            <w:tcBorders>
              <w:top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Particle Size</w:t>
            </w:r>
          </w:p>
        </w:tc>
        <w:tc>
          <w:tcPr>
            <w:tcW w:w="1915" w:type="dxa"/>
            <w:tcBorders>
              <w:top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8.89;</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0.072</w:t>
            </w:r>
          </w:p>
        </w:tc>
        <w:tc>
          <w:tcPr>
            <w:tcW w:w="2180" w:type="dxa"/>
            <w:tcBorders>
              <w:top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36.09;</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0.0022</w:t>
            </w:r>
          </w:p>
        </w:tc>
        <w:tc>
          <w:tcPr>
            <w:tcW w:w="2050" w:type="dxa"/>
            <w:tcBorders>
              <w:top w:val="single" w:sz="4" w:space="0" w:color="auto"/>
            </w:tcBorders>
            <w:vAlign w:val="center"/>
          </w:tcPr>
          <w:p w:rsidR="00172AC5" w:rsidRPr="00172AC5" w:rsidRDefault="00172AC5" w:rsidP="00EA62C2">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1</w:t>
            </w:r>
          </w:p>
        </w:tc>
      </w:tr>
      <w:tr w:rsidR="00172AC5" w:rsidRPr="00172AC5" w:rsidTr="00EA62C2">
        <w:trPr>
          <w:jc w:val="center"/>
        </w:trPr>
        <w:tc>
          <w:tcPr>
            <w:tcW w:w="1915"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Drug Content</w:t>
            </w:r>
          </w:p>
        </w:tc>
        <w:tc>
          <w:tcPr>
            <w:tcW w:w="1915"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67.68;</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w:t>
            </w:r>
          </w:p>
        </w:tc>
        <w:tc>
          <w:tcPr>
            <w:tcW w:w="2180"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15.83;</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0.000038</w:t>
            </w:r>
          </w:p>
        </w:tc>
        <w:tc>
          <w:tcPr>
            <w:tcW w:w="2050" w:type="dxa"/>
            <w:vAlign w:val="center"/>
          </w:tcPr>
          <w:p w:rsidR="00172AC5" w:rsidRPr="00172AC5" w:rsidRDefault="00172AC5" w:rsidP="00EA62C2">
            <w:pPr>
              <w:jc w:val="center"/>
              <w:rPr>
                <w:rFonts w:ascii="Times New Roman" w:hAnsi="Times New Roman"/>
                <w:sz w:val="20"/>
                <w:szCs w:val="20"/>
                <w:vertAlign w:val="subscript"/>
              </w:rPr>
            </w:pPr>
            <w:r w:rsidRPr="00172AC5">
              <w:rPr>
                <w:rFonts w:ascii="Times New Roman" w:hAnsi="Times New Roman"/>
                <w:sz w:val="20"/>
                <w:szCs w:val="20"/>
              </w:rPr>
              <w:t>Z</w:t>
            </w:r>
            <w:r w:rsidRPr="00172AC5">
              <w:rPr>
                <w:rFonts w:ascii="Times New Roman" w:hAnsi="Times New Roman"/>
                <w:sz w:val="20"/>
                <w:szCs w:val="20"/>
                <w:vertAlign w:val="subscript"/>
              </w:rPr>
              <w:t>4</w:t>
            </w:r>
          </w:p>
        </w:tc>
      </w:tr>
      <w:tr w:rsidR="00172AC5" w:rsidRPr="00172AC5" w:rsidTr="00EA62C2">
        <w:trPr>
          <w:jc w:val="center"/>
        </w:trPr>
        <w:tc>
          <w:tcPr>
            <w:tcW w:w="1915"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 Transmittance</w:t>
            </w:r>
          </w:p>
        </w:tc>
        <w:tc>
          <w:tcPr>
            <w:tcW w:w="1915"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99.51;</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w:t>
            </w:r>
          </w:p>
        </w:tc>
        <w:tc>
          <w:tcPr>
            <w:tcW w:w="2180" w:type="dxa"/>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1</w:t>
            </w:r>
            <w:r w:rsidRPr="00172AC5">
              <w:rPr>
                <w:rFonts w:ascii="Times New Roman" w:hAnsi="Times New Roman"/>
                <w:sz w:val="20"/>
                <w:szCs w:val="20"/>
              </w:rPr>
              <w:t xml:space="preserve"> B = -0.520;</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0.002</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3</w:t>
            </w:r>
            <w:r w:rsidRPr="00172AC5">
              <w:rPr>
                <w:rFonts w:ascii="Times New Roman" w:hAnsi="Times New Roman"/>
                <w:sz w:val="20"/>
                <w:szCs w:val="20"/>
              </w:rPr>
              <w:t xml:space="preserve"> = -0.160</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0.225</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Z</w:t>
            </w:r>
            <w:r w:rsidRPr="00172AC5">
              <w:rPr>
                <w:rFonts w:ascii="Times New Roman" w:hAnsi="Times New Roman"/>
                <w:sz w:val="20"/>
                <w:szCs w:val="20"/>
                <w:vertAlign w:val="subscript"/>
              </w:rPr>
              <w:t xml:space="preserve">4 </w:t>
            </w:r>
            <w:r w:rsidRPr="00172AC5">
              <w:rPr>
                <w:rFonts w:ascii="Times New Roman" w:hAnsi="Times New Roman"/>
                <w:sz w:val="20"/>
                <w:szCs w:val="20"/>
              </w:rPr>
              <w:t>B = 0.133;</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0.0095</w:t>
            </w:r>
          </w:p>
        </w:tc>
        <w:tc>
          <w:tcPr>
            <w:tcW w:w="2050" w:type="dxa"/>
            <w:vAlign w:val="center"/>
          </w:tcPr>
          <w:p w:rsidR="00172AC5" w:rsidRPr="00172AC5" w:rsidRDefault="00172AC5" w:rsidP="00EA62C2">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1</w:t>
            </w:r>
            <w:r w:rsidRPr="00172AC5">
              <w:rPr>
                <w:rFonts w:ascii="Times New Roman" w:hAnsi="Times New Roman"/>
                <w:sz w:val="20"/>
                <w:szCs w:val="20"/>
              </w:rPr>
              <w:t>,</w:t>
            </w:r>
            <w:r w:rsidRPr="00172AC5">
              <w:rPr>
                <w:rFonts w:ascii="Times New Roman" w:hAnsi="Times New Roman"/>
                <w:sz w:val="20"/>
                <w:szCs w:val="20"/>
                <w:vertAlign w:val="subscript"/>
              </w:rPr>
              <w:t xml:space="preserve"> </w:t>
            </w:r>
            <w:r w:rsidRPr="00172AC5">
              <w:rPr>
                <w:rFonts w:ascii="Times New Roman" w:hAnsi="Times New Roman"/>
                <w:sz w:val="20"/>
                <w:szCs w:val="20"/>
              </w:rPr>
              <w:t>X</w:t>
            </w:r>
            <w:r w:rsidRPr="00172AC5">
              <w:rPr>
                <w:rFonts w:ascii="Times New Roman" w:hAnsi="Times New Roman"/>
                <w:sz w:val="20"/>
                <w:szCs w:val="20"/>
                <w:vertAlign w:val="subscript"/>
              </w:rPr>
              <w:t>3</w:t>
            </w:r>
            <w:r w:rsidRPr="00172AC5">
              <w:rPr>
                <w:rFonts w:ascii="Times New Roman" w:hAnsi="Times New Roman"/>
                <w:sz w:val="20"/>
                <w:szCs w:val="20"/>
              </w:rPr>
              <w:t xml:space="preserve"> and</w:t>
            </w:r>
            <w:r w:rsidRPr="00172AC5">
              <w:rPr>
                <w:rFonts w:ascii="Times New Roman" w:hAnsi="Times New Roman"/>
                <w:sz w:val="20"/>
                <w:szCs w:val="20"/>
                <w:vertAlign w:val="subscript"/>
              </w:rPr>
              <w:t xml:space="preserve"> </w:t>
            </w:r>
            <w:r w:rsidRPr="00172AC5">
              <w:rPr>
                <w:rFonts w:ascii="Times New Roman" w:hAnsi="Times New Roman"/>
                <w:sz w:val="20"/>
                <w:szCs w:val="20"/>
              </w:rPr>
              <w:t>Z</w:t>
            </w:r>
            <w:r w:rsidRPr="00172AC5">
              <w:rPr>
                <w:rFonts w:ascii="Times New Roman" w:hAnsi="Times New Roman"/>
                <w:sz w:val="20"/>
                <w:szCs w:val="20"/>
                <w:vertAlign w:val="subscript"/>
              </w:rPr>
              <w:t>4</w:t>
            </w:r>
          </w:p>
        </w:tc>
      </w:tr>
      <w:tr w:rsidR="00172AC5" w:rsidRPr="00172AC5" w:rsidTr="00EA62C2">
        <w:trPr>
          <w:jc w:val="center"/>
        </w:trPr>
        <w:tc>
          <w:tcPr>
            <w:tcW w:w="1915" w:type="dxa"/>
            <w:tcBorders>
              <w:bottom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PDI</w:t>
            </w:r>
          </w:p>
        </w:tc>
        <w:tc>
          <w:tcPr>
            <w:tcW w:w="1915" w:type="dxa"/>
            <w:tcBorders>
              <w:bottom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0.277;</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0.0013</w:t>
            </w:r>
          </w:p>
        </w:tc>
        <w:tc>
          <w:tcPr>
            <w:tcW w:w="2180" w:type="dxa"/>
            <w:tcBorders>
              <w:bottom w:val="single" w:sz="4" w:space="0" w:color="auto"/>
            </w:tcBorders>
            <w:vAlign w:val="center"/>
          </w:tcPr>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X</w:t>
            </w:r>
            <w:r w:rsidRPr="00172AC5">
              <w:rPr>
                <w:rFonts w:ascii="Times New Roman" w:hAnsi="Times New Roman"/>
                <w:sz w:val="20"/>
                <w:szCs w:val="20"/>
                <w:vertAlign w:val="subscript"/>
              </w:rPr>
              <w:t>2</w:t>
            </w:r>
            <w:r w:rsidRPr="00172AC5">
              <w:rPr>
                <w:rFonts w:ascii="Times New Roman" w:hAnsi="Times New Roman"/>
                <w:sz w:val="20"/>
                <w:szCs w:val="20"/>
              </w:rPr>
              <w:t xml:space="preserve"> B = -0.153;</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0.238</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Z</w:t>
            </w:r>
            <w:r w:rsidRPr="00172AC5">
              <w:rPr>
                <w:rFonts w:ascii="Times New Roman" w:hAnsi="Times New Roman"/>
                <w:sz w:val="20"/>
                <w:szCs w:val="20"/>
                <w:vertAlign w:val="subscript"/>
              </w:rPr>
              <w:t>4</w:t>
            </w:r>
            <w:r w:rsidRPr="00172AC5">
              <w:rPr>
                <w:rFonts w:ascii="Times New Roman" w:hAnsi="Times New Roman"/>
                <w:sz w:val="20"/>
                <w:szCs w:val="20"/>
              </w:rPr>
              <w:t xml:space="preserve"> B = 0.125;</w:t>
            </w:r>
          </w:p>
          <w:p w:rsidR="00172AC5" w:rsidRPr="00172AC5" w:rsidRDefault="00172AC5" w:rsidP="00EA62C2">
            <w:pPr>
              <w:jc w:val="center"/>
              <w:rPr>
                <w:rFonts w:ascii="Times New Roman" w:hAnsi="Times New Roman"/>
                <w:sz w:val="20"/>
                <w:szCs w:val="20"/>
              </w:rPr>
            </w:pPr>
            <w:r w:rsidRPr="00172AC5">
              <w:rPr>
                <w:rFonts w:ascii="Times New Roman" w:hAnsi="Times New Roman"/>
                <w:sz w:val="20"/>
                <w:szCs w:val="20"/>
              </w:rPr>
              <w:t>p = 0.021</w:t>
            </w:r>
          </w:p>
        </w:tc>
        <w:tc>
          <w:tcPr>
            <w:tcW w:w="2050" w:type="dxa"/>
            <w:tcBorders>
              <w:bottom w:val="single" w:sz="4" w:space="0" w:color="auto"/>
            </w:tcBorders>
            <w:vAlign w:val="center"/>
          </w:tcPr>
          <w:p w:rsidR="00172AC5" w:rsidRPr="00172AC5" w:rsidRDefault="00172AC5" w:rsidP="00EA62C2">
            <w:pPr>
              <w:jc w:val="center"/>
              <w:rPr>
                <w:rFonts w:ascii="Times New Roman" w:hAnsi="Times New Roman"/>
                <w:sz w:val="20"/>
                <w:szCs w:val="20"/>
                <w:vertAlign w:val="subscript"/>
              </w:rPr>
            </w:pPr>
            <w:r w:rsidRPr="00172AC5">
              <w:rPr>
                <w:rFonts w:ascii="Times New Roman" w:hAnsi="Times New Roman"/>
                <w:sz w:val="20"/>
                <w:szCs w:val="20"/>
              </w:rPr>
              <w:t>X</w:t>
            </w:r>
            <w:r w:rsidRPr="00172AC5">
              <w:rPr>
                <w:rFonts w:ascii="Times New Roman" w:hAnsi="Times New Roman"/>
                <w:sz w:val="20"/>
                <w:szCs w:val="20"/>
                <w:vertAlign w:val="subscript"/>
              </w:rPr>
              <w:t>2,</w:t>
            </w:r>
            <w:r w:rsidRPr="00172AC5">
              <w:rPr>
                <w:rFonts w:ascii="Times New Roman" w:hAnsi="Times New Roman"/>
                <w:sz w:val="20"/>
                <w:szCs w:val="20"/>
              </w:rPr>
              <w:t xml:space="preserve"> Z</w:t>
            </w:r>
            <w:r w:rsidRPr="00172AC5">
              <w:rPr>
                <w:rFonts w:ascii="Times New Roman" w:hAnsi="Times New Roman"/>
                <w:sz w:val="20"/>
                <w:szCs w:val="20"/>
                <w:vertAlign w:val="subscript"/>
              </w:rPr>
              <w:t>4</w:t>
            </w:r>
          </w:p>
        </w:tc>
      </w:tr>
    </w:tbl>
    <w:p w:rsidR="00172AC5" w:rsidRDefault="00172AC5" w:rsidP="00902FB0">
      <w:pPr>
        <w:rPr>
          <w:rFonts w:ascii="Times New Roman" w:hAnsi="Times New Roman"/>
          <w:noProof/>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711B43">
      <w:pPr>
        <w:spacing w:line="240" w:lineRule="auto"/>
        <w:jc w:val="both"/>
        <w:rPr>
          <w:rFonts w:ascii="Times New Roman" w:hAnsi="Times New Roman"/>
          <w:b/>
          <w:sz w:val="24"/>
          <w:szCs w:val="24"/>
        </w:rPr>
      </w:pPr>
    </w:p>
    <w:p w:rsidR="00711B43" w:rsidRDefault="00711B43" w:rsidP="00F6762E">
      <w:pPr>
        <w:jc w:val="center"/>
        <w:rPr>
          <w:noProof/>
        </w:rPr>
      </w:pPr>
      <w:r w:rsidRPr="00711B43">
        <w:rPr>
          <w:noProof/>
        </w:rPr>
        <w:lastRenderedPageBreak/>
        <w:drawing>
          <wp:inline distT="0" distB="0" distL="0" distR="0">
            <wp:extent cx="5943600" cy="3494200"/>
            <wp:effectExtent l="19050" t="0" r="0" b="0"/>
            <wp:docPr id="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11734800" cy="6324600"/>
                      <a:chOff x="-914400" y="0"/>
                      <a:chExt cx="11734800" cy="6324600"/>
                    </a:xfrm>
                  </a:grpSpPr>
                  <a:pic>
                    <a:nvPicPr>
                      <a:cNvPr id="4" name="Picture 3"/>
                      <a:cNvPicPr/>
                    </a:nvPicPr>
                    <a:blipFill>
                      <a:blip r:embed="rId7"/>
                      <a:srcRect l="35897" t="19231" r="8974" b="10684"/>
                      <a:stretch>
                        <a:fillRect/>
                      </a:stretch>
                    </a:blipFill>
                    <a:spPr bwMode="auto">
                      <a:xfrm>
                        <a:off x="-533400" y="0"/>
                        <a:ext cx="3276600" cy="3124200"/>
                      </a:xfrm>
                      <a:prstGeom prst="rect">
                        <a:avLst/>
                      </a:prstGeom>
                      <a:noFill/>
                      <a:ln w="9525">
                        <a:noFill/>
                        <a:miter lim="800000"/>
                        <a:headEnd/>
                        <a:tailEnd/>
                      </a:ln>
                    </a:spPr>
                  </a:pic>
                  <a:pic>
                    <a:nvPicPr>
                      <a:cNvPr id="5" name="Picture 4"/>
                      <a:cNvPicPr/>
                    </a:nvPicPr>
                    <a:blipFill>
                      <a:blip r:embed="rId8"/>
                      <a:srcRect l="35897" t="19231" r="10256" b="10684"/>
                      <a:stretch>
                        <a:fillRect/>
                      </a:stretch>
                    </a:blipFill>
                    <a:spPr bwMode="auto">
                      <a:xfrm>
                        <a:off x="3352800" y="0"/>
                        <a:ext cx="3273552" cy="3124200"/>
                      </a:xfrm>
                      <a:prstGeom prst="rect">
                        <a:avLst/>
                      </a:prstGeom>
                      <a:noFill/>
                      <a:ln w="9525">
                        <a:noFill/>
                        <a:miter lim="800000"/>
                        <a:headEnd/>
                        <a:tailEnd/>
                      </a:ln>
                    </a:spPr>
                  </a:pic>
                  <a:pic>
                    <a:nvPicPr>
                      <a:cNvPr id="6" name="Picture 5"/>
                      <a:cNvPicPr/>
                    </a:nvPicPr>
                    <a:blipFill>
                      <a:blip r:embed="rId9"/>
                      <a:srcRect l="35897" t="19231" r="10256" b="8974"/>
                      <a:stretch>
                        <a:fillRect/>
                      </a:stretch>
                    </a:blipFill>
                    <a:spPr bwMode="auto">
                      <a:xfrm>
                        <a:off x="7242048" y="0"/>
                        <a:ext cx="3273552" cy="3127248"/>
                      </a:xfrm>
                      <a:prstGeom prst="rect">
                        <a:avLst/>
                      </a:prstGeom>
                      <a:noFill/>
                      <a:ln w="9525">
                        <a:noFill/>
                        <a:miter lim="800000"/>
                        <a:headEnd/>
                        <a:tailEnd/>
                      </a:ln>
                    </a:spPr>
                  </a:pic>
                  <a:pic>
                    <a:nvPicPr>
                      <a:cNvPr id="7" name="Picture 6"/>
                      <a:cNvPicPr/>
                    </a:nvPicPr>
                    <a:blipFill>
                      <a:blip r:embed="rId10"/>
                      <a:srcRect l="35897" t="19231" r="8974" b="8974"/>
                      <a:stretch>
                        <a:fillRect/>
                      </a:stretch>
                    </a:blipFill>
                    <a:spPr bwMode="auto">
                      <a:xfrm>
                        <a:off x="3352800" y="3048000"/>
                        <a:ext cx="3276600" cy="3127248"/>
                      </a:xfrm>
                      <a:prstGeom prst="rect">
                        <a:avLst/>
                      </a:prstGeom>
                      <a:noFill/>
                      <a:ln w="9525">
                        <a:noFill/>
                        <a:miter lim="800000"/>
                        <a:headEnd/>
                        <a:tailEnd/>
                      </a:ln>
                    </a:spPr>
                  </a:pic>
                  <a:pic>
                    <a:nvPicPr>
                      <a:cNvPr id="8" name="Picture 7"/>
                      <a:cNvPicPr/>
                    </a:nvPicPr>
                    <a:blipFill>
                      <a:blip r:embed="rId11"/>
                      <a:srcRect l="35897" t="19231" r="8974" b="8974"/>
                      <a:stretch>
                        <a:fillRect/>
                      </a:stretch>
                    </a:blipFill>
                    <a:spPr bwMode="auto">
                      <a:xfrm>
                        <a:off x="-533400" y="3048000"/>
                        <a:ext cx="3276600" cy="3127248"/>
                      </a:xfrm>
                      <a:prstGeom prst="rect">
                        <a:avLst/>
                      </a:prstGeom>
                      <a:noFill/>
                      <a:ln w="9525">
                        <a:noFill/>
                        <a:miter lim="800000"/>
                        <a:headEnd/>
                        <a:tailEnd/>
                      </a:ln>
                    </a:spPr>
                  </a:pic>
                  <a:sp>
                    <a:nvSpPr>
                      <a:cNvPr id="9" name="TextBox 8"/>
                      <a:cNvSpPr txBox="1"/>
                    </a:nvSpPr>
                    <a:spPr>
                      <a:xfrm>
                        <a:off x="-457200" y="0"/>
                        <a:ext cx="5334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(A)</a:t>
                          </a:r>
                          <a:endParaRPr lang="en-US" sz="1600" b="1" dirty="0">
                            <a:latin typeface="Times New Roman" pitchFamily="18" charset="0"/>
                            <a:cs typeface="Times New Roman" pitchFamily="18" charset="0"/>
                          </a:endParaRPr>
                        </a:p>
                      </a:txBody>
                      <a:useSpRect/>
                    </a:txSp>
                  </a:sp>
                  <a:sp>
                    <a:nvSpPr>
                      <a:cNvPr id="10" name="TextBox 9"/>
                      <a:cNvSpPr txBox="1"/>
                    </a:nvSpPr>
                    <a:spPr>
                      <a:xfrm>
                        <a:off x="3352800" y="0"/>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(B)</a:t>
                          </a:r>
                          <a:endParaRPr lang="en-US" sz="1600" b="1" dirty="0">
                            <a:latin typeface="Times New Roman" pitchFamily="18" charset="0"/>
                            <a:cs typeface="Times New Roman" pitchFamily="18" charset="0"/>
                          </a:endParaRPr>
                        </a:p>
                      </a:txBody>
                      <a:useSpRect/>
                    </a:txSp>
                  </a:sp>
                  <a:sp>
                    <a:nvSpPr>
                      <a:cNvPr id="11" name="TextBox 10"/>
                      <a:cNvSpPr txBox="1"/>
                    </a:nvSpPr>
                    <a:spPr>
                      <a:xfrm>
                        <a:off x="7010400" y="0"/>
                        <a:ext cx="6096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(C)</a:t>
                          </a:r>
                          <a:endParaRPr lang="en-US" sz="1600" b="1" dirty="0">
                            <a:latin typeface="Times New Roman" pitchFamily="18" charset="0"/>
                            <a:cs typeface="Times New Roman" pitchFamily="18" charset="0"/>
                          </a:endParaRPr>
                        </a:p>
                      </a:txBody>
                      <a:useSpRect/>
                    </a:txSp>
                  </a:sp>
                  <a:sp>
                    <a:nvSpPr>
                      <a:cNvPr id="12" name="TextBox 11"/>
                      <a:cNvSpPr txBox="1"/>
                    </a:nvSpPr>
                    <a:spPr>
                      <a:xfrm>
                        <a:off x="-533400" y="2971800"/>
                        <a:ext cx="6096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(D)</a:t>
                          </a:r>
                          <a:endParaRPr lang="en-US" sz="1600" b="1" dirty="0">
                            <a:latin typeface="Times New Roman" pitchFamily="18" charset="0"/>
                            <a:cs typeface="Times New Roman" pitchFamily="18" charset="0"/>
                          </a:endParaRPr>
                        </a:p>
                      </a:txBody>
                      <a:useSpRect/>
                    </a:txSp>
                  </a:sp>
                  <a:sp>
                    <a:nvSpPr>
                      <a:cNvPr id="13" name="TextBox 12"/>
                      <a:cNvSpPr txBox="1"/>
                    </a:nvSpPr>
                    <a:spPr>
                      <a:xfrm>
                        <a:off x="3352800" y="3048000"/>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(E)</a:t>
                          </a:r>
                          <a:endParaRPr lang="en-US" sz="1600" b="1" dirty="0">
                            <a:latin typeface="Times New Roman" pitchFamily="18" charset="0"/>
                            <a:cs typeface="Times New Roman" pitchFamily="18" charset="0"/>
                          </a:endParaRPr>
                        </a:p>
                      </a:txBody>
                      <a:useSpRect/>
                    </a:txSp>
                  </a:sp>
                  <a:sp>
                    <a:nvSpPr>
                      <a:cNvPr id="14" name="TextBox 13"/>
                      <a:cNvSpPr txBox="1"/>
                    </a:nvSpPr>
                    <a:spPr>
                      <a:xfrm>
                        <a:off x="-914400" y="19050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15" name="TextBox 14"/>
                      <a:cNvSpPr txBox="1"/>
                    </a:nvSpPr>
                    <a:spPr>
                      <a:xfrm>
                        <a:off x="685800" y="29234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16" name="TextBox 15"/>
                      <a:cNvSpPr txBox="1"/>
                    </a:nvSpPr>
                    <a:spPr>
                      <a:xfrm>
                        <a:off x="-228600" y="24662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17" name="TextBox 16"/>
                      <a:cNvSpPr txBox="1"/>
                    </a:nvSpPr>
                    <a:spPr>
                      <a:xfrm>
                        <a:off x="1676400" y="25146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18" name="TextBox 17"/>
                      <a:cNvSpPr txBox="1"/>
                    </a:nvSpPr>
                    <a:spPr>
                      <a:xfrm>
                        <a:off x="2209800" y="19050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19" name="TextBox 18"/>
                      <a:cNvSpPr txBox="1"/>
                    </a:nvSpPr>
                    <a:spPr>
                      <a:xfrm>
                        <a:off x="2895600" y="19050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0" name="TextBox 19"/>
                      <a:cNvSpPr txBox="1"/>
                    </a:nvSpPr>
                    <a:spPr>
                      <a:xfrm>
                        <a:off x="3733800" y="24384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21" name="TextBox 20"/>
                      <a:cNvSpPr txBox="1"/>
                    </a:nvSpPr>
                    <a:spPr>
                      <a:xfrm>
                        <a:off x="6781800" y="17804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2" name="TextBox 21"/>
                      <a:cNvSpPr txBox="1"/>
                    </a:nvSpPr>
                    <a:spPr>
                      <a:xfrm>
                        <a:off x="4800600" y="29234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23" name="TextBox 22"/>
                      <a:cNvSpPr txBox="1"/>
                    </a:nvSpPr>
                    <a:spPr>
                      <a:xfrm>
                        <a:off x="5715000" y="24384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24" name="TextBox 23"/>
                      <a:cNvSpPr txBox="1"/>
                    </a:nvSpPr>
                    <a:spPr>
                      <a:xfrm>
                        <a:off x="6096000" y="18288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25" name="TextBox 24"/>
                      <a:cNvSpPr txBox="1"/>
                    </a:nvSpPr>
                    <a:spPr>
                      <a:xfrm>
                        <a:off x="9067800" y="2847201"/>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26" name="TextBox 25"/>
                      <a:cNvSpPr txBox="1"/>
                    </a:nvSpPr>
                    <a:spPr>
                      <a:xfrm>
                        <a:off x="9601200" y="23622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27" name="TextBox 26"/>
                      <a:cNvSpPr txBox="1"/>
                    </a:nvSpPr>
                    <a:spPr>
                      <a:xfrm>
                        <a:off x="10058400" y="17526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28" name="TextBox 27"/>
                      <a:cNvSpPr txBox="1"/>
                    </a:nvSpPr>
                    <a:spPr>
                      <a:xfrm>
                        <a:off x="-914400" y="48768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29" name="TextBox 28"/>
                      <a:cNvSpPr txBox="1"/>
                    </a:nvSpPr>
                    <a:spPr>
                      <a:xfrm>
                        <a:off x="-228600" y="54380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30" name="TextBox 29"/>
                      <a:cNvSpPr txBox="1"/>
                    </a:nvSpPr>
                    <a:spPr>
                      <a:xfrm>
                        <a:off x="762000" y="5867400"/>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31" name="TextBox 30"/>
                      <a:cNvSpPr txBox="1"/>
                    </a:nvSpPr>
                    <a:spPr>
                      <a:xfrm>
                        <a:off x="1752600" y="54380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32" name="TextBox 31"/>
                      <a:cNvSpPr txBox="1"/>
                    </a:nvSpPr>
                    <a:spPr>
                      <a:xfrm>
                        <a:off x="2209800" y="48284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33" name="TextBox 32"/>
                      <a:cNvSpPr txBox="1"/>
                    </a:nvSpPr>
                    <a:spPr>
                      <a:xfrm>
                        <a:off x="5638800" y="5410200"/>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(0.1)</a:t>
                          </a:r>
                          <a:endParaRPr lang="en-US" sz="1200" dirty="0">
                            <a:latin typeface="Times New Roman" pitchFamily="18" charset="0"/>
                            <a:cs typeface="Times New Roman" pitchFamily="18" charset="0"/>
                          </a:endParaRPr>
                        </a:p>
                      </a:txBody>
                      <a:useSpRect/>
                    </a:txSp>
                  </a:sp>
                  <a:sp>
                    <a:nvSpPr>
                      <a:cNvPr id="34" name="TextBox 33"/>
                      <a:cNvSpPr txBox="1"/>
                    </a:nvSpPr>
                    <a:spPr>
                      <a:xfrm>
                        <a:off x="4800600" y="5943600"/>
                        <a:ext cx="914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T80 (0.7)</a:t>
                          </a:r>
                          <a:endParaRPr lang="en-US" sz="1200" dirty="0">
                            <a:latin typeface="Times New Roman" pitchFamily="18" charset="0"/>
                            <a:cs typeface="Times New Roman" pitchFamily="18" charset="0"/>
                          </a:endParaRPr>
                        </a:p>
                      </a:txBody>
                      <a:useSpRect/>
                    </a:txSp>
                  </a:sp>
                  <a:sp>
                    <a:nvSpPr>
                      <a:cNvPr id="35" name="TextBox 34"/>
                      <a:cNvSpPr txBox="1"/>
                    </a:nvSpPr>
                    <a:spPr>
                      <a:xfrm>
                        <a:off x="3733800" y="54102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sp>
                    <a:nvSpPr>
                      <a:cNvPr id="36" name="TextBox 35"/>
                      <a:cNvSpPr txBox="1"/>
                    </a:nvSpPr>
                    <a:spPr>
                      <a:xfrm>
                        <a:off x="2895600" y="4828401"/>
                        <a:ext cx="10668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CO: OA (0.3)</a:t>
                          </a:r>
                          <a:endParaRPr lang="en-US" sz="1200" dirty="0">
                            <a:latin typeface="Times New Roman" pitchFamily="18" charset="0"/>
                            <a:cs typeface="Times New Roman" pitchFamily="18" charset="0"/>
                          </a:endParaRPr>
                        </a:p>
                      </a:txBody>
                      <a:useSpRect/>
                    </a:txSp>
                  </a:sp>
                  <a:sp>
                    <a:nvSpPr>
                      <a:cNvPr id="37" name="TextBox 36"/>
                      <a:cNvSpPr txBox="1"/>
                    </a:nvSpPr>
                    <a:spPr>
                      <a:xfrm>
                        <a:off x="6096000" y="4800600"/>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(0.4)</a:t>
                          </a:r>
                          <a:endParaRPr lang="en-US" sz="1200" dirty="0">
                            <a:latin typeface="Times New Roman" pitchFamily="18" charset="0"/>
                            <a:cs typeface="Times New Roman" pitchFamily="18" charset="0"/>
                          </a:endParaRPr>
                        </a:p>
                      </a:txBody>
                      <a:useSpRect/>
                    </a:txSp>
                  </a:sp>
                  <a:sp>
                    <a:nvSpPr>
                      <a:cNvPr id="38" name="TextBox 37"/>
                      <a:cNvSpPr txBox="1"/>
                    </a:nvSpPr>
                    <a:spPr>
                      <a:xfrm>
                        <a:off x="7620000" y="2390001"/>
                        <a:ext cx="7620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PG (0.2)</a:t>
                          </a:r>
                          <a:endParaRPr lang="en-US" sz="1200" dirty="0">
                            <a:latin typeface="Times New Roman" pitchFamily="18" charset="0"/>
                            <a:cs typeface="Times New Roman" pitchFamily="18" charset="0"/>
                          </a:endParaRPr>
                        </a:p>
                      </a:txBody>
                      <a:useSpRect/>
                    </a:txSp>
                  </a:sp>
                  <a:pic>
                    <a:nvPicPr>
                      <a:cNvPr id="39" name="Picture 38"/>
                      <a:cNvPicPr/>
                    </a:nvPicPr>
                    <a:blipFill>
                      <a:blip r:embed="rId12" cstate="print"/>
                      <a:srcRect l="29487" r="12821" b="4116"/>
                      <a:stretch>
                        <a:fillRect/>
                      </a:stretch>
                    </a:blipFill>
                    <a:spPr bwMode="auto">
                      <a:xfrm>
                        <a:off x="7086600" y="3197352"/>
                        <a:ext cx="3273552" cy="3127248"/>
                      </a:xfrm>
                      <a:prstGeom prst="rect">
                        <a:avLst/>
                      </a:prstGeom>
                      <a:noFill/>
                      <a:ln w="9525">
                        <a:noFill/>
                        <a:miter lim="800000"/>
                        <a:headEnd/>
                        <a:tailEnd/>
                      </a:ln>
                    </a:spPr>
                  </a:pic>
                  <a:sp>
                    <a:nvSpPr>
                      <a:cNvPr id="40" name="TextBox 39"/>
                      <a:cNvSpPr txBox="1"/>
                    </a:nvSpPr>
                    <a:spPr>
                      <a:xfrm>
                        <a:off x="7620000" y="3242846"/>
                        <a:ext cx="457200" cy="338554"/>
                      </a:xfrm>
                      <a:prstGeom prst="rect">
                        <a:avLst/>
                      </a:prstGeom>
                      <a:no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600" b="1" dirty="0" smtClean="0">
                              <a:latin typeface="Times New Roman" pitchFamily="18" charset="0"/>
                              <a:cs typeface="Times New Roman" pitchFamily="18" charset="0"/>
                            </a:rPr>
                            <a:t>(F)</a:t>
                          </a:r>
                          <a:endParaRPr lang="en-US" sz="1600" b="1" dirty="0">
                            <a:latin typeface="Times New Roman" pitchFamily="18" charset="0"/>
                            <a:cs typeface="Times New Roman" pitchFamily="18" charset="0"/>
                          </a:endParaRPr>
                        </a:p>
                      </a:txBody>
                      <a:useSpRect/>
                    </a:txSp>
                  </a:sp>
                  <a:sp>
                    <a:nvSpPr>
                      <a:cNvPr id="41" name="TextBox 40"/>
                      <a:cNvSpPr txBox="1"/>
                    </a:nvSpPr>
                    <a:spPr>
                      <a:xfrm>
                        <a:off x="7086600" y="5895201"/>
                        <a:ext cx="12192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 B: </a:t>
                          </a:r>
                          <a:r>
                            <a:rPr lang="en-US" sz="1200" dirty="0" err="1" smtClean="0">
                              <a:latin typeface="Times New Roman" pitchFamily="18" charset="0"/>
                              <a:cs typeface="Times New Roman" pitchFamily="18" charset="0"/>
                            </a:rPr>
                            <a:t>Tween</a:t>
                          </a:r>
                          <a:r>
                            <a:rPr lang="en-US" sz="1200" dirty="0" smtClean="0">
                              <a:latin typeface="Times New Roman" pitchFamily="18" charset="0"/>
                              <a:cs typeface="Times New Roman" pitchFamily="18" charset="0"/>
                            </a:rPr>
                            <a:t> 80 (g)</a:t>
                          </a:r>
                          <a:endParaRPr lang="en-US" sz="1200" dirty="0">
                            <a:latin typeface="Times New Roman" pitchFamily="18" charset="0"/>
                            <a:cs typeface="Times New Roman" pitchFamily="18" charset="0"/>
                          </a:endParaRPr>
                        </a:p>
                      </a:txBody>
                      <a:useSpRect/>
                    </a:txSp>
                  </a:sp>
                  <a:sp>
                    <a:nvSpPr>
                      <a:cNvPr id="42" name="TextBox 41"/>
                      <a:cNvSpPr txBox="1"/>
                    </a:nvSpPr>
                    <a:spPr>
                      <a:xfrm>
                        <a:off x="8305800" y="6019800"/>
                        <a:ext cx="20574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Desirability            C: PG (g)</a:t>
                          </a:r>
                          <a:endParaRPr lang="en-US" sz="1200" dirty="0">
                            <a:latin typeface="Times New Roman" pitchFamily="18" charset="0"/>
                            <a:cs typeface="Times New Roman" pitchFamily="18" charset="0"/>
                          </a:endParaRPr>
                        </a:p>
                      </a:txBody>
                      <a:useSpRect/>
                    </a:txSp>
                  </a:sp>
                  <a:sp>
                    <a:nvSpPr>
                      <a:cNvPr id="43" name="TextBox 42"/>
                      <a:cNvSpPr txBox="1"/>
                    </a:nvSpPr>
                    <a:spPr>
                      <a:xfrm>
                        <a:off x="8153400" y="3152001"/>
                        <a:ext cx="1219200" cy="276999"/>
                      </a:xfrm>
                      <a:prstGeom prst="rect">
                        <a:avLst/>
                      </a:prstGeom>
                      <a:solidFill>
                        <a:schemeClr val="bg1"/>
                      </a:solidFill>
                    </a:spPr>
                    <a:txSp>
                      <a:txBody>
                        <a:bodyPr wrap="square" rtlCol="0">
                          <a:spAutoFit/>
                        </a:bodyPr>
                        <a:lstStyle>
                          <a:defPPr>
                            <a:defRPr lang="en-US"/>
                          </a:defPPr>
                          <a:lvl1pPr marL="0" algn="l" defTabSz="914400" rtl="0" eaLnBrk="1" latinLnBrk="0" hangingPunct="1">
                            <a:defRPr sz="1800" kern="1200">
                              <a:solidFill>
                                <a:schemeClr val="tx1"/>
                              </a:solidFill>
                              <a:latin typeface="+mn-lt"/>
                              <a:ea typeface="+mn-ea"/>
                              <a:cs typeface="+mn-cs"/>
                            </a:defRPr>
                          </a:lvl1pPr>
                          <a:lvl2pPr marL="457200" algn="l" defTabSz="914400" rtl="0" eaLnBrk="1" latinLnBrk="0" hangingPunct="1">
                            <a:defRPr sz="1800" kern="1200">
                              <a:solidFill>
                                <a:schemeClr val="tx1"/>
                              </a:solidFill>
                              <a:latin typeface="+mn-lt"/>
                              <a:ea typeface="+mn-ea"/>
                              <a:cs typeface="+mn-cs"/>
                            </a:defRPr>
                          </a:lvl2pPr>
                          <a:lvl3pPr marL="914400" algn="l" defTabSz="914400" rtl="0" eaLnBrk="1" latinLnBrk="0" hangingPunct="1">
                            <a:defRPr sz="1800" kern="1200">
                              <a:solidFill>
                                <a:schemeClr val="tx1"/>
                              </a:solidFill>
                              <a:latin typeface="+mn-lt"/>
                              <a:ea typeface="+mn-ea"/>
                              <a:cs typeface="+mn-cs"/>
                            </a:defRPr>
                          </a:lvl3pPr>
                          <a:lvl4pPr marL="1371600" algn="l" defTabSz="914400" rtl="0" eaLnBrk="1" latinLnBrk="0" hangingPunct="1">
                            <a:defRPr sz="1800" kern="1200">
                              <a:solidFill>
                                <a:schemeClr val="tx1"/>
                              </a:solidFill>
                              <a:latin typeface="+mn-lt"/>
                              <a:ea typeface="+mn-ea"/>
                              <a:cs typeface="+mn-cs"/>
                            </a:defRPr>
                          </a:lvl4pPr>
                          <a:lvl5pPr marL="1828800" algn="l" defTabSz="914400" rtl="0" eaLnBrk="1" latinLnBrk="0" hangingPunct="1">
                            <a:defRPr sz="1800" kern="1200">
                              <a:solidFill>
                                <a:schemeClr val="tx1"/>
                              </a:solidFill>
                              <a:latin typeface="+mn-lt"/>
                              <a:ea typeface="+mn-ea"/>
                              <a:cs typeface="+mn-cs"/>
                            </a:defRPr>
                          </a:lvl5pPr>
                          <a:lvl6pPr marL="2286000" algn="l" defTabSz="914400" rtl="0" eaLnBrk="1" latinLnBrk="0" hangingPunct="1">
                            <a:defRPr sz="1800" kern="1200">
                              <a:solidFill>
                                <a:schemeClr val="tx1"/>
                              </a:solidFill>
                              <a:latin typeface="+mn-lt"/>
                              <a:ea typeface="+mn-ea"/>
                              <a:cs typeface="+mn-cs"/>
                            </a:defRPr>
                          </a:lvl6pPr>
                          <a:lvl7pPr marL="2743200" algn="l" defTabSz="914400" rtl="0" eaLnBrk="1" latinLnBrk="0" hangingPunct="1">
                            <a:defRPr sz="1800" kern="1200">
                              <a:solidFill>
                                <a:schemeClr val="tx1"/>
                              </a:solidFill>
                              <a:latin typeface="+mn-lt"/>
                              <a:ea typeface="+mn-ea"/>
                              <a:cs typeface="+mn-cs"/>
                            </a:defRPr>
                          </a:lvl7pPr>
                          <a:lvl8pPr marL="3200400" algn="l" defTabSz="914400" rtl="0" eaLnBrk="1" latinLnBrk="0" hangingPunct="1">
                            <a:defRPr sz="1800" kern="1200">
                              <a:solidFill>
                                <a:schemeClr val="tx1"/>
                              </a:solidFill>
                              <a:latin typeface="+mn-lt"/>
                              <a:ea typeface="+mn-ea"/>
                              <a:cs typeface="+mn-cs"/>
                            </a:defRPr>
                          </a:lvl8pPr>
                          <a:lvl9pPr marL="3657600" algn="l" defTabSz="914400" rtl="0" eaLnBrk="1" latinLnBrk="0" hangingPunct="1">
                            <a:defRPr sz="1800" kern="1200">
                              <a:solidFill>
                                <a:schemeClr val="tx1"/>
                              </a:solidFill>
                              <a:latin typeface="+mn-lt"/>
                              <a:ea typeface="+mn-ea"/>
                              <a:cs typeface="+mn-cs"/>
                            </a:defRPr>
                          </a:lvl9pPr>
                        </a:lstStyle>
                        <a:p>
                          <a:r>
                            <a:rPr lang="en-US" sz="1200" dirty="0" smtClean="0">
                              <a:latin typeface="Times New Roman" pitchFamily="18" charset="0"/>
                              <a:cs typeface="Times New Roman" pitchFamily="18" charset="0"/>
                            </a:rPr>
                            <a:t>A: CO: OA (g)</a:t>
                          </a:r>
                          <a:endParaRPr lang="en-US" sz="1200" dirty="0">
                            <a:latin typeface="Times New Roman" pitchFamily="18" charset="0"/>
                            <a:cs typeface="Times New Roman" pitchFamily="18" charset="0"/>
                          </a:endParaRPr>
                        </a:p>
                      </a:txBody>
                      <a:useSpRect/>
                    </a:txSp>
                  </a:sp>
                </lc:lockedCanvas>
              </a:graphicData>
            </a:graphic>
          </wp:inline>
        </w:drawing>
      </w:r>
    </w:p>
    <w:p w:rsidR="00D52F74" w:rsidRPr="00711B43" w:rsidRDefault="00D52F74" w:rsidP="00D52F74">
      <w:pPr>
        <w:spacing w:line="240" w:lineRule="auto"/>
        <w:jc w:val="both"/>
        <w:rPr>
          <w:rFonts w:ascii="Times New Roman" w:hAnsi="Times New Roman"/>
          <w:sz w:val="20"/>
          <w:szCs w:val="20"/>
        </w:rPr>
      </w:pPr>
      <w:r w:rsidRPr="00711B43">
        <w:rPr>
          <w:rFonts w:ascii="Times New Roman" w:hAnsi="Times New Roman"/>
          <w:b/>
          <w:sz w:val="20"/>
          <w:szCs w:val="20"/>
        </w:rPr>
        <w:t>Fig. S2:</w:t>
      </w:r>
      <w:r w:rsidRPr="00711B43">
        <w:rPr>
          <w:rFonts w:ascii="Times New Roman" w:hAnsi="Times New Roman"/>
          <w:sz w:val="20"/>
          <w:szCs w:val="20"/>
        </w:rPr>
        <w:t xml:space="preserve"> 3D response surface plot correlating critical material attributes with (A) Particle size, (B) PDI, (C) % Transmittance, (D) Drug content, (E) Self-Emulsification Time and (F) Desirability plot. </w:t>
      </w:r>
    </w:p>
    <w:p w:rsidR="00D52F74" w:rsidRDefault="00D52F74" w:rsidP="00711B43">
      <w:pPr>
        <w:jc w:val="both"/>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rPr>
          <w:noProof/>
        </w:rPr>
      </w:pPr>
    </w:p>
    <w:p w:rsidR="00711B43" w:rsidRDefault="00711B43" w:rsidP="00711B43">
      <w:pPr>
        <w:jc w:val="center"/>
      </w:pPr>
      <w:r w:rsidRPr="00711B43">
        <w:rPr>
          <w:noProof/>
        </w:rPr>
        <w:drawing>
          <wp:inline distT="0" distB="0" distL="0" distR="0">
            <wp:extent cx="5673273" cy="7296063"/>
            <wp:effectExtent l="19050" t="0" r="0" b="0"/>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srcRect/>
                    <a:stretch>
                      <a:fillRect/>
                    </a:stretch>
                  </pic:blipFill>
                  <pic:spPr bwMode="auto">
                    <a:xfrm>
                      <a:off x="0" y="0"/>
                      <a:ext cx="5676737" cy="7300518"/>
                    </a:xfrm>
                    <a:prstGeom prst="rect">
                      <a:avLst/>
                    </a:prstGeom>
                    <a:noFill/>
                    <a:ln w="9525">
                      <a:noFill/>
                      <a:miter lim="800000"/>
                      <a:headEnd/>
                      <a:tailEnd/>
                    </a:ln>
                  </pic:spPr>
                </pic:pic>
              </a:graphicData>
            </a:graphic>
          </wp:inline>
        </w:drawing>
      </w:r>
    </w:p>
    <w:p w:rsidR="00D52F74" w:rsidRPr="00711B43" w:rsidRDefault="00D52F74" w:rsidP="00D52F74">
      <w:pPr>
        <w:jc w:val="both"/>
        <w:rPr>
          <w:rFonts w:ascii="Times New Roman" w:hAnsi="Times New Roman"/>
          <w:sz w:val="20"/>
          <w:szCs w:val="20"/>
        </w:rPr>
      </w:pPr>
      <w:r w:rsidRPr="00711B43">
        <w:rPr>
          <w:rFonts w:ascii="Times New Roman" w:hAnsi="Times New Roman"/>
          <w:b/>
          <w:sz w:val="20"/>
          <w:szCs w:val="20"/>
        </w:rPr>
        <w:t>Fig. S</w:t>
      </w:r>
      <w:r>
        <w:rPr>
          <w:rFonts w:ascii="Times New Roman" w:hAnsi="Times New Roman"/>
          <w:b/>
          <w:sz w:val="20"/>
          <w:szCs w:val="20"/>
        </w:rPr>
        <w:t>3</w:t>
      </w:r>
      <w:r w:rsidRPr="00711B43">
        <w:rPr>
          <w:rFonts w:ascii="Times New Roman" w:hAnsi="Times New Roman"/>
          <w:b/>
          <w:sz w:val="20"/>
          <w:szCs w:val="20"/>
        </w:rPr>
        <w:t>:</w:t>
      </w:r>
      <w:r w:rsidRPr="00711B43">
        <w:rPr>
          <w:rFonts w:ascii="Times New Roman" w:hAnsi="Times New Roman"/>
          <w:sz w:val="20"/>
          <w:szCs w:val="20"/>
        </w:rPr>
        <w:t xml:space="preserve"> Root mean-square deviation (RMSD) plot of various ATZ-PPIs complex</w:t>
      </w:r>
    </w:p>
    <w:p w:rsidR="00BC602A" w:rsidRDefault="00BC602A" w:rsidP="00F6762E">
      <w:pPr>
        <w:jc w:val="center"/>
      </w:pPr>
      <w:r w:rsidRPr="00BC602A">
        <w:rPr>
          <w:noProof/>
        </w:rPr>
        <w:lastRenderedPageBreak/>
        <w:drawing>
          <wp:inline distT="0" distB="0" distL="0" distR="0">
            <wp:extent cx="5716739" cy="7220197"/>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srcRect/>
                    <a:stretch>
                      <a:fillRect/>
                    </a:stretch>
                  </pic:blipFill>
                  <pic:spPr bwMode="auto">
                    <a:xfrm>
                      <a:off x="0" y="0"/>
                      <a:ext cx="5717929" cy="7221700"/>
                    </a:xfrm>
                    <a:prstGeom prst="rect">
                      <a:avLst/>
                    </a:prstGeom>
                    <a:noFill/>
                    <a:ln w="9525">
                      <a:noFill/>
                      <a:miter lim="800000"/>
                      <a:headEnd/>
                      <a:tailEnd/>
                    </a:ln>
                  </pic:spPr>
                </pic:pic>
              </a:graphicData>
            </a:graphic>
          </wp:inline>
        </w:drawing>
      </w:r>
    </w:p>
    <w:p w:rsidR="00F60EB8" w:rsidRDefault="00D52F74" w:rsidP="00D52F74">
      <w:pPr>
        <w:spacing w:line="360" w:lineRule="auto"/>
        <w:jc w:val="both"/>
        <w:rPr>
          <w:rFonts w:ascii="Times New Roman" w:hAnsi="Times New Roman"/>
          <w:sz w:val="20"/>
          <w:szCs w:val="20"/>
        </w:rPr>
      </w:pPr>
      <w:r w:rsidRPr="00D52F74">
        <w:rPr>
          <w:rFonts w:ascii="Times New Roman" w:hAnsi="Times New Roman"/>
          <w:b/>
          <w:sz w:val="20"/>
          <w:szCs w:val="20"/>
        </w:rPr>
        <w:t>Fig. S4:</w:t>
      </w:r>
      <w:r w:rsidRPr="00D52F74">
        <w:rPr>
          <w:rFonts w:ascii="Times New Roman" w:hAnsi="Times New Roman"/>
          <w:sz w:val="20"/>
          <w:szCs w:val="20"/>
        </w:rPr>
        <w:t xml:space="preserve"> Rheogram generated for different formulations at (a) controlled shear rate and (b) temperature sweep test from 0 to 40˚C. </w:t>
      </w:r>
    </w:p>
    <w:p w:rsidR="00F60EB8" w:rsidRDefault="00F60EB8" w:rsidP="00D52F74">
      <w:pPr>
        <w:spacing w:line="360" w:lineRule="auto"/>
        <w:jc w:val="both"/>
        <w:rPr>
          <w:rFonts w:ascii="Times New Roman" w:hAnsi="Times New Roman"/>
          <w:sz w:val="20"/>
          <w:szCs w:val="20"/>
        </w:rPr>
      </w:pPr>
    </w:p>
    <w:p w:rsidR="00F60EB8" w:rsidRDefault="00F60EB8" w:rsidP="00D52F74">
      <w:pPr>
        <w:spacing w:line="360" w:lineRule="auto"/>
        <w:jc w:val="both"/>
        <w:rPr>
          <w:rFonts w:ascii="Times New Roman" w:hAnsi="Times New Roman"/>
          <w:sz w:val="20"/>
          <w:szCs w:val="20"/>
        </w:rPr>
      </w:pPr>
    </w:p>
    <w:p w:rsidR="00F60EB8" w:rsidRPr="00F60EB8" w:rsidRDefault="00F60EB8" w:rsidP="00D52F74">
      <w:pPr>
        <w:spacing w:line="360" w:lineRule="auto"/>
        <w:jc w:val="both"/>
        <w:rPr>
          <w:rFonts w:ascii="Times New Roman" w:hAnsi="Times New Roman"/>
          <w:b/>
          <w:sz w:val="24"/>
          <w:szCs w:val="24"/>
        </w:rPr>
      </w:pPr>
      <w:r w:rsidRPr="00F60EB8">
        <w:rPr>
          <w:rFonts w:ascii="Times New Roman" w:hAnsi="Times New Roman"/>
          <w:b/>
          <w:sz w:val="24"/>
          <w:szCs w:val="24"/>
        </w:rPr>
        <w:t>References:</w:t>
      </w:r>
    </w:p>
    <w:p w:rsidR="00F60EB8" w:rsidRPr="00F60EB8" w:rsidRDefault="00A212ED" w:rsidP="00F60EB8">
      <w:pPr>
        <w:spacing w:after="0" w:line="240" w:lineRule="auto"/>
        <w:jc w:val="both"/>
        <w:rPr>
          <w:rFonts w:cs="Calibri"/>
          <w:noProof/>
          <w:szCs w:val="20"/>
        </w:rPr>
      </w:pPr>
      <w:r>
        <w:rPr>
          <w:rFonts w:ascii="Times New Roman" w:hAnsi="Times New Roman"/>
          <w:sz w:val="20"/>
          <w:szCs w:val="20"/>
        </w:rPr>
        <w:fldChar w:fldCharType="begin"/>
      </w:r>
      <w:r w:rsidR="00F60EB8">
        <w:rPr>
          <w:rFonts w:ascii="Times New Roman" w:hAnsi="Times New Roman"/>
          <w:sz w:val="20"/>
          <w:szCs w:val="20"/>
        </w:rPr>
        <w:instrText xml:space="preserve"> ADDIN EN.REFLIST </w:instrText>
      </w:r>
      <w:r>
        <w:rPr>
          <w:rFonts w:ascii="Times New Roman" w:hAnsi="Times New Roman"/>
          <w:sz w:val="20"/>
          <w:szCs w:val="20"/>
        </w:rPr>
        <w:fldChar w:fldCharType="separate"/>
      </w:r>
      <w:bookmarkStart w:id="0" w:name="_ENREF_1"/>
      <w:r w:rsidR="00F60EB8" w:rsidRPr="00F60EB8">
        <w:rPr>
          <w:rFonts w:cs="Calibri"/>
          <w:noProof/>
          <w:szCs w:val="20"/>
        </w:rPr>
        <w:t>[1] S. Beg, P.S. Sandhu, R.S. Batra, R.K. Khurana, B. Singh, QbD-based systematic development of novel optimized solid self-nanoemulsifying drug delivery systems (SNEDDS) of lovastatin with enhanced biopharmaceutical performance, Drug delivery, 22 (2015) 765-784.</w:t>
      </w:r>
      <w:bookmarkEnd w:id="0"/>
    </w:p>
    <w:p w:rsidR="00F60EB8" w:rsidRPr="00F60EB8" w:rsidRDefault="00F60EB8" w:rsidP="00F60EB8">
      <w:pPr>
        <w:spacing w:after="0" w:line="240" w:lineRule="auto"/>
        <w:jc w:val="both"/>
        <w:rPr>
          <w:rFonts w:cs="Calibri"/>
          <w:noProof/>
          <w:szCs w:val="20"/>
        </w:rPr>
      </w:pPr>
      <w:bookmarkStart w:id="1" w:name="_ENREF_2"/>
      <w:r w:rsidRPr="00F60EB8">
        <w:rPr>
          <w:rFonts w:cs="Calibri"/>
          <w:noProof/>
          <w:szCs w:val="20"/>
        </w:rPr>
        <w:t>[2] G. Kuruba, K.A.N. Reddy, S. Poli, C. Ramnarayanan, Quality by Design based development of Self Nano Emulsifying Drug Delivery System of Ritonavir, Journal of Young Pharmacists, 12 (2020) 215.</w:t>
      </w:r>
      <w:bookmarkEnd w:id="1"/>
    </w:p>
    <w:p w:rsidR="00F60EB8" w:rsidRPr="00F60EB8" w:rsidRDefault="00F60EB8" w:rsidP="00F60EB8">
      <w:pPr>
        <w:spacing w:after="0" w:line="240" w:lineRule="auto"/>
        <w:jc w:val="both"/>
        <w:rPr>
          <w:rFonts w:cs="Calibri"/>
          <w:noProof/>
          <w:szCs w:val="20"/>
        </w:rPr>
      </w:pPr>
      <w:bookmarkStart w:id="2" w:name="_ENREF_3"/>
      <w:r w:rsidRPr="00F60EB8">
        <w:rPr>
          <w:rFonts w:cs="Calibri"/>
          <w:noProof/>
          <w:szCs w:val="20"/>
        </w:rPr>
        <w:t>[3] B. Garg, S. Beg, R. Kaur, R. Kumar, O.P. Katare, B. Singh, Long-chain triglycerides-based self-nanoemulsifying oily formulations (SNEOFs) of darunavir with improved lymphatic targeting potential, Journal of drug targeting, 26 (2018) 252-266.</w:t>
      </w:r>
      <w:bookmarkEnd w:id="2"/>
    </w:p>
    <w:p w:rsidR="00F60EB8" w:rsidRPr="00F60EB8" w:rsidRDefault="00F60EB8" w:rsidP="00F60EB8">
      <w:pPr>
        <w:spacing w:after="0" w:line="240" w:lineRule="auto"/>
        <w:jc w:val="both"/>
        <w:rPr>
          <w:rFonts w:cs="Calibri"/>
          <w:noProof/>
          <w:szCs w:val="20"/>
        </w:rPr>
      </w:pPr>
      <w:bookmarkStart w:id="3" w:name="_ENREF_4"/>
      <w:r w:rsidRPr="00F60EB8">
        <w:rPr>
          <w:rFonts w:cs="Calibri"/>
          <w:noProof/>
          <w:szCs w:val="20"/>
        </w:rPr>
        <w:t>[4] S. Kamboj, S. Sethi, V. Rana, A spray dried nelfinavir mesylate particles for enhanced oral bioavailability: systematic formulation optimization and in-vivo performance, Colloids and Surfaces B: Biointerfaces, 176 (2019) 288-299.</w:t>
      </w:r>
      <w:bookmarkEnd w:id="3"/>
    </w:p>
    <w:p w:rsidR="00F60EB8" w:rsidRPr="00F60EB8" w:rsidRDefault="00F60EB8" w:rsidP="00F60EB8">
      <w:pPr>
        <w:spacing w:after="0" w:line="240" w:lineRule="auto"/>
        <w:jc w:val="both"/>
        <w:rPr>
          <w:rFonts w:cs="Calibri"/>
          <w:noProof/>
          <w:szCs w:val="20"/>
        </w:rPr>
      </w:pPr>
      <w:bookmarkStart w:id="4" w:name="_ENREF_5"/>
      <w:r w:rsidRPr="00F60EB8">
        <w:rPr>
          <w:rFonts w:cs="Calibri"/>
          <w:noProof/>
          <w:szCs w:val="20"/>
        </w:rPr>
        <w:t>[5] W. Wu, Y. Wang, L. Que, Enhanced bioavailability of silymarin by self-microemulsifying drug delivery system, European journal of pharmaceutics and biopharmaceutics, 63 (2006) 288-294.</w:t>
      </w:r>
      <w:bookmarkEnd w:id="4"/>
    </w:p>
    <w:p w:rsidR="00F60EB8" w:rsidRPr="00F60EB8" w:rsidRDefault="00F60EB8" w:rsidP="00F60EB8">
      <w:pPr>
        <w:spacing w:after="0" w:line="240" w:lineRule="auto"/>
        <w:jc w:val="both"/>
        <w:rPr>
          <w:rFonts w:cs="Calibri"/>
          <w:noProof/>
          <w:szCs w:val="20"/>
        </w:rPr>
      </w:pPr>
      <w:bookmarkStart w:id="5" w:name="_ENREF_6"/>
      <w:r w:rsidRPr="00F60EB8">
        <w:rPr>
          <w:rFonts w:cs="Calibri"/>
          <w:noProof/>
          <w:szCs w:val="20"/>
        </w:rPr>
        <w:t>[6] S.T. Bansode, S.J. Kshirsagar, A.R. Madgulkar, M.R. Bhalekar, M.M. Bandivadekar, Design and development of SMEDDS for colon-specific drug delivery, Drug development and industrial pharmacy, 42 (2016) 611-623.</w:t>
      </w:r>
      <w:bookmarkEnd w:id="5"/>
    </w:p>
    <w:p w:rsidR="00F60EB8" w:rsidRPr="00F60EB8" w:rsidRDefault="00F60EB8" w:rsidP="00F60EB8">
      <w:pPr>
        <w:spacing w:after="0" w:line="240" w:lineRule="auto"/>
        <w:jc w:val="both"/>
        <w:rPr>
          <w:rFonts w:cs="Calibri"/>
          <w:noProof/>
          <w:szCs w:val="20"/>
        </w:rPr>
      </w:pPr>
      <w:bookmarkStart w:id="6" w:name="_ENREF_7"/>
      <w:r w:rsidRPr="00F60EB8">
        <w:rPr>
          <w:rFonts w:cs="Calibri"/>
          <w:noProof/>
          <w:szCs w:val="20"/>
        </w:rPr>
        <w:t>[7] M.H. Patel, K.K. Sawant, Self microemulsifying drug delivery system of lurasidone hydrochloride for enhanced oral bioavailability by lymphatic targeting: in vitro, Caco-2 cell line and in vivo evaluation, European Journal of Pharmaceutical Sciences, 138 (2019) 105027.</w:t>
      </w:r>
      <w:bookmarkEnd w:id="6"/>
    </w:p>
    <w:p w:rsidR="00F60EB8" w:rsidRPr="00F60EB8" w:rsidRDefault="00F60EB8" w:rsidP="00F60EB8">
      <w:pPr>
        <w:spacing w:after="0" w:line="240" w:lineRule="auto"/>
        <w:jc w:val="both"/>
        <w:rPr>
          <w:rFonts w:cs="Calibri"/>
          <w:noProof/>
          <w:szCs w:val="20"/>
        </w:rPr>
      </w:pPr>
      <w:bookmarkStart w:id="7" w:name="_ENREF_8"/>
      <w:r w:rsidRPr="00F60EB8">
        <w:rPr>
          <w:rFonts w:cs="Calibri"/>
          <w:noProof/>
          <w:szCs w:val="20"/>
        </w:rPr>
        <w:t>[8] R. Sharma, V. Rana, Effect of carboxymethylation on rheological and drug release characteristics of Terminalia catappa gum, Carbohydrate polymers, 175 (2017) 728-738.</w:t>
      </w:r>
      <w:bookmarkEnd w:id="7"/>
    </w:p>
    <w:p w:rsidR="00F60EB8" w:rsidRPr="00F60EB8" w:rsidRDefault="00F60EB8" w:rsidP="00F60EB8">
      <w:pPr>
        <w:spacing w:after="0" w:line="240" w:lineRule="auto"/>
        <w:jc w:val="both"/>
        <w:rPr>
          <w:rFonts w:cs="Calibri"/>
          <w:noProof/>
          <w:szCs w:val="20"/>
        </w:rPr>
      </w:pPr>
      <w:bookmarkStart w:id="8" w:name="_ENREF_9"/>
      <w:r w:rsidRPr="00F60EB8">
        <w:rPr>
          <w:rFonts w:cs="Calibri"/>
          <w:noProof/>
          <w:szCs w:val="20"/>
        </w:rPr>
        <w:t>[9] S. Kamboj, S. Sethi, V. Rana, Lipid based delivery of Efavirenz: an answer to its erratic absorption and food effect, European Journal of Pharmaceutical Sciences, 123 (2018) 199-216.</w:t>
      </w:r>
      <w:bookmarkEnd w:id="8"/>
    </w:p>
    <w:p w:rsidR="00F60EB8" w:rsidRPr="00F60EB8" w:rsidRDefault="00F60EB8" w:rsidP="00F60EB8">
      <w:pPr>
        <w:spacing w:line="240" w:lineRule="auto"/>
        <w:jc w:val="both"/>
        <w:rPr>
          <w:rFonts w:cs="Calibri"/>
          <w:noProof/>
          <w:szCs w:val="20"/>
        </w:rPr>
      </w:pPr>
      <w:bookmarkStart w:id="9" w:name="_ENREF_10"/>
      <w:r w:rsidRPr="00F60EB8">
        <w:rPr>
          <w:rFonts w:cs="Calibri"/>
          <w:noProof/>
          <w:szCs w:val="20"/>
        </w:rPr>
        <w:t>[10] M. Milović, J. Djuriš, L. Djekić, D. Vasiljević, S. Ibrić, Characterization and evaluation of solid self-microemulsifying drug delivery systems with porous carriers as systems for improved carbamazepine release, International journal of pharmaceutics, 436 (2012) 58-65.</w:t>
      </w:r>
      <w:bookmarkEnd w:id="9"/>
    </w:p>
    <w:p w:rsidR="00F60EB8" w:rsidRDefault="00F60EB8" w:rsidP="00F60EB8">
      <w:pPr>
        <w:spacing w:line="240" w:lineRule="auto"/>
        <w:jc w:val="both"/>
        <w:rPr>
          <w:rFonts w:ascii="Times New Roman" w:hAnsi="Times New Roman"/>
          <w:noProof/>
          <w:sz w:val="20"/>
          <w:szCs w:val="20"/>
        </w:rPr>
      </w:pPr>
    </w:p>
    <w:p w:rsidR="00D52F74" w:rsidRPr="00D52F74" w:rsidRDefault="00A212ED" w:rsidP="00D52F74">
      <w:pPr>
        <w:spacing w:line="360" w:lineRule="auto"/>
        <w:jc w:val="both"/>
        <w:rPr>
          <w:rFonts w:ascii="Times New Roman" w:hAnsi="Times New Roman"/>
          <w:sz w:val="20"/>
          <w:szCs w:val="20"/>
        </w:rPr>
      </w:pPr>
      <w:r>
        <w:rPr>
          <w:rFonts w:ascii="Times New Roman" w:hAnsi="Times New Roman"/>
          <w:sz w:val="20"/>
          <w:szCs w:val="20"/>
        </w:rPr>
        <w:fldChar w:fldCharType="end"/>
      </w:r>
    </w:p>
    <w:sectPr w:rsidR="00D52F74" w:rsidRPr="00D52F74" w:rsidSect="00902C39">
      <w:headerReference w:type="default" r:id="rId15"/>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B5307" w:rsidRDefault="008B5307" w:rsidP="00763980">
      <w:pPr>
        <w:spacing w:after="0" w:line="240" w:lineRule="auto"/>
      </w:pPr>
      <w:r>
        <w:separator/>
      </w:r>
    </w:p>
  </w:endnote>
  <w:endnote w:type="continuationSeparator" w:id="1">
    <w:p w:rsidR="008B5307" w:rsidRDefault="008B5307" w:rsidP="0076398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ulliverRM">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B5307" w:rsidRDefault="008B5307" w:rsidP="00763980">
      <w:pPr>
        <w:spacing w:after="0" w:line="240" w:lineRule="auto"/>
      </w:pPr>
      <w:r>
        <w:separator/>
      </w:r>
    </w:p>
  </w:footnote>
  <w:footnote w:type="continuationSeparator" w:id="1">
    <w:p w:rsidR="008B5307" w:rsidRDefault="008B5307" w:rsidP="00763980">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63980" w:rsidRDefault="00763980">
    <w:pPr>
      <w:pStyle w:val="Header"/>
    </w:pPr>
  </w:p>
  <w:p w:rsidR="00763980" w:rsidRDefault="0076398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20"/>
  <w:characterSpacingControl w:val="doNotCompress"/>
  <w:footnotePr>
    <w:footnote w:id="0"/>
    <w:footnote w:id="1"/>
  </w:footnotePr>
  <w:endnotePr>
    <w:endnote w:id="0"/>
    <w:endnote w:id="1"/>
  </w:endnotePr>
  <w:compat/>
  <w:docVars>
    <w:docVar w:name="EN.Layout" w:val="&lt;ENLayout&gt;&lt;Style&gt;Euro J Pharma Biopharma&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1&lt;/HyperlinksEnabled&gt;&lt;HyperlinksVisible&gt;0&lt;/HyperlinksVisible&gt;&lt;/ENLayout&gt;"/>
    <w:docVar w:name="EN.Libraries" w:val="&lt;Libraries&gt;&lt;/Libraries&gt;"/>
  </w:docVars>
  <w:rsids>
    <w:rsidRoot w:val="00763980"/>
    <w:rsid w:val="000F756F"/>
    <w:rsid w:val="00172AC5"/>
    <w:rsid w:val="001F1DB5"/>
    <w:rsid w:val="00275D09"/>
    <w:rsid w:val="002C7E39"/>
    <w:rsid w:val="003031A8"/>
    <w:rsid w:val="003A0157"/>
    <w:rsid w:val="003B3DED"/>
    <w:rsid w:val="00460DDD"/>
    <w:rsid w:val="00472A0D"/>
    <w:rsid w:val="0050295B"/>
    <w:rsid w:val="005A626C"/>
    <w:rsid w:val="00711B43"/>
    <w:rsid w:val="00763980"/>
    <w:rsid w:val="00777CB1"/>
    <w:rsid w:val="007B34F4"/>
    <w:rsid w:val="008223D3"/>
    <w:rsid w:val="008B5307"/>
    <w:rsid w:val="00902C39"/>
    <w:rsid w:val="00902FB0"/>
    <w:rsid w:val="00A212ED"/>
    <w:rsid w:val="00BC602A"/>
    <w:rsid w:val="00BE433D"/>
    <w:rsid w:val="00C07381"/>
    <w:rsid w:val="00CD0076"/>
    <w:rsid w:val="00D1591E"/>
    <w:rsid w:val="00D52F74"/>
    <w:rsid w:val="00D7312F"/>
    <w:rsid w:val="00D75102"/>
    <w:rsid w:val="00E20762"/>
    <w:rsid w:val="00F11FA5"/>
    <w:rsid w:val="00F60EB8"/>
    <w:rsid w:val="00F6762E"/>
    <w:rsid w:val="00FE740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63980"/>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3980"/>
    <w:pPr>
      <w:tabs>
        <w:tab w:val="center" w:pos="4680"/>
        <w:tab w:val="right" w:pos="9360"/>
      </w:tabs>
      <w:spacing w:after="0" w:line="240" w:lineRule="auto"/>
    </w:pPr>
    <w:rPr>
      <w:rFonts w:asciiTheme="minorHAnsi" w:eastAsiaTheme="minorHAnsi" w:hAnsiTheme="minorHAnsi" w:cstheme="minorBidi"/>
    </w:rPr>
  </w:style>
  <w:style w:type="character" w:customStyle="1" w:styleId="HeaderChar">
    <w:name w:val="Header Char"/>
    <w:basedOn w:val="DefaultParagraphFont"/>
    <w:link w:val="Header"/>
    <w:uiPriority w:val="99"/>
    <w:rsid w:val="00763980"/>
  </w:style>
  <w:style w:type="paragraph" w:styleId="Footer">
    <w:name w:val="footer"/>
    <w:basedOn w:val="Normal"/>
    <w:link w:val="FooterChar"/>
    <w:uiPriority w:val="99"/>
    <w:semiHidden/>
    <w:unhideWhenUsed/>
    <w:rsid w:val="00763980"/>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763980"/>
  </w:style>
  <w:style w:type="paragraph" w:styleId="BalloonText">
    <w:name w:val="Balloon Text"/>
    <w:basedOn w:val="Normal"/>
    <w:link w:val="BalloonTextChar"/>
    <w:uiPriority w:val="99"/>
    <w:semiHidden/>
    <w:unhideWhenUsed/>
    <w:rsid w:val="007639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63980"/>
    <w:rPr>
      <w:rFonts w:ascii="Tahoma" w:hAnsi="Tahoma" w:cs="Tahoma"/>
      <w:sz w:val="16"/>
      <w:szCs w:val="16"/>
    </w:rPr>
  </w:style>
  <w:style w:type="table" w:styleId="TableGrid">
    <w:name w:val="Table Grid"/>
    <w:basedOn w:val="TableNormal"/>
    <w:uiPriority w:val="59"/>
    <w:rsid w:val="003031A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Hyperlink">
    <w:name w:val="Hyperlink"/>
    <w:basedOn w:val="DefaultParagraphFont"/>
    <w:uiPriority w:val="99"/>
    <w:unhideWhenUsed/>
    <w:rsid w:val="00F60EB8"/>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emf"/><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emf"/><Relationship Id="rId11" Type="http://schemas.openxmlformats.org/officeDocument/2006/relationships/image" Target="media/image6.png"/><Relationship Id="rId5" Type="http://schemas.openxmlformats.org/officeDocument/2006/relationships/endnotes" Target="endnotes.xml"/><Relationship Id="rId15" Type="http://schemas.openxmlformats.org/officeDocument/2006/relationships/header" Target="header1.xml"/><Relationship Id="rId10" Type="http://schemas.openxmlformats.org/officeDocument/2006/relationships/image" Target="media/image5.png"/><Relationship Id="rId4" Type="http://schemas.openxmlformats.org/officeDocument/2006/relationships/footnotes" Target="footnotes.xml"/><Relationship Id="rId9" Type="http://schemas.openxmlformats.org/officeDocument/2006/relationships/image" Target="media/image4.png"/><Relationship Id="rId14" Type="http://schemas.openxmlformats.org/officeDocument/2006/relationships/image" Target="media/image9.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299</TotalTime>
  <Pages>11</Pages>
  <Words>4047</Words>
  <Characters>23073</Characters>
  <Application>Microsoft Office Word</Application>
  <DocSecurity>0</DocSecurity>
  <Lines>192</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6</cp:revision>
  <dcterms:created xsi:type="dcterms:W3CDTF">2021-12-01T07:11:00Z</dcterms:created>
  <dcterms:modified xsi:type="dcterms:W3CDTF">2021-12-05T17:32:00Z</dcterms:modified>
</cp:coreProperties>
</file>