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5481B" w14:textId="28525B7A" w:rsidR="001E39EF" w:rsidRDefault="001E39EF" w:rsidP="001E39EF">
      <w:pPr>
        <w:rPr>
          <w:rFonts w:cs="Times New Roman"/>
          <w:b/>
          <w:bCs/>
          <w:szCs w:val="24"/>
          <w:lang w:val="en-GB"/>
        </w:rPr>
      </w:pPr>
      <w:r w:rsidRPr="00285589">
        <w:rPr>
          <w:rFonts w:cs="Times New Roman"/>
          <w:b/>
          <w:bCs/>
          <w:szCs w:val="24"/>
          <w:lang w:val="en-GB"/>
        </w:rPr>
        <w:t>Supplementary</w:t>
      </w:r>
      <w:r w:rsidR="009916C3">
        <w:rPr>
          <w:rFonts w:cs="Times New Roman"/>
          <w:b/>
          <w:bCs/>
          <w:szCs w:val="24"/>
          <w:lang w:val="en-GB"/>
        </w:rPr>
        <w:t xml:space="preserve"> Material: </w:t>
      </w:r>
    </w:p>
    <w:p w14:paraId="382C1D15" w14:textId="77777777" w:rsidR="001E39EF" w:rsidRDefault="001E39EF" w:rsidP="001E39EF">
      <w:pPr>
        <w:rPr>
          <w:rFonts w:cs="Times New Roman"/>
          <w:b/>
          <w:bCs/>
          <w:szCs w:val="24"/>
          <w:lang w:val="en-GB"/>
        </w:rPr>
      </w:pPr>
      <w:r>
        <w:rPr>
          <w:rFonts w:cs="Times New Roman"/>
          <w:b/>
          <w:bCs/>
          <w:noProof/>
          <w:szCs w:val="24"/>
          <w:lang w:val="en-GB"/>
        </w:rPr>
        <w:drawing>
          <wp:inline distT="0" distB="0" distL="0" distR="0" wp14:anchorId="33A42CFB" wp14:editId="3C5E7B7D">
            <wp:extent cx="4712335" cy="2420620"/>
            <wp:effectExtent l="0" t="0" r="0" b="0"/>
            <wp:docPr id="189105520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2335" cy="2420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DBD6FF" w14:textId="7780B76C" w:rsidR="001E39EF" w:rsidRDefault="009B7055" w:rsidP="009B7055">
      <w:pPr>
        <w:jc w:val="both"/>
        <w:rPr>
          <w:rFonts w:cs="Times New Roman"/>
          <w:szCs w:val="24"/>
          <w:lang w:val="en-GB"/>
        </w:rPr>
      </w:pPr>
      <w:r w:rsidRPr="009B7055">
        <w:rPr>
          <w:rFonts w:cs="Times New Roman"/>
          <w:b/>
          <w:bCs/>
          <w:szCs w:val="24"/>
          <w:lang w:val="en-GB"/>
        </w:rPr>
        <w:t>Figure S1. Dose–response analysis of cisplatin-induced cytotoxicity in PC-3 cells.</w:t>
      </w:r>
      <w:r w:rsidRPr="009B7055">
        <w:rPr>
          <w:rFonts w:cs="Times New Roman"/>
          <w:szCs w:val="24"/>
          <w:lang w:val="en-GB"/>
        </w:rPr>
        <w:t xml:space="preserve"> PC-3 cells were exposed to cisplatin at concentrations ranging from 5 to 400 µg/mL, and cell viability was assessed following treatment. The dose–response profile demonstrates a concentration-dependent reduction in cell viability, with an estimated half-maximal inhibitory concentration (IC₅₀) of 30.447 µg/mL under the experimental conditions.</w:t>
      </w:r>
    </w:p>
    <w:p w14:paraId="2DF91B24" w14:textId="77777777" w:rsidR="009B7055" w:rsidRPr="009B7055" w:rsidRDefault="009B7055" w:rsidP="009B7055">
      <w:pPr>
        <w:jc w:val="both"/>
        <w:rPr>
          <w:rFonts w:cs="Times New Roman"/>
          <w:szCs w:val="24"/>
          <w:lang w:val="en-GB"/>
        </w:rPr>
      </w:pPr>
    </w:p>
    <w:p w14:paraId="69452572" w14:textId="77698DB1" w:rsidR="001E39EF" w:rsidRDefault="001E39EF" w:rsidP="001E39EF">
      <w:pPr>
        <w:rPr>
          <w:rFonts w:cs="Times New Roman"/>
          <w:b/>
          <w:bCs/>
          <w:szCs w:val="24"/>
          <w:lang w:val="en-GB"/>
        </w:rPr>
      </w:pPr>
      <w:r>
        <w:rPr>
          <w:rFonts w:cs="Times New Roman"/>
          <w:b/>
          <w:bCs/>
          <w:noProof/>
          <w:szCs w:val="24"/>
          <w:lang w:val="en-GB"/>
        </w:rPr>
        <w:drawing>
          <wp:inline distT="0" distB="0" distL="0" distR="0" wp14:anchorId="740983A8" wp14:editId="470C6167">
            <wp:extent cx="4718685" cy="2426335"/>
            <wp:effectExtent l="0" t="0" r="5715" b="0"/>
            <wp:docPr id="19851491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685" cy="2426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04E78F" w14:textId="0D53DC21" w:rsidR="001E39EF" w:rsidRDefault="009916C3" w:rsidP="009916C3">
      <w:pPr>
        <w:jc w:val="both"/>
        <w:rPr>
          <w:rFonts w:cs="Times New Roman"/>
          <w:b/>
          <w:bCs/>
          <w:szCs w:val="24"/>
          <w:lang w:val="en-GB"/>
        </w:rPr>
      </w:pPr>
      <w:r w:rsidRPr="009916C3">
        <w:rPr>
          <w:rFonts w:cs="Times New Roman"/>
          <w:b/>
          <w:bCs/>
          <w:szCs w:val="24"/>
          <w:lang w:val="en-GB"/>
        </w:rPr>
        <w:t xml:space="preserve">Figure S2. Cytotoxicity of heptylprodigiosin in WI-38 human fibroblasts. </w:t>
      </w:r>
      <w:r w:rsidRPr="009916C3">
        <w:rPr>
          <w:rFonts w:cs="Times New Roman"/>
          <w:szCs w:val="24"/>
          <w:lang w:val="en-GB"/>
        </w:rPr>
        <w:t>The cytotoxic effect of heptylprodigiosin on WI-38 cells was evaluated over a concentration range of 5–400 µg/mL. Cell viability decreased with increasing heptylprodigiosin concentration, and the estimated IC₅₀ was 16.27 µg/mL under the experimental conditions</w:t>
      </w:r>
      <w:r>
        <w:rPr>
          <w:rFonts w:cs="Times New Roman"/>
          <w:szCs w:val="24"/>
          <w:lang w:val="en-GB"/>
        </w:rPr>
        <w:t>.</w:t>
      </w:r>
    </w:p>
    <w:p w14:paraId="77342380" w14:textId="77777777" w:rsidR="001E39EF" w:rsidRDefault="001E39EF" w:rsidP="001E39EF">
      <w:pPr>
        <w:pStyle w:val="NormalWeb"/>
      </w:pPr>
      <w:r>
        <w:rPr>
          <w:noProof/>
        </w:rPr>
        <w:lastRenderedPageBreak/>
        <w:drawing>
          <wp:inline distT="0" distB="0" distL="0" distR="0" wp14:anchorId="588391A1" wp14:editId="4A76B14B">
            <wp:extent cx="5943600" cy="1887855"/>
            <wp:effectExtent l="0" t="0" r="0" b="0"/>
            <wp:docPr id="15268452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8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2DB70" w14:textId="7B07FB7A" w:rsidR="001E39EF" w:rsidRDefault="001E39EF" w:rsidP="001E39EF">
      <w:pPr>
        <w:spacing w:line="240" w:lineRule="auto"/>
        <w:jc w:val="both"/>
        <w:rPr>
          <w:rFonts w:cs="Times New Roman"/>
        </w:rPr>
      </w:pPr>
      <w:r w:rsidRPr="002257A3">
        <w:rPr>
          <w:rFonts w:cs="Times New Roman"/>
          <w:b/>
          <w:bCs/>
        </w:rPr>
        <w:t xml:space="preserve">Figure </w:t>
      </w:r>
      <w:r>
        <w:rPr>
          <w:rFonts w:cs="Times New Roman"/>
          <w:b/>
          <w:bCs/>
        </w:rPr>
        <w:t>S3</w:t>
      </w:r>
      <w:r w:rsidRPr="002257A3">
        <w:rPr>
          <w:rFonts w:cs="Times New Roman"/>
          <w:b/>
          <w:bCs/>
        </w:rPr>
        <w:t>:</w:t>
      </w:r>
      <w:r>
        <w:rPr>
          <w:rFonts w:cs="Times New Roman"/>
        </w:rPr>
        <w:t xml:space="preserve"> </w:t>
      </w:r>
      <w:r w:rsidRPr="002A6A4B">
        <w:rPr>
          <w:rFonts w:cs="Times New Roman"/>
          <w:b/>
          <w:bCs/>
        </w:rPr>
        <w:t>Flow cytometric profiling of apoptotic induction in human PC-3 prostate cancer cells.</w:t>
      </w:r>
      <w:r w:rsidRPr="00913B20">
        <w:rPr>
          <w:rFonts w:cs="Times New Roman"/>
        </w:rPr>
        <w:t xml:space="preserve"> Representative quadrant plots following 24 h exposure to (A) untreated control, (B) Cisplatin (30.4</w:t>
      </w:r>
      <w:r>
        <w:rPr>
          <w:rFonts w:cs="Times New Roman"/>
        </w:rPr>
        <w:t>5 µ</w:t>
      </w:r>
      <w:r w:rsidRPr="00913B20">
        <w:rPr>
          <w:rFonts w:cs="Times New Roman"/>
        </w:rPr>
        <w:t>g/mL), and (C) Heptylprodigiosin (</w:t>
      </w:r>
      <w:r>
        <w:rPr>
          <w:rFonts w:cs="Times New Roman"/>
        </w:rPr>
        <w:t>9.00 µ</w:t>
      </w:r>
      <w:r w:rsidRPr="00913B20">
        <w:rPr>
          <w:rFonts w:cs="Times New Roman"/>
        </w:rPr>
        <w:t>g/mL). Cell populations are categorized into live (lower left), early apoptotic (lower right), late apoptotic (upper right), and debris (upper left) based on Annexin V-AbFluor 488 and Propidium Iodide (PI) staining intensity</w:t>
      </w:r>
      <w:r>
        <w:rPr>
          <w:rFonts w:cs="Times New Roman"/>
        </w:rPr>
        <w:t>.</w:t>
      </w:r>
    </w:p>
    <w:p w14:paraId="4A5AD584" w14:textId="1CB68BEA" w:rsidR="008F4E35" w:rsidRDefault="008F4E35" w:rsidP="008F4E35">
      <w:pPr>
        <w:spacing w:line="240" w:lineRule="auto"/>
        <w:jc w:val="both"/>
        <w:rPr>
          <w:rFonts w:cs="Times New Roman"/>
        </w:rPr>
      </w:pPr>
      <w:r w:rsidRPr="008F4E35">
        <w:rPr>
          <w:rFonts w:cs="Times New Roman"/>
        </w:rPr>
        <w:drawing>
          <wp:inline distT="0" distB="0" distL="0" distR="0" wp14:anchorId="5295729D" wp14:editId="77B8D296">
            <wp:extent cx="5731510" cy="5273040"/>
            <wp:effectExtent l="0" t="0" r="2540" b="3810"/>
            <wp:docPr id="10431544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27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804F4" w14:textId="279034E5" w:rsidR="00A3718A" w:rsidRPr="008F4E35" w:rsidRDefault="00A3718A" w:rsidP="008F4E35">
      <w:pPr>
        <w:spacing w:line="240" w:lineRule="auto"/>
        <w:jc w:val="both"/>
        <w:rPr>
          <w:rFonts w:cs="Times New Roman"/>
        </w:rPr>
      </w:pPr>
      <w:r w:rsidRPr="00A3718A">
        <w:rPr>
          <w:rFonts w:cs="Times New Roman"/>
          <w:b/>
          <w:bCs/>
        </w:rPr>
        <w:lastRenderedPageBreak/>
        <w:t xml:space="preserve">Figure </w:t>
      </w:r>
      <w:r w:rsidRPr="00A3718A">
        <w:rPr>
          <w:rFonts w:cs="Times New Roman"/>
          <w:b/>
          <w:bCs/>
        </w:rPr>
        <w:t>S4</w:t>
      </w:r>
      <w:r w:rsidRPr="00A3718A">
        <w:rPr>
          <w:rFonts w:cs="Times New Roman"/>
          <w:b/>
          <w:bCs/>
        </w:rPr>
        <w:t>.</w:t>
      </w:r>
      <w:r w:rsidRPr="00A3718A">
        <w:rPr>
          <w:rFonts w:cs="Times New Roman"/>
        </w:rPr>
        <w:t xml:space="preserve"> Flow cytometric analysis of heptyl prodigiosin-induced DNA fragmentation in human PC-3 cells using the TUNEL assay.</w:t>
      </w:r>
    </w:p>
    <w:p w14:paraId="395FB550" w14:textId="77777777" w:rsidR="008F4E35" w:rsidRDefault="008F4E35" w:rsidP="001E39EF">
      <w:pPr>
        <w:spacing w:line="240" w:lineRule="auto"/>
        <w:jc w:val="both"/>
        <w:rPr>
          <w:rFonts w:cs="Times New Roman"/>
        </w:rPr>
      </w:pPr>
    </w:p>
    <w:p w14:paraId="2593DFED" w14:textId="77777777" w:rsidR="001E39EF" w:rsidRPr="00285589" w:rsidRDefault="001E39EF" w:rsidP="001E39EF">
      <w:pPr>
        <w:rPr>
          <w:rFonts w:cs="Times New Roman"/>
          <w:szCs w:val="24"/>
          <w:lang w:val="en-GB"/>
        </w:rPr>
      </w:pPr>
      <w:r w:rsidRPr="009916C3">
        <w:rPr>
          <w:rFonts w:cs="Times New Roman"/>
          <w:b/>
          <w:bCs/>
          <w:szCs w:val="24"/>
          <w:lang w:val="en-GB"/>
        </w:rPr>
        <w:t>Table S1:</w:t>
      </w:r>
      <w:r w:rsidRPr="00285589">
        <w:rPr>
          <w:rFonts w:cs="Times New Roman"/>
          <w:szCs w:val="24"/>
          <w:lang w:val="en-GB"/>
        </w:rPr>
        <w:t xml:space="preserve"> </w:t>
      </w:r>
      <w:r w:rsidRPr="00285589">
        <w:rPr>
          <w:rFonts w:cs="Times New Roman"/>
          <w:szCs w:val="24"/>
          <w:vertAlign w:val="superscript"/>
          <w:lang w:val="en-GB"/>
        </w:rPr>
        <w:t>1</w:t>
      </w:r>
      <w:r w:rsidRPr="00285589">
        <w:rPr>
          <w:rFonts w:cs="Times New Roman"/>
          <w:szCs w:val="24"/>
          <w:lang w:val="en-GB"/>
        </w:rPr>
        <w:t>H NMR chemical shifts of heptylprodigiosin</w:t>
      </w:r>
    </w:p>
    <w:tbl>
      <w:tblPr>
        <w:tblStyle w:val="NormalGrid"/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1340"/>
        <w:gridCol w:w="2277"/>
        <w:gridCol w:w="1320"/>
        <w:gridCol w:w="2277"/>
      </w:tblGrid>
      <w:tr w:rsidR="001E39EF" w:rsidRPr="00285589" w14:paraId="285735C1" w14:textId="77777777" w:rsidTr="001B2B5C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024045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b/>
                <w:szCs w:val="24"/>
                <w:lang w:val="en-GB"/>
              </w:rPr>
              <w:t>Proton No.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68613F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b/>
                <w:szCs w:val="24"/>
                <w:lang w:val="en-GB"/>
              </w:rPr>
              <w:t>Chemical Shift (ppm)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6780FB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b/>
                <w:szCs w:val="24"/>
                <w:lang w:val="en-GB"/>
              </w:rPr>
              <w:t>Proton No.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CC07E2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b/>
                <w:szCs w:val="24"/>
                <w:lang w:val="en-GB"/>
              </w:rPr>
              <w:t>Chemical Shift (ppm)</w:t>
            </w:r>
          </w:p>
        </w:tc>
      </w:tr>
      <w:tr w:rsidR="001E39EF" w:rsidRPr="00285589" w14:paraId="35CDEA96" w14:textId="77777777" w:rsidTr="001B2B5C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B5FFFC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2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52A3C57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7.24 (1H, br s)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059AEA0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7"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B8CDB83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2.39 (3H, t, J=7.5 Hz)</w:t>
            </w:r>
          </w:p>
        </w:tc>
      </w:tr>
      <w:tr w:rsidR="001E39EF" w:rsidRPr="00285589" w14:paraId="76541F73" w14:textId="77777777" w:rsidTr="001B2B5C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AD54F9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3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FA1B2DF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6.33 (1H, t, J=3.0 Hz)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957C364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8"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6EFBDE0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1.55 (2H, m)</w:t>
            </w:r>
          </w:p>
        </w:tc>
      </w:tr>
      <w:tr w:rsidR="001E39EF" w:rsidRPr="00285589" w14:paraId="485843E4" w14:textId="77777777" w:rsidTr="001B2B5C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478042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4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61012A9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6.92 (1H, d, J=3.0 Hz)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1A89718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9"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BB921F3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1.29 (6H, m)</w:t>
            </w:r>
          </w:p>
        </w:tc>
      </w:tr>
      <w:tr w:rsidR="001E39EF" w:rsidRPr="00285589" w14:paraId="627512A9" w14:textId="77777777" w:rsidTr="001B2B5C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31543F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4'-OMe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879ED98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4.0 (3H, s)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89CD209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12"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33279BD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1.33 (2H, m)</w:t>
            </w:r>
          </w:p>
        </w:tc>
      </w:tr>
      <w:tr w:rsidR="001E39EF" w:rsidRPr="00285589" w14:paraId="4E4E3907" w14:textId="77777777" w:rsidTr="001B2B5C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59D6C7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3"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1917406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6.68 (1H, br s)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41CDAF4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13"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2089522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0.89 (3H, t, J=7.0 Hz)</w:t>
            </w:r>
          </w:p>
        </w:tc>
      </w:tr>
      <w:tr w:rsidR="001E39EF" w:rsidRPr="00285589" w14:paraId="7FC3B11E" w14:textId="77777777" w:rsidTr="001B2B5C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EEAF2A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6"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4C2AE22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2.53 (3H, s)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B9F19F3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-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1B38A0C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-</w:t>
            </w:r>
          </w:p>
        </w:tc>
      </w:tr>
    </w:tbl>
    <w:p w14:paraId="116EC609" w14:textId="77777777" w:rsidR="001E39EF" w:rsidRPr="00285589" w:rsidRDefault="001E39EF" w:rsidP="001E39EF">
      <w:pPr>
        <w:rPr>
          <w:rFonts w:cs="Times New Roman"/>
          <w:szCs w:val="24"/>
          <w:lang w:val="en-GB"/>
        </w:rPr>
      </w:pPr>
      <w:r w:rsidRPr="009916C3">
        <w:rPr>
          <w:rFonts w:cs="Times New Roman"/>
          <w:b/>
          <w:bCs/>
          <w:szCs w:val="24"/>
          <w:lang w:val="en-GB"/>
        </w:rPr>
        <w:t>Table S2:</w:t>
      </w:r>
      <w:r w:rsidRPr="00285589">
        <w:rPr>
          <w:rFonts w:cs="Times New Roman"/>
          <w:szCs w:val="24"/>
          <w:lang w:val="en-GB"/>
        </w:rPr>
        <w:t xml:space="preserve"> </w:t>
      </w:r>
      <w:r w:rsidRPr="00285589">
        <w:rPr>
          <w:rFonts w:cs="Times New Roman"/>
          <w:szCs w:val="24"/>
          <w:vertAlign w:val="superscript"/>
          <w:lang w:val="en-GB"/>
        </w:rPr>
        <w:t>13</w:t>
      </w:r>
      <w:r w:rsidRPr="00285589">
        <w:rPr>
          <w:rFonts w:cs="Times New Roman"/>
          <w:szCs w:val="24"/>
          <w:lang w:val="en-GB"/>
        </w:rPr>
        <w:t>C NMR chemical shifts of heptylprodigiosin</w:t>
      </w:r>
    </w:p>
    <w:tbl>
      <w:tblPr>
        <w:tblStyle w:val="NormalGrid"/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1411"/>
        <w:gridCol w:w="2277"/>
        <w:gridCol w:w="1391"/>
        <w:gridCol w:w="2277"/>
      </w:tblGrid>
      <w:tr w:rsidR="001E39EF" w:rsidRPr="00285589" w14:paraId="57648464" w14:textId="77777777" w:rsidTr="001B2B5C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AFFDBE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b/>
                <w:szCs w:val="24"/>
                <w:lang w:val="en-GB"/>
              </w:rPr>
              <w:t>Carbon No.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A63DE3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b/>
                <w:szCs w:val="24"/>
                <w:lang w:val="en-GB"/>
              </w:rPr>
              <w:t>Chemical Shift (ppm)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A0FB76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b/>
                <w:szCs w:val="24"/>
                <w:lang w:val="en-GB"/>
              </w:rPr>
              <w:t>Carbon No.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DBE171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b/>
                <w:szCs w:val="24"/>
                <w:lang w:val="en-GB"/>
              </w:rPr>
              <w:t>Chemical Shift (ppm)</w:t>
            </w:r>
          </w:p>
        </w:tc>
      </w:tr>
      <w:tr w:rsidR="001E39EF" w:rsidRPr="00285589" w14:paraId="54BA1EF4" w14:textId="77777777" w:rsidTr="001B2B5C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37D016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2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636BB13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127.08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CB3B4FF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3", 4"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5338675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128.40</w:t>
            </w:r>
          </w:p>
        </w:tc>
      </w:tr>
      <w:tr w:rsidR="001E39EF" w:rsidRPr="00285589" w14:paraId="1C06D444" w14:textId="77777777" w:rsidTr="001B2B5C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425893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3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34CC264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111.10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2CA38A4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5"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2EBD2E8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147.0</w:t>
            </w:r>
          </w:p>
        </w:tc>
      </w:tr>
      <w:tr w:rsidR="001E39EF" w:rsidRPr="00285589" w14:paraId="146E5B80" w14:textId="77777777" w:rsidTr="001B2B5C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0A0134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4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3DD1331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117.10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335F679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6"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83D5838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112.46</w:t>
            </w:r>
          </w:p>
        </w:tc>
      </w:tr>
      <w:tr w:rsidR="001E39EF" w:rsidRPr="00285589" w14:paraId="510EC9EC" w14:textId="77777777" w:rsidTr="001B2B5C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B8FA57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5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B68C854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122.28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DDA0780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7"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05E69D4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25.36</w:t>
            </w:r>
          </w:p>
        </w:tc>
      </w:tr>
      <w:tr w:rsidR="001E39EF" w:rsidRPr="00285589" w14:paraId="6211462C" w14:textId="77777777" w:rsidTr="001B2B5C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654FC1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2'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CB183F8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148.0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120874E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8"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7F37661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30.96</w:t>
            </w:r>
          </w:p>
        </w:tc>
      </w:tr>
      <w:tr w:rsidR="001E39EF" w:rsidRPr="00285589" w14:paraId="5DE1AA28" w14:textId="77777777" w:rsidTr="001B2B5C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BDE525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3'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F0C8A24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92.90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F1C6EC8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9"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0D2B11D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29.83</w:t>
            </w:r>
          </w:p>
        </w:tc>
      </w:tr>
      <w:tr w:rsidR="001E39EF" w:rsidRPr="00285589" w14:paraId="5D424B32" w14:textId="77777777" w:rsidTr="001B2B5C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49ADDA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4'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69F5E8F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165.81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AFB700A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10"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B05EC2C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29.31</w:t>
            </w:r>
          </w:p>
        </w:tc>
      </w:tr>
      <w:tr w:rsidR="001E39EF" w:rsidRPr="00285589" w14:paraId="68E8A00A" w14:textId="77777777" w:rsidTr="001B2B5C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4B96B4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5'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5E1538E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122.28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04F321A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11"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941B5CE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31.44</w:t>
            </w:r>
          </w:p>
        </w:tc>
      </w:tr>
      <w:tr w:rsidR="001E39EF" w:rsidRPr="00285589" w14:paraId="224DD47B" w14:textId="77777777" w:rsidTr="001B2B5C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507FC4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6'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E425DC5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116.01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31400B2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12"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16B73FF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22.52</w:t>
            </w:r>
          </w:p>
        </w:tc>
      </w:tr>
      <w:tr w:rsidR="001E39EF" w:rsidRPr="00285589" w14:paraId="689B94B1" w14:textId="77777777" w:rsidTr="001B2B5C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DD3A2B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2"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80D420A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125.0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FAB38E0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13"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6B1A88B" w14:textId="77777777" w:rsidR="001E39EF" w:rsidRPr="00285589" w:rsidRDefault="001E39EF" w:rsidP="001B2B5C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285589">
              <w:rPr>
                <w:rFonts w:cs="Times New Roman"/>
                <w:szCs w:val="24"/>
                <w:lang w:val="en-GB"/>
              </w:rPr>
              <w:t>14.14</w:t>
            </w:r>
          </w:p>
        </w:tc>
      </w:tr>
    </w:tbl>
    <w:p w14:paraId="26937CC5" w14:textId="77777777" w:rsidR="001E39EF" w:rsidRDefault="001E39EF"/>
    <w:sectPr w:rsidR="001E39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9EF"/>
    <w:rsid w:val="001E39EF"/>
    <w:rsid w:val="00611AD7"/>
    <w:rsid w:val="008F4E35"/>
    <w:rsid w:val="009916C3"/>
    <w:rsid w:val="009B7055"/>
    <w:rsid w:val="00A3718A"/>
    <w:rsid w:val="00E8483B"/>
    <w:rsid w:val="00FC0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89C40"/>
  <w15:chartTrackingRefBased/>
  <w15:docId w15:val="{15986BE3-6699-4C2F-BF18-B38AAAAF3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9EF"/>
    <w:pPr>
      <w:spacing w:line="259" w:lineRule="auto"/>
    </w:pPr>
    <w:rPr>
      <w:rFonts w:ascii="Times New Roman" w:eastAsiaTheme="minorHAnsi" w:hAnsi="Times New Roman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39E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39E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39E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zh-C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39E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4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39E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  <w:lang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39E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  <w:lang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39E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:lang w:eastAsia="zh-C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39E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  <w:lang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39E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:lang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39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39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39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39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39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39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39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39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39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39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1E39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39EF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zh-CN"/>
    </w:rPr>
  </w:style>
  <w:style w:type="character" w:customStyle="1" w:styleId="SubtitleChar">
    <w:name w:val="Subtitle Char"/>
    <w:basedOn w:val="DefaultParagraphFont"/>
    <w:link w:val="Subtitle"/>
    <w:uiPriority w:val="11"/>
    <w:rsid w:val="001E39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39EF"/>
    <w:pPr>
      <w:spacing w:before="160" w:line="278" w:lineRule="auto"/>
      <w:jc w:val="center"/>
    </w:pPr>
    <w:rPr>
      <w:rFonts w:asciiTheme="minorHAnsi" w:eastAsiaTheme="minorEastAsia" w:hAnsiTheme="minorHAnsi"/>
      <w:i/>
      <w:iCs/>
      <w:color w:val="404040" w:themeColor="text1" w:themeTint="BF"/>
      <w:szCs w:val="24"/>
      <w:lang w:eastAsia="zh-CN"/>
    </w:rPr>
  </w:style>
  <w:style w:type="character" w:customStyle="1" w:styleId="QuoteChar">
    <w:name w:val="Quote Char"/>
    <w:basedOn w:val="DefaultParagraphFont"/>
    <w:link w:val="Quote"/>
    <w:uiPriority w:val="29"/>
    <w:rsid w:val="001E39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39EF"/>
    <w:pPr>
      <w:spacing w:line="278" w:lineRule="auto"/>
      <w:ind w:left="720"/>
      <w:contextualSpacing/>
    </w:pPr>
    <w:rPr>
      <w:rFonts w:asciiTheme="minorHAnsi" w:eastAsiaTheme="minorEastAsia" w:hAnsiTheme="minorHAnsi"/>
      <w:szCs w:val="24"/>
      <w:lang w:eastAsia="zh-CN"/>
    </w:rPr>
  </w:style>
  <w:style w:type="character" w:styleId="IntenseEmphasis">
    <w:name w:val="Intense Emphasis"/>
    <w:basedOn w:val="DefaultParagraphFont"/>
    <w:uiPriority w:val="21"/>
    <w:qFormat/>
    <w:rsid w:val="001E39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9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/>
      <w:i/>
      <w:iCs/>
      <w:color w:val="0F4761" w:themeColor="accent1" w:themeShade="BF"/>
      <w:szCs w:val="24"/>
      <w:lang w:eastAsia="zh-C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9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39EF"/>
    <w:rPr>
      <w:b/>
      <w:bCs/>
      <w:smallCaps/>
      <w:color w:val="0F4761" w:themeColor="accent1" w:themeShade="BF"/>
      <w:spacing w:val="5"/>
    </w:rPr>
  </w:style>
  <w:style w:type="table" w:customStyle="1" w:styleId="NormalGrid">
    <w:name w:val="Normal Grid"/>
    <w:basedOn w:val="TableNormal"/>
    <w:uiPriority w:val="39"/>
    <w:rsid w:val="001E39EF"/>
    <w:pPr>
      <w:spacing w:after="0" w:line="240" w:lineRule="auto"/>
    </w:pPr>
    <w:rPr>
      <w:rFonts w:ascii="Georgia" w:eastAsiaTheme="minorHAnsi"/>
      <w:kern w:val="0"/>
      <w:sz w:val="21"/>
      <w:szCs w:val="22"/>
      <w:lang w:val="en-US" w:eastAsia="en-US"/>
      <w14:ligatures w14:val="none"/>
    </w:rPr>
    <w:tblPr>
      <w:tblCellMar>
        <w:top w:w="80" w:type="dxa"/>
        <w:left w:w="160" w:type="dxa"/>
        <w:bottom w:w="80" w:type="dxa"/>
        <w:right w:w="160" w:type="dxa"/>
      </w:tblCellMar>
    </w:tblPr>
  </w:style>
  <w:style w:type="paragraph" w:styleId="NormalWeb">
    <w:name w:val="Normal (Web)"/>
    <w:basedOn w:val="Normal"/>
    <w:uiPriority w:val="99"/>
    <w:unhideWhenUsed/>
    <w:rsid w:val="001E39EF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Sreejesh</dc:creator>
  <cp:keywords/>
  <dc:description/>
  <cp:lastModifiedBy>Sreejesh</cp:lastModifiedBy>
  <cp:revision>4</cp:revision>
  <dcterms:created xsi:type="dcterms:W3CDTF">2026-09-22T08:17:00Z</dcterms:created>
  <dcterms:modified xsi:type="dcterms:W3CDTF">2026-10-06T09:10:00Z</dcterms:modified>
</cp:coreProperties>
</file>