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626" w:rsidRPr="002E3626" w:rsidRDefault="002E3626" w:rsidP="001E386B">
      <w:pPr>
        <w:spacing w:after="0" w:line="480" w:lineRule="auto"/>
        <w:ind w:left="142" w:right="656"/>
        <w:rPr>
          <w:rFonts w:ascii="Verdana" w:eastAsia="Times New Roman" w:hAnsi="Verdana" w:cs="Times New Roman"/>
          <w:color w:val="FF0000"/>
          <w:sz w:val="20"/>
          <w:szCs w:val="20"/>
          <w:lang w:val="en-GB" w:eastAsia="sv-SE"/>
        </w:rPr>
      </w:pPr>
      <w:r w:rsidRPr="002E3626">
        <w:rPr>
          <w:rFonts w:ascii="Verdana" w:eastAsia="Times New Roman" w:hAnsi="Verdana" w:cs="Times New Roman"/>
          <w:b/>
          <w:sz w:val="20"/>
          <w:szCs w:val="20"/>
          <w:lang w:val="en-GB" w:eastAsia="sv-SE"/>
        </w:rPr>
        <w:t xml:space="preserve">Additional </w:t>
      </w:r>
      <w:r w:rsidR="00C228A7">
        <w:rPr>
          <w:rFonts w:ascii="Verdana" w:eastAsia="Times New Roman" w:hAnsi="Verdana" w:cs="Times New Roman"/>
          <w:b/>
          <w:sz w:val="20"/>
          <w:szCs w:val="20"/>
          <w:lang w:val="en-GB" w:eastAsia="sv-SE"/>
        </w:rPr>
        <w:t>T</w:t>
      </w:r>
      <w:r w:rsidRPr="002E3626">
        <w:rPr>
          <w:rFonts w:ascii="Verdana" w:eastAsia="Times New Roman" w:hAnsi="Verdana" w:cs="Times New Roman"/>
          <w:b/>
          <w:sz w:val="20"/>
          <w:szCs w:val="20"/>
          <w:lang w:val="en-GB" w:eastAsia="sv-SE"/>
        </w:rPr>
        <w:t>able 1.</w:t>
      </w:r>
      <w:r w:rsidRPr="002E362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Single exposure models between the variables included in the sum</w:t>
      </w:r>
      <w:r w:rsidR="00C228A7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</w:t>
      </w:r>
      <w:r w:rsidRPr="002E362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scores of ergonomic and psychosocial factors (at baseline), and seniority, and musculoskeletal </w:t>
      </w:r>
      <w:r w:rsidRPr="00C228A7">
        <w:rPr>
          <w:rFonts w:ascii="Verdana" w:eastAsia="Times New Roman" w:hAnsi="Verdana" w:cs="Times New Roman"/>
          <w:sz w:val="20"/>
          <w:szCs w:val="20"/>
          <w:lang w:val="en-GB" w:eastAsia="sv-SE"/>
        </w:rPr>
        <w:t>pain</w:t>
      </w:r>
      <w:r w:rsidRPr="002E362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(at follow-up) in the neck, shoulders, hands, low</w:t>
      </w:r>
      <w:r w:rsidR="00C228A7">
        <w:rPr>
          <w:rFonts w:ascii="Verdana" w:eastAsia="Times New Roman" w:hAnsi="Verdana" w:cs="Times New Roman"/>
          <w:sz w:val="20"/>
          <w:szCs w:val="20"/>
          <w:lang w:val="en-GB" w:eastAsia="sv-SE"/>
        </w:rPr>
        <w:t>er</w:t>
      </w:r>
      <w:r w:rsidRPr="002E362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back and feet, calculated with Poisson regression as prevalence ratio (PR</w:t>
      </w:r>
      <w:r w:rsidR="00C228A7">
        <w:rPr>
          <w:rFonts w:ascii="Verdana" w:eastAsia="Times New Roman" w:hAnsi="Verdana" w:cs="Times New Roman"/>
          <w:sz w:val="20"/>
          <w:szCs w:val="20"/>
          <w:lang w:val="en-GB" w:eastAsia="sv-SE"/>
        </w:rPr>
        <w:t>s</w:t>
      </w:r>
      <w:r w:rsidRPr="002E362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) and </w:t>
      </w:r>
      <w:r w:rsidRPr="00A3237C">
        <w:rPr>
          <w:rFonts w:ascii="Verdana" w:eastAsia="Times New Roman" w:hAnsi="Verdana" w:cs="Times New Roman"/>
          <w:sz w:val="20"/>
          <w:szCs w:val="20"/>
          <w:lang w:val="en-GB" w:eastAsia="sv-SE"/>
        </w:rPr>
        <w:t>95%</w:t>
      </w:r>
      <w:r w:rsidRPr="002E362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confidence intervals (CI</w:t>
      </w:r>
      <w:r w:rsidR="00C228A7">
        <w:rPr>
          <w:rFonts w:ascii="Verdana" w:eastAsia="Times New Roman" w:hAnsi="Verdana" w:cs="Times New Roman"/>
          <w:sz w:val="20"/>
          <w:szCs w:val="20"/>
          <w:lang w:val="en-GB" w:eastAsia="sv-SE"/>
        </w:rPr>
        <w:t>s</w:t>
      </w:r>
      <w:r w:rsidRPr="002E3626">
        <w:rPr>
          <w:rFonts w:ascii="Verdana" w:eastAsia="Times New Roman" w:hAnsi="Verdana" w:cs="Times New Roman"/>
          <w:sz w:val="20"/>
          <w:szCs w:val="20"/>
          <w:lang w:val="en-GB" w:eastAsia="sv-SE"/>
        </w:rPr>
        <w:t>). Results in bold face are statistical</w:t>
      </w:r>
      <w:r w:rsidR="00C228A7">
        <w:rPr>
          <w:rFonts w:ascii="Verdana" w:eastAsia="Times New Roman" w:hAnsi="Verdana" w:cs="Times New Roman"/>
          <w:sz w:val="20"/>
          <w:szCs w:val="20"/>
          <w:lang w:val="en-GB" w:eastAsia="sv-SE"/>
        </w:rPr>
        <w:t>ly</w:t>
      </w:r>
      <w:r w:rsidRPr="002E362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significant.</w:t>
      </w:r>
    </w:p>
    <w:tbl>
      <w:tblPr>
        <w:tblStyle w:val="Tabellrutnt"/>
        <w:tblW w:w="147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27"/>
        <w:gridCol w:w="851"/>
        <w:gridCol w:w="709"/>
        <w:gridCol w:w="1950"/>
        <w:gridCol w:w="284"/>
        <w:gridCol w:w="1843"/>
        <w:gridCol w:w="283"/>
        <w:gridCol w:w="1843"/>
        <w:gridCol w:w="283"/>
        <w:gridCol w:w="1843"/>
        <w:gridCol w:w="284"/>
        <w:gridCol w:w="1842"/>
      </w:tblGrid>
      <w:tr w:rsidR="002E3626" w:rsidRPr="00A3237C" w:rsidTr="00A3237C">
        <w:trPr>
          <w:trHeight w:val="284"/>
        </w:trPr>
        <w:tc>
          <w:tcPr>
            <w:tcW w:w="272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Cs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237C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Neck </w:t>
            </w:r>
          </w:p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(N=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>1099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Shoulders (N=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>1090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Hands </w:t>
            </w:r>
          </w:p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(N=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>1106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Low back </w:t>
            </w:r>
          </w:p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(N=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>1092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237C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Feet </w:t>
            </w:r>
          </w:p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(N=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>1105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</w:tr>
      <w:tr w:rsidR="002E3626" w:rsidRPr="00A3237C" w:rsidTr="00A3237C">
        <w:trPr>
          <w:trHeight w:val="284"/>
        </w:trPr>
        <w:tc>
          <w:tcPr>
            <w:tcW w:w="27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Cs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Scale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A3237C" w:rsidP="00A3237C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N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2E3626" w:rsidP="00A3237C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PR (CI</w:t>
            </w:r>
            <w:r w:rsidR="00C228A7"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 95%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PR (CI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>95%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PR (CI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>95%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PR (CI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>95%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PR (CI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  <w:r w:rsidR="00A3237C" w:rsidRPr="00A3237C">
              <w:rPr>
                <w:rFonts w:ascii="Verdana" w:hAnsi="Verdana"/>
                <w:sz w:val="16"/>
                <w:szCs w:val="16"/>
                <w:lang w:val="en-GB"/>
              </w:rPr>
              <w:t>95%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tcBorders>
              <w:top w:val="single" w:sz="4" w:space="0" w:color="auto"/>
            </w:tcBorders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950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bCs/>
                <w:sz w:val="16"/>
                <w:szCs w:val="16"/>
                <w:lang w:val="en-GB"/>
              </w:rPr>
              <w:t>Ergonomic factors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950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Mechanical </w:t>
            </w:r>
            <w:r w:rsidR="00C228A7" w:rsidRPr="00A3237C">
              <w:rPr>
                <w:rFonts w:ascii="Verdana" w:hAnsi="Verdana"/>
                <w:sz w:val="16"/>
                <w:szCs w:val="16"/>
                <w:lang w:val="en-GB"/>
              </w:rPr>
              <w:t>e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xposure </w:t>
            </w:r>
            <w:r w:rsidR="00C228A7" w:rsidRPr="00A3237C">
              <w:rPr>
                <w:rFonts w:ascii="Verdana" w:hAnsi="Verdana"/>
                <w:sz w:val="16"/>
                <w:szCs w:val="16"/>
                <w:lang w:val="en-GB"/>
              </w:rPr>
              <w:t>i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ndex</w:t>
            </w:r>
          </w:p>
        </w:tc>
        <w:tc>
          <w:tcPr>
            <w:tcW w:w="851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11-33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1056</w:t>
            </w:r>
          </w:p>
        </w:tc>
        <w:tc>
          <w:tcPr>
            <w:tcW w:w="1950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1.06 (1.04-1.08)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1.06 (1.04-1.07)</w:t>
            </w:r>
          </w:p>
        </w:tc>
        <w:tc>
          <w:tcPr>
            <w:tcW w:w="283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both"/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1.05 (1-03-1.08)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1.04 (1.02-1.06)</w:t>
            </w:r>
          </w:p>
        </w:tc>
        <w:tc>
          <w:tcPr>
            <w:tcW w:w="284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1.03 (1.00-1.07)</w:t>
            </w: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Physical exposure index</w:t>
            </w:r>
          </w:p>
        </w:tc>
        <w:tc>
          <w:tcPr>
            <w:tcW w:w="851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7-21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1063</w:t>
            </w:r>
          </w:p>
        </w:tc>
        <w:tc>
          <w:tcPr>
            <w:tcW w:w="1950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1.03 (1.01-1.05)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 w:cs="Arial"/>
                <w:bCs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 w:cs="Arial"/>
                <w:bCs/>
                <w:sz w:val="16"/>
                <w:szCs w:val="16"/>
                <w:lang w:val="en-GB"/>
              </w:rPr>
              <w:t>1.02 (1.00-1.04)</w:t>
            </w:r>
          </w:p>
        </w:tc>
        <w:tc>
          <w:tcPr>
            <w:tcW w:w="283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both"/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1.07 (1.04-1.10)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1.03 (1.01-1.05)</w:t>
            </w:r>
          </w:p>
        </w:tc>
        <w:tc>
          <w:tcPr>
            <w:tcW w:w="284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1.07 (1.03-1.11)</w:t>
            </w: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Sensory demands</w:t>
            </w:r>
          </w:p>
        </w:tc>
        <w:tc>
          <w:tcPr>
            <w:tcW w:w="851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0-4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1088</w:t>
            </w:r>
          </w:p>
        </w:tc>
        <w:tc>
          <w:tcPr>
            <w:tcW w:w="1950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1.16 (1.04-1.30)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1.18 (1.06-1.30)</w:t>
            </w:r>
          </w:p>
        </w:tc>
        <w:tc>
          <w:tcPr>
            <w:tcW w:w="283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both"/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 w:cs="Arial"/>
                <w:b/>
                <w:bCs/>
                <w:sz w:val="16"/>
                <w:szCs w:val="16"/>
                <w:lang w:val="en-GB"/>
              </w:rPr>
              <w:t>1.37 (1.16-1.60)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1.13 (1.01-1.27)</w:t>
            </w:r>
          </w:p>
        </w:tc>
        <w:tc>
          <w:tcPr>
            <w:tcW w:w="284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0.99 (0.82-1.21)</w:t>
            </w: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b/>
                <w:iCs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950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ind w:right="790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b/>
                <w:iCs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iCs/>
                <w:sz w:val="16"/>
                <w:szCs w:val="16"/>
                <w:lang w:val="en-GB"/>
              </w:rPr>
              <w:t>Psychosocial factors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950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ind w:right="790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 xml:space="preserve">Job demands </w:t>
            </w:r>
          </w:p>
        </w:tc>
        <w:tc>
          <w:tcPr>
            <w:tcW w:w="851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1-4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1097</w:t>
            </w:r>
          </w:p>
        </w:tc>
        <w:tc>
          <w:tcPr>
            <w:tcW w:w="1950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1.21 (1.03-1.42)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1.25 (1.08-1.46)</w:t>
            </w:r>
          </w:p>
        </w:tc>
        <w:tc>
          <w:tcPr>
            <w:tcW w:w="283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both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1.37 (1.10-1.71)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1.37 (1.16-1.62)</w:t>
            </w:r>
          </w:p>
        </w:tc>
        <w:tc>
          <w:tcPr>
            <w:tcW w:w="284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1.23 (0.91-1.66)</w:t>
            </w: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Job control</w:t>
            </w:r>
          </w:p>
        </w:tc>
        <w:tc>
          <w:tcPr>
            <w:tcW w:w="851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1-4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1097</w:t>
            </w:r>
          </w:p>
        </w:tc>
        <w:tc>
          <w:tcPr>
            <w:tcW w:w="1950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0.75 (0.62-0.91)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0.84 (0.70-1.0)</w:t>
            </w:r>
          </w:p>
        </w:tc>
        <w:tc>
          <w:tcPr>
            <w:tcW w:w="283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both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0.69 (0.53-0.90)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0.77 (0.64-0.94)</w:t>
            </w:r>
          </w:p>
        </w:tc>
        <w:tc>
          <w:tcPr>
            <w:tcW w:w="284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0.93 (0.65-1.31)</w:t>
            </w: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Job support from colle</w:t>
            </w:r>
            <w:r w:rsidR="00C228A7" w:rsidRPr="00A3237C">
              <w:rPr>
                <w:rFonts w:ascii="Verdana" w:hAnsi="Verdana"/>
                <w:sz w:val="16"/>
                <w:szCs w:val="16"/>
                <w:lang w:val="en-GB"/>
              </w:rPr>
              <w:t>a</w:t>
            </w: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gues</w:t>
            </w:r>
          </w:p>
        </w:tc>
        <w:tc>
          <w:tcPr>
            <w:tcW w:w="851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1-4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1093</w:t>
            </w:r>
          </w:p>
        </w:tc>
        <w:tc>
          <w:tcPr>
            <w:tcW w:w="1950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0.8 (0.68-0.95)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0.79 (0.67-0.93)</w:t>
            </w:r>
          </w:p>
        </w:tc>
        <w:tc>
          <w:tcPr>
            <w:tcW w:w="283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both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0.90 (0.70-1.16)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0.93(0.78-1.11)</w:t>
            </w:r>
          </w:p>
        </w:tc>
        <w:tc>
          <w:tcPr>
            <w:tcW w:w="284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0.77 (0.57-1.04)</w:t>
            </w: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Emotional demands</w:t>
            </w:r>
          </w:p>
        </w:tc>
        <w:tc>
          <w:tcPr>
            <w:tcW w:w="851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0-4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1088</w:t>
            </w:r>
          </w:p>
        </w:tc>
        <w:tc>
          <w:tcPr>
            <w:tcW w:w="1950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1.01 (0.92-1.10)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0.99 (0.91-1.07)</w:t>
            </w:r>
          </w:p>
        </w:tc>
        <w:tc>
          <w:tcPr>
            <w:tcW w:w="283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both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0.99 (0.87-1.13)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1.06 (0.97-1.17)</w:t>
            </w:r>
          </w:p>
        </w:tc>
        <w:tc>
          <w:tcPr>
            <w:tcW w:w="284" w:type="dxa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1.09 (0.93-1.28)</w:t>
            </w: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Demands of hiding emotions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0-4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1087</w:t>
            </w:r>
          </w:p>
        </w:tc>
        <w:tc>
          <w:tcPr>
            <w:tcW w:w="1950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1.12 (1.02-1.23)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1.15 (1.06-1.26)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both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1.12 (0.97-1.28)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1.07 (0.97-1.18)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0.92 (0.77-1.09)</w:t>
            </w: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Leadership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0-4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1088</w:t>
            </w:r>
          </w:p>
        </w:tc>
        <w:tc>
          <w:tcPr>
            <w:tcW w:w="1950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0.91 (0.82-1.00)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0.90 (0.83-0.99)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both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1.12 (0.97-1.29)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0.97 (0.88-1.08)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1.00 (0.83-1.20)</w:t>
            </w: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950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Seniority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2E3626" w:rsidRPr="00A3237C" w:rsidRDefault="00C228A7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Y</w:t>
            </w:r>
            <w:r w:rsidR="002E3626" w:rsidRPr="00A3237C">
              <w:rPr>
                <w:rFonts w:ascii="Verdana" w:hAnsi="Verdana"/>
                <w:i/>
                <w:sz w:val="16"/>
                <w:szCs w:val="16"/>
                <w:lang w:val="en-GB"/>
              </w:rPr>
              <w:t>ears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1115</w:t>
            </w:r>
          </w:p>
        </w:tc>
        <w:tc>
          <w:tcPr>
            <w:tcW w:w="1950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1.00 (0.99-1.01)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1.00 (0.99-1.00)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1.01 (1.01-1.02)</w:t>
            </w:r>
          </w:p>
        </w:tc>
        <w:tc>
          <w:tcPr>
            <w:tcW w:w="28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sz w:val="16"/>
                <w:szCs w:val="16"/>
                <w:lang w:val="en-GB"/>
              </w:rPr>
              <w:t>1.005(1.0-1.01)</w:t>
            </w:r>
          </w:p>
        </w:tc>
        <w:tc>
          <w:tcPr>
            <w:tcW w:w="284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A3237C">
              <w:rPr>
                <w:rFonts w:ascii="Verdana" w:hAnsi="Verdana"/>
                <w:b/>
                <w:sz w:val="16"/>
                <w:szCs w:val="16"/>
                <w:lang w:val="en-GB"/>
              </w:rPr>
              <w:t>1.02 (1.01-1.03)</w:t>
            </w:r>
          </w:p>
        </w:tc>
      </w:tr>
      <w:tr w:rsidR="00A3237C" w:rsidRPr="002E3626" w:rsidTr="001E386B">
        <w:trPr>
          <w:trHeight w:val="284"/>
        </w:trPr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2E3626" w:rsidRPr="00A3237C" w:rsidRDefault="002E3626" w:rsidP="002E3626">
            <w:pPr>
              <w:jc w:val="right"/>
              <w:rPr>
                <w:rFonts w:ascii="Verdana" w:hAnsi="Verdana"/>
                <w:i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i/>
                <w:sz w:val="16"/>
                <w:szCs w:val="16"/>
                <w:lang w:val="en-GB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9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3626" w:rsidRPr="00A3237C" w:rsidRDefault="002E3626" w:rsidP="002E362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3626" w:rsidRPr="00A3237C" w:rsidRDefault="002E3626" w:rsidP="002E3626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</w:tr>
    </w:tbl>
    <w:p w:rsidR="002E3626" w:rsidRPr="002E3626" w:rsidRDefault="002E3626" w:rsidP="002E3626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en-GB" w:eastAsia="sv-SE"/>
        </w:rPr>
      </w:pPr>
    </w:p>
    <w:p w:rsidR="00A226FA" w:rsidRDefault="001E386B">
      <w:bookmarkStart w:id="0" w:name="_GoBack"/>
      <w:bookmarkEnd w:id="0"/>
    </w:p>
    <w:sectPr w:rsidR="00A226FA" w:rsidSect="002E36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oNotTrackFormatting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626"/>
    <w:rsid w:val="001E386B"/>
    <w:rsid w:val="002E3626"/>
    <w:rsid w:val="004603A3"/>
    <w:rsid w:val="00A3237C"/>
    <w:rsid w:val="00A52903"/>
    <w:rsid w:val="00C228A7"/>
    <w:rsid w:val="00E8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52E0B1-83E5-4E0E-9BA7-C373ADFF2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2E36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419F8695</Template>
  <TotalTime>1</TotalTime>
  <Pages>1</Pages>
  <Words>295</Words>
  <Characters>1565</Characters>
  <Application>Microsoft Office Word</Application>
  <DocSecurity>4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Skåne</Company>
  <LinksUpToDate>false</LinksUpToDate>
  <CharactersWithSpaces>1857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Arvidsson Inger EM</dc:creator>
  <cp:lastModifiedBy>Arvidsson Inger EM</cp:lastModifiedBy>
  <cp:revision>2</cp:revision>
  <dcterms:created xsi:type="dcterms:W3CDTF">2020-05-28T06:31:00Z</dcterms:created>
  <dcterms:modified xsi:type="dcterms:W3CDTF">2020-05-28T06:31:00Z</dcterms:modified>
</cp:coreProperties>
</file>