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00B90" w14:textId="77777777" w:rsidR="006B71C6" w:rsidRDefault="0057794D">
      <w:pPr>
        <w:adjustRightInd w:val="0"/>
        <w:snapToGrid w:val="0"/>
        <w:spacing w:line="480" w:lineRule="auto"/>
        <w:jc w:val="center"/>
        <w:rPr>
          <w:rFonts w:ascii="Times New Roman" w:hAnsi="Times New Roman" w:cs="Times New Roman"/>
          <w:b/>
          <w:bCs/>
          <w:color w:val="000000" w:themeColor="text1"/>
          <w:sz w:val="28"/>
          <w:szCs w:val="28"/>
        </w:rPr>
      </w:pPr>
      <w:bookmarkStart w:id="0" w:name="_Hlk214136157"/>
      <w:r>
        <w:rPr>
          <w:rFonts w:ascii="Times New Roman" w:hAnsi="Times New Roman" w:cs="Times New Roman"/>
          <w:b/>
          <w:bCs/>
          <w:color w:val="000000" w:themeColor="text1"/>
          <w:sz w:val="28"/>
          <w:szCs w:val="28"/>
        </w:rPr>
        <w:t>Supplementary Materials</w:t>
      </w:r>
      <w:bookmarkEnd w:id="0"/>
    </w:p>
    <w:p w14:paraId="6DF84E94" w14:textId="77777777" w:rsidR="006B71C6" w:rsidRDefault="006B71C6">
      <w:pPr>
        <w:adjustRightInd w:val="0"/>
        <w:snapToGrid w:val="0"/>
        <w:spacing w:line="480" w:lineRule="auto"/>
        <w:jc w:val="center"/>
        <w:rPr>
          <w:rFonts w:ascii="Times New Roman" w:hAnsi="Times New Roman" w:cs="Times New Roman"/>
          <w:b/>
          <w:bCs/>
          <w:color w:val="000000" w:themeColor="text1"/>
          <w:sz w:val="28"/>
          <w:szCs w:val="28"/>
        </w:rPr>
      </w:pPr>
    </w:p>
    <w:p w14:paraId="69EB779A" w14:textId="77777777" w:rsidR="006B71C6" w:rsidRDefault="0057794D">
      <w:pPr>
        <w:adjustRightInd w:val="0"/>
        <w:snapToGrid w:val="0"/>
        <w:spacing w:line="48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Supplementary Methods</w:t>
      </w:r>
    </w:p>
    <w:p w14:paraId="09584842" w14:textId="77777777" w:rsidR="006B71C6" w:rsidRDefault="006B71C6">
      <w:pPr>
        <w:adjustRightInd w:val="0"/>
        <w:snapToGrid w:val="0"/>
        <w:spacing w:line="480" w:lineRule="auto"/>
        <w:rPr>
          <w:rFonts w:ascii="Times New Roman" w:hAnsi="Times New Roman" w:cs="Times New Roman"/>
          <w:b/>
          <w:bCs/>
          <w:color w:val="000000" w:themeColor="text1"/>
          <w:sz w:val="24"/>
        </w:rPr>
      </w:pPr>
    </w:p>
    <w:p w14:paraId="1AD8C261" w14:textId="77777777" w:rsidR="006B71C6" w:rsidRDefault="0057794D">
      <w:pPr>
        <w:adjustRightInd w:val="0"/>
        <w:snapToGrid w:val="0"/>
        <w:spacing w:line="480"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4"/>
        </w:rPr>
        <w:t>Supplementary Figures</w:t>
      </w:r>
      <w:r>
        <w:rPr>
          <w:rFonts w:ascii="Times New Roman" w:hAnsi="Times New Roman" w:cs="Times New Roman" w:hint="eastAsia"/>
          <w:b/>
          <w:bCs/>
          <w:color w:val="000000" w:themeColor="text1"/>
          <w:sz w:val="24"/>
        </w:rPr>
        <w:t>:</w:t>
      </w:r>
    </w:p>
    <w:p w14:paraId="08A5B1C6" w14:textId="77777777" w:rsidR="006B71C6" w:rsidRDefault="0057794D">
      <w:pPr>
        <w:adjustRightInd w:val="0"/>
        <w:snapToGrid w:val="0"/>
        <w:spacing w:line="480" w:lineRule="auto"/>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rPr>
        <w:t>Supplementary Fig. 1</w:t>
      </w:r>
      <w:r>
        <w:rPr>
          <w:rFonts w:ascii="Times New Roman" w:hAnsi="Times New Roman" w:cs="Times New Roman" w:hint="eastAsia"/>
          <w:b/>
          <w:bCs/>
          <w:color w:val="000000" w:themeColor="text1"/>
          <w:sz w:val="24"/>
        </w:rPr>
        <w:t xml:space="preserve"> </w:t>
      </w:r>
      <w:r>
        <w:rPr>
          <w:rFonts w:ascii="Times New Roman" w:hAnsi="Times New Roman" w:cs="Times New Roman"/>
          <w:color w:val="000000" w:themeColor="text1"/>
          <w:sz w:val="24"/>
          <w:szCs w:val="24"/>
        </w:rPr>
        <w:t xml:space="preserve">OPLS-DA model performance for IGR subjects and matched healthy controls. </w:t>
      </w:r>
    </w:p>
    <w:p w14:paraId="57A1A4B0" w14:textId="77777777" w:rsidR="006B71C6" w:rsidRDefault="0057794D">
      <w:pPr>
        <w:adjustRightInd w:val="0"/>
        <w:snapToGrid w:val="0"/>
        <w:spacing w:line="480" w:lineRule="auto"/>
        <w:rPr>
          <w:rFonts w:ascii="Times New Roman" w:hAnsi="Times New Roman" w:cs="Times New Roman"/>
          <w:b/>
          <w:bCs/>
          <w:color w:val="000000" w:themeColor="text1"/>
          <w:sz w:val="24"/>
        </w:rPr>
      </w:pPr>
      <w:r>
        <w:rPr>
          <w:rFonts w:ascii="Times New Roman" w:hAnsi="Times New Roman" w:cs="Times New Roman"/>
          <w:b/>
          <w:bCs/>
          <w:color w:val="000000" w:themeColor="text1"/>
          <w:sz w:val="24"/>
        </w:rPr>
        <w:t xml:space="preserve">Supplementary Fig. </w:t>
      </w:r>
      <w:r>
        <w:rPr>
          <w:rFonts w:ascii="Times New Roman" w:hAnsi="Times New Roman" w:cs="Times New Roman" w:hint="eastAsia"/>
          <w:b/>
          <w:bCs/>
          <w:color w:val="000000" w:themeColor="text1"/>
          <w:sz w:val="24"/>
        </w:rPr>
        <w:t xml:space="preserve">2 </w:t>
      </w:r>
      <w:r>
        <w:rPr>
          <w:rFonts w:ascii="Times New Roman" w:hAnsi="Times New Roman" w:cs="Times New Roman"/>
          <w:color w:val="000000" w:themeColor="text1"/>
          <w:sz w:val="24"/>
          <w:szCs w:val="24"/>
        </w:rPr>
        <w:t xml:space="preserve">OPLS-DA model performance for IGR subgroups and matched </w:t>
      </w:r>
      <w:r>
        <w:rPr>
          <w:rFonts w:ascii="Times New Roman" w:hAnsi="Times New Roman" w:cs="Times New Roman"/>
          <w:color w:val="000000" w:themeColor="text1"/>
          <w:sz w:val="24"/>
          <w:szCs w:val="24"/>
        </w:rPr>
        <w:t>healthy controls.</w:t>
      </w:r>
    </w:p>
    <w:p w14:paraId="6F37D0C5" w14:textId="77777777" w:rsidR="006B71C6" w:rsidRDefault="0057794D">
      <w:pPr>
        <w:adjustRightInd w:val="0"/>
        <w:snapToGrid w:val="0"/>
        <w:spacing w:line="480" w:lineRule="auto"/>
        <w:rPr>
          <w:rFonts w:ascii="Times New Roman" w:hAnsi="Times New Roman" w:cs="Times New Roman"/>
          <w:b/>
          <w:bCs/>
          <w:color w:val="000000" w:themeColor="text1"/>
          <w:sz w:val="24"/>
        </w:rPr>
      </w:pPr>
      <w:r>
        <w:rPr>
          <w:rFonts w:ascii="Times New Roman" w:hAnsi="Times New Roman" w:cs="Times New Roman"/>
          <w:b/>
          <w:bCs/>
          <w:color w:val="000000" w:themeColor="text1"/>
          <w:sz w:val="24"/>
        </w:rPr>
        <w:t xml:space="preserve">Supplementary Fig. </w:t>
      </w:r>
      <w:r>
        <w:rPr>
          <w:rFonts w:ascii="Times New Roman" w:hAnsi="Times New Roman" w:cs="Times New Roman" w:hint="eastAsia"/>
          <w:b/>
          <w:bCs/>
          <w:color w:val="000000" w:themeColor="text1"/>
          <w:sz w:val="24"/>
        </w:rPr>
        <w:t xml:space="preserve">3 </w:t>
      </w:r>
      <w:r>
        <w:rPr>
          <w:rFonts w:ascii="Times New Roman" w:hAnsi="Times New Roman" w:cs="Times New Roman"/>
          <w:color w:val="000000" w:themeColor="text1"/>
          <w:sz w:val="24"/>
          <w:szCs w:val="24"/>
        </w:rPr>
        <w:t>OPLS-DA model performance for IGR remission, IGR progression, and healthy controls at baseline and follow-up.</w:t>
      </w:r>
    </w:p>
    <w:p w14:paraId="4B5117CB" w14:textId="77777777" w:rsidR="006B71C6" w:rsidRDefault="0057794D">
      <w:pPr>
        <w:adjustRightInd w:val="0"/>
        <w:snapToGrid w:val="0"/>
        <w:spacing w:line="480" w:lineRule="auto"/>
        <w:rPr>
          <w:rFonts w:ascii="Times New Roman" w:hAnsi="Times New Roman" w:cs="Times New Roman"/>
          <w:b/>
          <w:bCs/>
          <w:color w:val="000000" w:themeColor="text1"/>
          <w:sz w:val="24"/>
        </w:rPr>
      </w:pPr>
      <w:r>
        <w:rPr>
          <w:rFonts w:ascii="Times New Roman" w:hAnsi="Times New Roman" w:cs="Times New Roman"/>
          <w:b/>
          <w:bCs/>
          <w:color w:val="000000" w:themeColor="text1"/>
          <w:sz w:val="24"/>
        </w:rPr>
        <w:t xml:space="preserve">Supplementary Fig. </w:t>
      </w:r>
      <w:r>
        <w:rPr>
          <w:rFonts w:ascii="Times New Roman" w:hAnsi="Times New Roman" w:cs="Times New Roman" w:hint="eastAsia"/>
          <w:b/>
          <w:bCs/>
          <w:color w:val="000000" w:themeColor="text1"/>
          <w:sz w:val="24"/>
        </w:rPr>
        <w:t xml:space="preserve">4 </w:t>
      </w:r>
      <w:r>
        <w:rPr>
          <w:rFonts w:ascii="Times New Roman" w:hAnsi="Times New Roman" w:cs="Times New Roman"/>
          <w:color w:val="000000" w:themeColor="text1"/>
          <w:sz w:val="24"/>
          <w:szCs w:val="24"/>
        </w:rPr>
        <w:t>Trends of key biomarkers across different disease stages.</w:t>
      </w:r>
    </w:p>
    <w:p w14:paraId="010A94E7" w14:textId="77777777" w:rsidR="006B71C6" w:rsidRDefault="0057794D">
      <w:pPr>
        <w:adjustRightInd w:val="0"/>
        <w:snapToGrid w:val="0"/>
        <w:spacing w:line="480" w:lineRule="auto"/>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rPr>
        <w:t xml:space="preserve">Supplementary Fig. </w:t>
      </w:r>
      <w:r>
        <w:rPr>
          <w:rFonts w:ascii="Times New Roman" w:hAnsi="Times New Roman" w:cs="Times New Roman" w:hint="eastAsia"/>
          <w:b/>
          <w:bCs/>
          <w:color w:val="000000" w:themeColor="text1"/>
          <w:sz w:val="24"/>
        </w:rPr>
        <w:t xml:space="preserve">5 </w:t>
      </w:r>
      <w:r>
        <w:rPr>
          <w:rFonts w:ascii="Times New Roman" w:hAnsi="Times New Roman" w:cs="Times New Roman"/>
          <w:color w:val="000000" w:themeColor="text1"/>
          <w:sz w:val="24"/>
          <w:szCs w:val="24"/>
        </w:rPr>
        <w:t>RSD dis</w:t>
      </w:r>
      <w:r>
        <w:rPr>
          <w:rFonts w:ascii="Times New Roman" w:hAnsi="Times New Roman" w:cs="Times New Roman"/>
          <w:color w:val="000000" w:themeColor="text1"/>
          <w:sz w:val="24"/>
          <w:szCs w:val="24"/>
        </w:rPr>
        <w:t>tribution of targeted biomarkers in MRM method.</w:t>
      </w:r>
    </w:p>
    <w:p w14:paraId="0DFF0058" w14:textId="77777777" w:rsidR="006B71C6" w:rsidRDefault="0057794D">
      <w:pPr>
        <w:adjustRightInd w:val="0"/>
        <w:snapToGrid w:val="0"/>
        <w:spacing w:line="480" w:lineRule="auto"/>
        <w:rPr>
          <w:rFonts w:ascii="Times New Roman" w:hAnsi="Times New Roman" w:cs="Times New Roman"/>
          <w:color w:val="000000" w:themeColor="text1"/>
          <w:sz w:val="24"/>
        </w:rPr>
      </w:pPr>
      <w:r>
        <w:rPr>
          <w:rFonts w:ascii="Times New Roman" w:hAnsi="Times New Roman" w:cs="Times New Roman"/>
          <w:b/>
          <w:bCs/>
          <w:color w:val="000000" w:themeColor="text1"/>
          <w:sz w:val="24"/>
          <w:szCs w:val="24"/>
        </w:rPr>
        <w:t>Supplementary Fig.</w:t>
      </w:r>
      <w:r>
        <w:rPr>
          <w:rFonts w:ascii="Times New Roman" w:hAnsi="Times New Roman" w:cs="Times New Roman" w:hint="eastAsia"/>
          <w:b/>
          <w:bCs/>
          <w:color w:val="000000" w:themeColor="text1"/>
          <w:sz w:val="24"/>
          <w:szCs w:val="24"/>
        </w:rPr>
        <w:t xml:space="preserve"> 6 </w:t>
      </w:r>
      <w:r>
        <w:rPr>
          <w:rFonts w:ascii="Times New Roman" w:hAnsi="Times New Roman" w:cs="Times New Roman"/>
          <w:color w:val="000000" w:themeColor="text1"/>
          <w:sz w:val="24"/>
          <w:szCs w:val="24"/>
        </w:rPr>
        <w:t>Targeted profiling of related tetradecanedioic acid metabolites across different T2DM stages</w:t>
      </w:r>
      <w:r>
        <w:rPr>
          <w:rFonts w:ascii="Times New Roman" w:hAnsi="Times New Roman" w:cs="Times New Roman" w:hint="eastAsia"/>
          <w:color w:val="000000" w:themeColor="text1"/>
          <w:sz w:val="24"/>
          <w:szCs w:val="24"/>
        </w:rPr>
        <w:t>.</w:t>
      </w:r>
    </w:p>
    <w:p w14:paraId="0ABCD9B5" w14:textId="77777777" w:rsidR="006B71C6" w:rsidRDefault="0057794D">
      <w:pPr>
        <w:adjustRightInd w:val="0"/>
        <w:snapToGrid w:val="0"/>
        <w:spacing w:line="480" w:lineRule="auto"/>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Supplementary Fig. 7</w:t>
      </w:r>
      <w:r>
        <w:rPr>
          <w:rFonts w:ascii="Times New Roman" w:hAnsi="Times New Roman" w:cs="Times New Roman"/>
          <w:color w:val="000000" w:themeColor="text1"/>
          <w:sz w:val="24"/>
          <w:szCs w:val="24"/>
        </w:rPr>
        <w:t xml:space="preserve"> Data quality assessment of untargeted metabolomics</w:t>
      </w:r>
      <w:r>
        <w:rPr>
          <w:rFonts w:ascii="Times New Roman" w:hAnsi="Times New Roman" w:cs="Times New Roman" w:hint="eastAsia"/>
          <w:color w:val="000000" w:themeColor="text1"/>
          <w:sz w:val="24"/>
          <w:szCs w:val="24"/>
        </w:rPr>
        <w:t>.</w:t>
      </w:r>
    </w:p>
    <w:p w14:paraId="09F8BA67" w14:textId="77777777" w:rsidR="006B71C6" w:rsidRDefault="006B71C6">
      <w:pPr>
        <w:adjustRightInd w:val="0"/>
        <w:snapToGrid w:val="0"/>
        <w:spacing w:line="480" w:lineRule="auto"/>
        <w:rPr>
          <w:rFonts w:ascii="Times New Roman" w:hAnsi="Times New Roman" w:cs="Times New Roman"/>
          <w:color w:val="000000" w:themeColor="text1"/>
          <w:sz w:val="24"/>
          <w:szCs w:val="24"/>
        </w:rPr>
      </w:pPr>
    </w:p>
    <w:p w14:paraId="2613C1BF" w14:textId="2BB84992" w:rsidR="006B71C6" w:rsidRDefault="0057794D">
      <w:pPr>
        <w:adjustRightInd w:val="0"/>
        <w:snapToGrid w:val="0"/>
        <w:spacing w:line="480" w:lineRule="auto"/>
        <w:rPr>
          <w:rFonts w:ascii="Times New Roman" w:hAnsi="Times New Roman" w:cs="Times New Roman"/>
          <w:b/>
          <w:bCs/>
          <w:color w:val="000000" w:themeColor="text1"/>
          <w:sz w:val="24"/>
        </w:rPr>
        <w:sectPr w:rsidR="006B71C6">
          <w:footerReference w:type="default" r:id="rId8"/>
          <w:pgSz w:w="11906" w:h="16838"/>
          <w:pgMar w:top="1440" w:right="1800" w:bottom="1440" w:left="1800" w:header="851" w:footer="992" w:gutter="0"/>
          <w:cols w:space="425"/>
          <w:docGrid w:type="lines" w:linePitch="312"/>
        </w:sectPr>
      </w:pPr>
      <w:r>
        <w:rPr>
          <w:rFonts w:ascii="Times New Roman" w:hAnsi="Times New Roman" w:cs="Times New Roman"/>
          <w:b/>
          <w:bCs/>
          <w:color w:val="000000" w:themeColor="text1"/>
          <w:sz w:val="24"/>
          <w:szCs w:val="24"/>
        </w:rPr>
        <w:t xml:space="preserve">Supplementary </w:t>
      </w:r>
      <w:r>
        <w:rPr>
          <w:rFonts w:ascii="Times New Roman" w:hAnsi="Times New Roman" w:cs="Times New Roman" w:hint="eastAsia"/>
          <w:b/>
          <w:bCs/>
          <w:color w:val="000000" w:themeColor="text1"/>
          <w:sz w:val="24"/>
          <w:szCs w:val="24"/>
        </w:rPr>
        <w:t xml:space="preserve">Tables </w:t>
      </w:r>
      <w:r w:rsidR="00E75C0C">
        <w:rPr>
          <w:rFonts w:ascii="Times New Roman" w:hAnsi="Times New Roman" w:cs="Times New Roman"/>
          <w:b/>
          <w:bCs/>
          <w:color w:val="000000" w:themeColor="text1"/>
          <w:sz w:val="24"/>
          <w:szCs w:val="24"/>
        </w:rPr>
        <w:t xml:space="preserve">1-10 </w:t>
      </w:r>
      <w:r>
        <w:rPr>
          <w:rFonts w:ascii="Times New Roman" w:hAnsi="Times New Roman" w:cs="Times New Roman" w:hint="eastAsia"/>
          <w:b/>
          <w:bCs/>
          <w:color w:val="000000" w:themeColor="text1"/>
          <w:sz w:val="24"/>
          <w:szCs w:val="24"/>
        </w:rPr>
        <w:t>given in another Excel file</w:t>
      </w:r>
    </w:p>
    <w:p w14:paraId="5EFC80AF" w14:textId="77777777" w:rsidR="006B71C6" w:rsidRDefault="0057794D">
      <w:pPr>
        <w:adjustRightInd w:val="0"/>
        <w:snapToGrid w:val="0"/>
        <w:spacing w:line="48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Supplementary Methods</w:t>
      </w:r>
    </w:p>
    <w:p w14:paraId="17E195ED" w14:textId="77777777" w:rsidR="006B71C6" w:rsidRDefault="0057794D">
      <w:pPr>
        <w:adjustRightInd w:val="0"/>
        <w:snapToGrid w:val="0"/>
        <w:spacing w:line="48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Patients in the </w:t>
      </w:r>
      <w:r>
        <w:rPr>
          <w:rFonts w:ascii="Times New Roman" w:hAnsi="Times New Roman" w:cs="Times New Roman" w:hint="eastAsia"/>
          <w:b/>
          <w:bCs/>
          <w:color w:val="000000" w:themeColor="text1"/>
          <w:sz w:val="24"/>
          <w:szCs w:val="24"/>
        </w:rPr>
        <w:t>cohort</w:t>
      </w:r>
    </w:p>
    <w:p w14:paraId="444166E2" w14:textId="77777777" w:rsidR="006B71C6" w:rsidRDefault="0057794D">
      <w:pPr>
        <w:adjustRightInd w:val="0"/>
        <w:snapToGrid w:val="0"/>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Participants were drawn from the </w:t>
      </w:r>
      <w:r>
        <w:rPr>
          <w:rFonts w:ascii="Times New Roman" w:hAnsi="Times New Roman" w:cs="Times New Roman"/>
          <w:color w:val="000000" w:themeColor="text1"/>
          <w:sz w:val="24"/>
          <w:szCs w:val="24"/>
        </w:rPr>
        <w:t>Shanghai Nicheng longitudinal cohort. The baseline survey was conducted between April 2013 and August 2014 in a community-based population of 23,375 residents. Among these individuals, 21,408 provided informed consent and 17,212 completed the baseline inve</w:t>
      </w:r>
      <w:r>
        <w:rPr>
          <w:rFonts w:ascii="Times New Roman" w:hAnsi="Times New Roman" w:cs="Times New Roman"/>
          <w:color w:val="000000" w:themeColor="text1"/>
          <w:sz w:val="24"/>
          <w:szCs w:val="24"/>
        </w:rPr>
        <w:t xml:space="preserve">stigation. Participants were excluded if they had missing or substandard measurements for body mass index (BMI), waist circumference, body fat percentage, fasting plasma glucose, 2-h post-load glucose or history of diabetes. After these exclusions, 12,137 </w:t>
      </w:r>
      <w:r>
        <w:rPr>
          <w:rFonts w:ascii="Times New Roman" w:hAnsi="Times New Roman" w:cs="Times New Roman"/>
          <w:color w:val="000000" w:themeColor="text1"/>
          <w:sz w:val="24"/>
          <w:szCs w:val="24"/>
        </w:rPr>
        <w:t>participants were retained for longitudinal outcome screening. A nested longitudinal metabolomics sub-cohort was established from the eligible Nicheng cohort participants. This sub-cohort included 1,103 individuals, comprising 128 healthy controls (HC) and</w:t>
      </w:r>
      <w:r>
        <w:rPr>
          <w:rFonts w:ascii="Times New Roman" w:hAnsi="Times New Roman" w:cs="Times New Roman"/>
          <w:color w:val="000000" w:themeColor="text1"/>
          <w:sz w:val="24"/>
          <w:szCs w:val="24"/>
        </w:rPr>
        <w:t xml:space="preserve"> 975 participants with impaired glucose regulation (IGR) at baseline. Participants were followed for 2.5 years. During follow-up, baseline IGR participants were classified according to their subsequent glycaemic status into three trajectory groups: reversi</w:t>
      </w:r>
      <w:r>
        <w:rPr>
          <w:rFonts w:ascii="Times New Roman" w:hAnsi="Times New Roman" w:cs="Times New Roman"/>
          <w:color w:val="000000" w:themeColor="text1"/>
          <w:sz w:val="24"/>
          <w:szCs w:val="24"/>
        </w:rPr>
        <w:t>on to normal glucose regulation (NGR; n = 202), persistent IGR (n = 554) and progression to type 2 diabetes mellitus (T2DM; n = 219).</w:t>
      </w:r>
    </w:p>
    <w:p w14:paraId="1C14D860" w14:textId="77777777" w:rsidR="006B71C6" w:rsidRDefault="0057794D">
      <w:pPr>
        <w:adjustRightInd w:val="0"/>
        <w:snapToGrid w:val="0"/>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For trajectory-based metabolomics analyses, samples were labelled according to sampling year and follow-up </w:t>
      </w:r>
      <w:r>
        <w:rPr>
          <w:rFonts w:ascii="Times New Roman" w:hAnsi="Times New Roman" w:cs="Times New Roman"/>
          <w:color w:val="000000" w:themeColor="text1"/>
          <w:sz w:val="24"/>
          <w:szCs w:val="24"/>
        </w:rPr>
        <w:t>outcome. Baseline IGR samples were annotated as IGR-2013(NGR), IGR-2013(IGR) and IGR-2013(DM), corresponding to participants who subsequently reverted to NGR, remained in IGR or progressed to T2DM, respectively. Follow-up samples from the same participants</w:t>
      </w:r>
      <w:r>
        <w:rPr>
          <w:rFonts w:ascii="Times New Roman" w:hAnsi="Times New Roman" w:cs="Times New Roman"/>
          <w:color w:val="000000" w:themeColor="text1"/>
          <w:sz w:val="24"/>
          <w:szCs w:val="24"/>
        </w:rPr>
        <w:t xml:space="preserve"> were annotated as NGR-2016, IGR-2016 and DM-2016. Healthy control samples were annotated as HC-2013 at baseline and HC-2016 at follow-up. Follow-up samples were available for 121 of the 128 baseline healthy controls.</w:t>
      </w:r>
    </w:p>
    <w:p w14:paraId="66BDA068" w14:textId="77777777" w:rsidR="006B71C6" w:rsidRDefault="0057794D">
      <w:pPr>
        <w:adjustRightInd w:val="0"/>
        <w:snapToGrid w:val="0"/>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This study was designed to support thr</w:t>
      </w:r>
      <w:r>
        <w:rPr>
          <w:rFonts w:ascii="Times New Roman" w:hAnsi="Times New Roman" w:cs="Times New Roman"/>
          <w:color w:val="000000" w:themeColor="text1"/>
          <w:sz w:val="24"/>
          <w:szCs w:val="24"/>
        </w:rPr>
        <w:t xml:space="preserve">ee complementary metabolomics analyses. First, baseline and follow-up HC and IGR samples were used as discovery and validation sets to identify reproducible metabolic alterations associated with IGR. Second, baseline IGR samples were compared according to </w:t>
      </w:r>
      <w:r>
        <w:rPr>
          <w:rFonts w:ascii="Times New Roman" w:hAnsi="Times New Roman" w:cs="Times New Roman"/>
          <w:color w:val="000000" w:themeColor="text1"/>
          <w:sz w:val="24"/>
          <w:szCs w:val="24"/>
        </w:rPr>
        <w:t>their subsequent glycaemic outcomes to evaluate whether future remission, persistence or progression was associated with distinct pre-existing metabolic profiles. Third, paired baseline and follow-up samples were analysed to identify longitudinal metabolic</w:t>
      </w:r>
      <w:r>
        <w:rPr>
          <w:rFonts w:ascii="Times New Roman" w:hAnsi="Times New Roman" w:cs="Times New Roman"/>
          <w:color w:val="000000" w:themeColor="text1"/>
          <w:sz w:val="24"/>
          <w:szCs w:val="24"/>
        </w:rPr>
        <w:t xml:space="preserve"> changes associated with IGR remission or progression. Healthy controls with paired samples were used as a time-matched reference to distinguish outcome-associated metabolic alterations from follow-up-related metabolic variation. The overall cohort stratif</w:t>
      </w:r>
      <w:r>
        <w:rPr>
          <w:rFonts w:ascii="Times New Roman" w:hAnsi="Times New Roman" w:cs="Times New Roman"/>
          <w:color w:val="000000" w:themeColor="text1"/>
          <w:sz w:val="24"/>
          <w:szCs w:val="24"/>
        </w:rPr>
        <w:t xml:space="preserve">ication and analytical workflow are summarized in </w:t>
      </w:r>
      <w:r>
        <w:rPr>
          <w:rFonts w:ascii="Times New Roman Bold" w:hAnsi="Times New Roman Bold" w:cs="Times New Roman Bold"/>
          <w:b/>
          <w:bCs/>
          <w:color w:val="000000" w:themeColor="text1"/>
          <w:sz w:val="24"/>
          <w:szCs w:val="24"/>
        </w:rPr>
        <w:t>Fig. 1</w:t>
      </w:r>
      <w:r>
        <w:rPr>
          <w:rFonts w:ascii="Times New Roman" w:hAnsi="Times New Roman" w:cs="Times New Roman"/>
          <w:color w:val="000000" w:themeColor="text1"/>
          <w:sz w:val="24"/>
          <w:szCs w:val="24"/>
        </w:rPr>
        <w:t>.</w:t>
      </w:r>
    </w:p>
    <w:p w14:paraId="13BFA534" w14:textId="77777777" w:rsidR="006B71C6" w:rsidRDefault="006B71C6">
      <w:pPr>
        <w:adjustRightInd w:val="0"/>
        <w:snapToGrid w:val="0"/>
        <w:spacing w:line="480" w:lineRule="auto"/>
        <w:rPr>
          <w:rFonts w:ascii="Times New Roman" w:hAnsi="Times New Roman" w:cs="Times New Roman"/>
          <w:color w:val="000000" w:themeColor="text1"/>
          <w:sz w:val="24"/>
          <w:szCs w:val="24"/>
        </w:rPr>
      </w:pPr>
    </w:p>
    <w:p w14:paraId="3A317330" w14:textId="77777777" w:rsidR="006B71C6" w:rsidRDefault="0057794D">
      <w:pPr>
        <w:adjustRightInd w:val="0"/>
        <w:snapToGrid w:val="0"/>
        <w:spacing w:line="48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D</w:t>
      </w:r>
      <w:r>
        <w:rPr>
          <w:rFonts w:ascii="Times New Roman" w:hAnsi="Times New Roman" w:cs="Times New Roman" w:hint="eastAsia"/>
          <w:b/>
          <w:bCs/>
          <w:color w:val="000000" w:themeColor="text1"/>
          <w:sz w:val="24"/>
          <w:szCs w:val="24"/>
        </w:rPr>
        <w:t>ata quality assessment</w:t>
      </w:r>
    </w:p>
    <w:p w14:paraId="161CD43A" w14:textId="77777777" w:rsidR="006B71C6" w:rsidRDefault="0057794D">
      <w:pPr>
        <w:adjustRightInd w:val="0"/>
        <w:snapToGrid w:val="0"/>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total of 627 metabolites were identified in this study, including 350 detected in the positive ion mode and 277 in the negative ion mode. After </w:t>
      </w:r>
      <w:r>
        <w:rPr>
          <w:rFonts w:ascii="Times New Roman" w:hAnsi="Times New Roman" w:cs="Times New Roman"/>
          <w:color w:val="000000" w:themeColor="text1"/>
          <w:sz w:val="24"/>
          <w:szCs w:val="24"/>
        </w:rPr>
        <w:t>isotope-labeled internal standard correction, 91.39% of the metabolites exhibited relative standard deviations (RSDs) below 30% in the QC samples (</w:t>
      </w:r>
      <w:r>
        <w:rPr>
          <w:rFonts w:ascii="Times New Roman Bold" w:hAnsi="Times New Roman Bold" w:cs="Times New Roman Bold"/>
          <w:b/>
          <w:bCs/>
          <w:color w:val="000000" w:themeColor="text1"/>
          <w:sz w:val="24"/>
          <w:szCs w:val="24"/>
        </w:rPr>
        <w:t>Supplementary Fig. 7a-b</w:t>
      </w:r>
      <w:r>
        <w:rPr>
          <w:rFonts w:ascii="Times New Roman" w:hAnsi="Times New Roman" w:cs="Times New Roman"/>
          <w:color w:val="000000" w:themeColor="text1"/>
          <w:sz w:val="24"/>
          <w:szCs w:val="24"/>
        </w:rPr>
        <w:t>), indicating good repeatability and analytical stability of the present platform. Fol</w:t>
      </w:r>
      <w:r>
        <w:rPr>
          <w:rFonts w:ascii="Times New Roman" w:hAnsi="Times New Roman" w:cs="Times New Roman"/>
          <w:color w:val="000000" w:themeColor="text1"/>
          <w:sz w:val="24"/>
          <w:szCs w:val="24"/>
        </w:rPr>
        <w:t xml:space="preserve">lowing structural deduplication of the metabolite annotations, </w:t>
      </w:r>
      <w:r>
        <w:rPr>
          <w:rFonts w:ascii="Times New Roman" w:hAnsi="Times New Roman" w:cs="Times New Roman" w:hint="eastAsia"/>
          <w:color w:val="000000" w:themeColor="text1"/>
          <w:sz w:val="24"/>
          <w:szCs w:val="24"/>
        </w:rPr>
        <w:t>542</w:t>
      </w:r>
      <w:r>
        <w:rPr>
          <w:rFonts w:ascii="Times New Roman" w:hAnsi="Times New Roman" w:cs="Times New Roman"/>
          <w:color w:val="000000" w:themeColor="text1"/>
          <w:sz w:val="24"/>
          <w:szCs w:val="24"/>
        </w:rPr>
        <w:t xml:space="preserve"> unique compounds were retained for subsequent analyses. These metabolites covered a broad range of chemical classes, including </w:t>
      </w:r>
      <w:r>
        <w:rPr>
          <w:rFonts w:ascii="Times New Roman" w:hAnsi="Times New Roman" w:cs="Times New Roman" w:hint="eastAsia"/>
          <w:color w:val="000000" w:themeColor="text1"/>
          <w:sz w:val="24"/>
          <w:szCs w:val="24"/>
        </w:rPr>
        <w:t>55</w:t>
      </w:r>
      <w:r>
        <w:rPr>
          <w:rFonts w:ascii="Times New Roman" w:hAnsi="Times New Roman" w:cs="Times New Roman"/>
          <w:color w:val="000000" w:themeColor="text1"/>
          <w:sz w:val="24"/>
          <w:szCs w:val="24"/>
        </w:rPr>
        <w:t xml:space="preserve"> amino acids and their derivatives, 27 bile acids and relate</w:t>
      </w:r>
      <w:r>
        <w:rPr>
          <w:rFonts w:ascii="Times New Roman" w:hAnsi="Times New Roman" w:cs="Times New Roman"/>
          <w:color w:val="000000" w:themeColor="text1"/>
          <w:sz w:val="24"/>
          <w:szCs w:val="24"/>
        </w:rPr>
        <w:t xml:space="preserve">d compounds, 4 carbohydrates, </w:t>
      </w:r>
      <w:r>
        <w:rPr>
          <w:rFonts w:ascii="Times New Roman" w:hAnsi="Times New Roman" w:cs="Times New Roman" w:hint="eastAsia"/>
          <w:color w:val="000000" w:themeColor="text1"/>
          <w:sz w:val="24"/>
          <w:szCs w:val="24"/>
        </w:rPr>
        <w:t>27</w:t>
      </w:r>
      <w:r>
        <w:rPr>
          <w:rFonts w:ascii="Times New Roman" w:hAnsi="Times New Roman" w:cs="Times New Roman"/>
          <w:color w:val="000000" w:themeColor="text1"/>
          <w:sz w:val="24"/>
          <w:szCs w:val="24"/>
        </w:rPr>
        <w:t xml:space="preserve"> carnitines and related metabolites, 103 fatty acids and derivatives, 20 hormones and steroid-related compounds, 18 lipid-related metabolites, 7 lysophosphatidic acids, 30 lysophosphatidylcholines, 16 lysophosphatidylethanol</w:t>
      </w:r>
      <w:r>
        <w:rPr>
          <w:rFonts w:ascii="Times New Roman" w:hAnsi="Times New Roman" w:cs="Times New Roman"/>
          <w:color w:val="000000" w:themeColor="text1"/>
          <w:sz w:val="24"/>
          <w:szCs w:val="24"/>
        </w:rPr>
        <w:t xml:space="preserve">amines, 8 nucleosides and nucleic acid-related compounds, </w:t>
      </w:r>
      <w:r>
        <w:rPr>
          <w:rFonts w:ascii="Times New Roman" w:hAnsi="Times New Roman" w:cs="Times New Roman" w:hint="eastAsia"/>
          <w:color w:val="000000" w:themeColor="text1"/>
          <w:sz w:val="24"/>
          <w:szCs w:val="24"/>
        </w:rPr>
        <w:t>44</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lastRenderedPageBreak/>
        <w:t>organic acids, 51 phosphatidylcholines, 9 phosphatidylethanolamines, 25 sphingolipids, and 98 compounds from other categories (</w:t>
      </w:r>
      <w:r>
        <w:rPr>
          <w:rFonts w:ascii="Times New Roman Bold" w:hAnsi="Times New Roman Bold" w:cs="Times New Roman Bold"/>
          <w:b/>
          <w:bCs/>
          <w:color w:val="000000" w:themeColor="text1"/>
          <w:sz w:val="24"/>
          <w:szCs w:val="24"/>
        </w:rPr>
        <w:t>Supplementary Fig. 7c</w:t>
      </w:r>
      <w:r>
        <w:rPr>
          <w:rFonts w:ascii="Times New Roman" w:hAnsi="Times New Roman" w:cs="Times New Roman"/>
          <w:color w:val="000000" w:themeColor="text1"/>
          <w:sz w:val="24"/>
          <w:szCs w:val="24"/>
        </w:rPr>
        <w:t>). Overall, the metabolite panel provided broad</w:t>
      </w:r>
      <w:r>
        <w:rPr>
          <w:rFonts w:ascii="Times New Roman" w:hAnsi="Times New Roman" w:cs="Times New Roman"/>
          <w:color w:val="000000" w:themeColor="text1"/>
          <w:sz w:val="24"/>
          <w:szCs w:val="24"/>
        </w:rPr>
        <w:t xml:space="preserve"> coverage of key biological pathways, including amino acid metabolism, lipid metabolism, bile acid metabolism, and energy metabolism, demonstrating strong representativeness of the metabolome. In addition, all QC samples were distributed within the ±2 SD r</w:t>
      </w:r>
      <w:r>
        <w:rPr>
          <w:rFonts w:ascii="Times New Roman" w:hAnsi="Times New Roman" w:cs="Times New Roman"/>
          <w:color w:val="000000" w:themeColor="text1"/>
          <w:sz w:val="24"/>
          <w:szCs w:val="24"/>
        </w:rPr>
        <w:t>ange, further confirming the stability and reproducibility of the analytical workflow throughout the experiment (</w:t>
      </w:r>
      <w:r>
        <w:rPr>
          <w:rFonts w:ascii="Times New Roman Bold" w:hAnsi="Times New Roman Bold" w:cs="Times New Roman Bold"/>
          <w:b/>
          <w:bCs/>
          <w:color w:val="000000" w:themeColor="text1"/>
          <w:sz w:val="24"/>
          <w:szCs w:val="24"/>
        </w:rPr>
        <w:t>Supplementary Fig. 7d</w:t>
      </w:r>
      <w:r>
        <w:rPr>
          <w:rFonts w:ascii="Times New Roman" w:hAnsi="Times New Roman" w:cs="Times New Roman"/>
          <w:color w:val="000000" w:themeColor="text1"/>
          <w:sz w:val="24"/>
          <w:szCs w:val="24"/>
        </w:rPr>
        <w:t>). Collectively, these results indicate that the untargeted metabolomics data generated in this study were of high quality</w:t>
      </w:r>
      <w:r>
        <w:rPr>
          <w:rFonts w:ascii="Times New Roman" w:hAnsi="Times New Roman" w:cs="Times New Roman"/>
          <w:color w:val="000000" w:themeColor="text1"/>
          <w:sz w:val="24"/>
          <w:szCs w:val="24"/>
        </w:rPr>
        <w:t>, with low variability and high stability, and were therefore suitable for subsequent statistical analyses.</w:t>
      </w:r>
    </w:p>
    <w:p w14:paraId="6B067C1A" w14:textId="77777777" w:rsidR="006B71C6" w:rsidRDefault="006B71C6">
      <w:pPr>
        <w:adjustRightInd w:val="0"/>
        <w:snapToGrid w:val="0"/>
        <w:spacing w:line="480" w:lineRule="auto"/>
        <w:jc w:val="center"/>
        <w:rPr>
          <w:rFonts w:ascii="Times New Roman" w:hAnsi="Times New Roman" w:cs="Times New Roman"/>
          <w:color w:val="000000" w:themeColor="text1"/>
          <w:sz w:val="24"/>
          <w:szCs w:val="24"/>
        </w:rPr>
      </w:pPr>
    </w:p>
    <w:p w14:paraId="72D3D2C6" w14:textId="77777777" w:rsidR="006B71C6" w:rsidRDefault="006B71C6">
      <w:pPr>
        <w:adjustRightInd w:val="0"/>
        <w:snapToGrid w:val="0"/>
        <w:spacing w:line="480" w:lineRule="auto"/>
        <w:jc w:val="center"/>
        <w:rPr>
          <w:rFonts w:ascii="Times New Roman" w:hAnsi="Times New Roman" w:cs="Times New Roman"/>
          <w:color w:val="000000" w:themeColor="text1"/>
          <w:sz w:val="24"/>
          <w:szCs w:val="24"/>
        </w:rPr>
        <w:sectPr w:rsidR="006B71C6">
          <w:pgSz w:w="11906" w:h="16838"/>
          <w:pgMar w:top="1440" w:right="1800" w:bottom="1440" w:left="1800" w:header="851" w:footer="992" w:gutter="0"/>
          <w:cols w:space="425"/>
          <w:docGrid w:type="lines" w:linePitch="312"/>
        </w:sectPr>
      </w:pPr>
    </w:p>
    <w:p w14:paraId="4349F455" w14:textId="77777777" w:rsidR="006B71C6" w:rsidRDefault="0057794D">
      <w:pPr>
        <w:adjustRightInd w:val="0"/>
        <w:snapToGrid w:val="0"/>
        <w:spacing w:line="48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inline distT="0" distB="0" distL="0" distR="0" wp14:anchorId="6EDF52CB" wp14:editId="08781B6E">
            <wp:extent cx="5248275" cy="3950970"/>
            <wp:effectExtent l="0" t="0" r="9525" b="0"/>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9"/>
                    <a:stretch>
                      <a:fillRect/>
                    </a:stretch>
                  </pic:blipFill>
                  <pic:spPr>
                    <a:xfrm>
                      <a:off x="0" y="0"/>
                      <a:ext cx="5248881" cy="3951230"/>
                    </a:xfrm>
                    <a:prstGeom prst="rect">
                      <a:avLst/>
                    </a:prstGeom>
                  </pic:spPr>
                </pic:pic>
              </a:graphicData>
            </a:graphic>
          </wp:inline>
        </w:drawing>
      </w:r>
    </w:p>
    <w:p w14:paraId="072F4B35" w14:textId="77777777" w:rsidR="006B71C6" w:rsidRDefault="0057794D">
      <w:pPr>
        <w:adjustRightInd w:val="0"/>
        <w:snapToGrid w:val="0"/>
        <w:spacing w:line="480" w:lineRule="auto"/>
        <w:rPr>
          <w:rFonts w:ascii="Times New Roman" w:hAnsi="Times New Roman" w:cs="Times New Roman"/>
          <w:color w:val="000000" w:themeColor="text1"/>
          <w:sz w:val="24"/>
          <w:szCs w:val="24"/>
        </w:rPr>
        <w:sectPr w:rsidR="006B71C6">
          <w:pgSz w:w="11906" w:h="16838"/>
          <w:pgMar w:top="1440" w:right="1800" w:bottom="1440" w:left="1800" w:header="851" w:footer="992" w:gutter="0"/>
          <w:cols w:space="425"/>
          <w:docGrid w:type="lines" w:linePitch="312"/>
        </w:sectPr>
      </w:pPr>
      <w:r>
        <w:rPr>
          <w:rFonts w:ascii="Times New Roman" w:hAnsi="Times New Roman" w:cs="Times New Roman"/>
          <w:b/>
          <w:bCs/>
          <w:color w:val="000000" w:themeColor="text1"/>
          <w:sz w:val="24"/>
          <w:szCs w:val="28"/>
        </w:rPr>
        <w:t xml:space="preserve">Supplementary </w:t>
      </w:r>
      <w:r>
        <w:rPr>
          <w:rFonts w:ascii="Times New Roman" w:hAnsi="Times New Roman" w:cs="Times New Roman"/>
          <w:b/>
          <w:bCs/>
          <w:color w:val="000000" w:themeColor="text1"/>
          <w:sz w:val="24"/>
          <w:szCs w:val="24"/>
        </w:rPr>
        <w:t xml:space="preserve">Fig. </w:t>
      </w:r>
      <w:r>
        <w:rPr>
          <w:rFonts w:ascii="Times New Roman" w:hAnsi="Times New Roman" w:cs="Times New Roman" w:hint="eastAsia"/>
          <w:b/>
          <w:bCs/>
          <w:color w:val="000000" w:themeColor="text1"/>
          <w:sz w:val="24"/>
          <w:szCs w:val="24"/>
        </w:rPr>
        <w:t>1</w:t>
      </w:r>
      <w:r>
        <w:rPr>
          <w:rFonts w:ascii="Times New Roman" w:hAnsi="Times New Roman" w:cs="Times New Roman"/>
          <w:b/>
          <w:bCs/>
          <w:color w:val="000000" w:themeColor="text1"/>
          <w:sz w:val="24"/>
          <w:szCs w:val="24"/>
        </w:rPr>
        <w:t xml:space="preserve"> OPLS-DA model performance for IGR subjects and matched healthy controls</w:t>
      </w:r>
      <w:r>
        <w:rPr>
          <w:rFonts w:ascii="Times New Roman" w:hAnsi="Times New Roman" w:cs="Times New Roman"/>
          <w:color w:val="000000" w:themeColor="text1"/>
          <w:sz w:val="24"/>
          <w:szCs w:val="24"/>
        </w:rPr>
        <w:t xml:space="preserve">. </w:t>
      </w:r>
      <w:r>
        <w:rPr>
          <w:rFonts w:ascii="Times New Roman" w:hAnsi="Times New Roman" w:cs="Times New Roman" w:hint="eastAsia"/>
          <w:b/>
          <w:bCs/>
          <w:color w:val="000000" w:themeColor="text1"/>
          <w:sz w:val="24"/>
          <w:szCs w:val="24"/>
        </w:rPr>
        <w:t>a-b</w:t>
      </w:r>
      <w:r>
        <w:rPr>
          <w:rFonts w:ascii="Times New Roman" w:hAnsi="Times New Roman" w:cs="Times New Roman"/>
          <w:color w:val="000000" w:themeColor="text1"/>
          <w:sz w:val="24"/>
          <w:szCs w:val="24"/>
        </w:rPr>
        <w:t>, OPLS-DA score plot and 200-time permutation test based on UV scaling comparing IGR subjects and matched healthy controls in the discovery set. The model showed R²Y = 0.284 and Q</w:t>
      </w:r>
      <w:r>
        <w:rPr>
          <w:rFonts w:ascii="Times New Roman" w:hAnsi="Times New Roman" w:cs="Times New Roman"/>
          <w:color w:val="000000" w:themeColor="text1"/>
          <w:sz w:val="24"/>
          <w:szCs w:val="24"/>
        </w:rPr>
        <w:t xml:space="preserve">² = 0.128, with permutation validation results of R² = 0.160 and Q² = −0.159; </w:t>
      </w:r>
      <w:r>
        <w:rPr>
          <w:rFonts w:ascii="Times New Roman" w:hAnsi="Times New Roman" w:cs="Times New Roman" w:hint="eastAsia"/>
          <w:b/>
          <w:bCs/>
          <w:color w:val="000000" w:themeColor="text1"/>
          <w:sz w:val="24"/>
          <w:szCs w:val="24"/>
        </w:rPr>
        <w:t>c-d</w:t>
      </w:r>
      <w:r>
        <w:rPr>
          <w:rFonts w:ascii="Times New Roman" w:hAnsi="Times New Roman" w:cs="Times New Roman"/>
          <w:color w:val="000000" w:themeColor="text1"/>
          <w:sz w:val="24"/>
          <w:szCs w:val="24"/>
        </w:rPr>
        <w:t>, OPLS-DA score plot and permutation test based on UV scaling for IGR subjects and matched healthy controls in the validation set. The model yielded R²Y = 0.241 and Q² = 0.051</w:t>
      </w:r>
      <w:r>
        <w:rPr>
          <w:rFonts w:ascii="Times New Roman" w:hAnsi="Times New Roman" w:cs="Times New Roman"/>
          <w:color w:val="000000" w:themeColor="text1"/>
          <w:sz w:val="24"/>
          <w:szCs w:val="24"/>
        </w:rPr>
        <w:t>, with permutation validation results of R² = 0.166 and Q² = −0.164. Cohort information: Healthy controls enrolled in 2013 (HC-2013, n = 121) and individuals with IGR at baseline in 2013 who remained IGR at follow-up (IGR-2013, n = 554) constituted the dis</w:t>
      </w:r>
      <w:r>
        <w:rPr>
          <w:rFonts w:ascii="Times New Roman" w:hAnsi="Times New Roman" w:cs="Times New Roman"/>
          <w:color w:val="000000" w:themeColor="text1"/>
          <w:sz w:val="24"/>
          <w:szCs w:val="24"/>
        </w:rPr>
        <w:t>covery set. Healthy controls enrolled in 2016 (HC-2016, n = 121) and individuals with IGR in 2016 (IGR-2016, n = 554) constituted the validation set.</w:t>
      </w:r>
    </w:p>
    <w:p w14:paraId="3C64DA10" w14:textId="77777777" w:rsidR="006B71C6" w:rsidRDefault="0057794D">
      <w:pPr>
        <w:adjustRightInd w:val="0"/>
        <w:snapToGrid w:val="0"/>
        <w:spacing w:line="480" w:lineRule="auto"/>
        <w:jc w:val="center"/>
        <w:rPr>
          <w:rFonts w:ascii="Times New Roman" w:hAnsi="Times New Roman" w:cs="Times New Roman"/>
          <w:color w:val="000000" w:themeColor="text1"/>
          <w:sz w:val="24"/>
          <w:szCs w:val="24"/>
        </w:rPr>
      </w:pPr>
      <w:r>
        <w:rPr>
          <w:noProof/>
          <w:color w:val="000000" w:themeColor="text1"/>
        </w:rPr>
        <w:lastRenderedPageBreak/>
        <w:drawing>
          <wp:inline distT="0" distB="0" distL="0" distR="0" wp14:anchorId="02C101BD" wp14:editId="416C5AAB">
            <wp:extent cx="5139690" cy="5933440"/>
            <wp:effectExtent l="0" t="0" r="3810" b="0"/>
            <wp:docPr id="5849582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958216" name="图片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141982" cy="5936247"/>
                    </a:xfrm>
                    <a:prstGeom prst="rect">
                      <a:avLst/>
                    </a:prstGeom>
                    <a:noFill/>
                    <a:ln>
                      <a:noFill/>
                    </a:ln>
                  </pic:spPr>
                </pic:pic>
              </a:graphicData>
            </a:graphic>
          </wp:inline>
        </w:drawing>
      </w:r>
    </w:p>
    <w:p w14:paraId="040E7F4B" w14:textId="77777777" w:rsidR="006B71C6" w:rsidRDefault="0057794D">
      <w:pPr>
        <w:adjustRightInd w:val="0"/>
        <w:snapToGrid w:val="0"/>
        <w:rPr>
          <w:rFonts w:ascii="Times New Roman" w:hAnsi="Times New Roman" w:cs="Times New Roman"/>
          <w:color w:val="000000" w:themeColor="text1"/>
          <w:sz w:val="24"/>
          <w:szCs w:val="24"/>
        </w:rPr>
        <w:sectPr w:rsidR="006B71C6">
          <w:pgSz w:w="11906" w:h="16838"/>
          <w:pgMar w:top="1440" w:right="1800" w:bottom="1440" w:left="1800" w:header="851" w:footer="992" w:gutter="0"/>
          <w:cols w:space="425"/>
          <w:docGrid w:type="lines" w:linePitch="312"/>
        </w:sectPr>
      </w:pPr>
      <w:r>
        <w:rPr>
          <w:rFonts w:ascii="Times New Roman" w:hAnsi="Times New Roman" w:cs="Times New Roman"/>
          <w:b/>
          <w:bCs/>
          <w:color w:val="000000" w:themeColor="text1"/>
          <w:sz w:val="24"/>
          <w:szCs w:val="28"/>
        </w:rPr>
        <w:t xml:space="preserve">Supplementary </w:t>
      </w:r>
      <w:r>
        <w:rPr>
          <w:rFonts w:ascii="Times New Roman" w:hAnsi="Times New Roman" w:cs="Times New Roman"/>
          <w:b/>
          <w:bCs/>
          <w:color w:val="000000" w:themeColor="text1"/>
          <w:sz w:val="24"/>
          <w:szCs w:val="24"/>
        </w:rPr>
        <w:t xml:space="preserve">Fig. </w:t>
      </w:r>
      <w:r>
        <w:rPr>
          <w:rFonts w:ascii="Times New Roman" w:hAnsi="Times New Roman" w:cs="Times New Roman" w:hint="eastAsia"/>
          <w:b/>
          <w:bCs/>
          <w:color w:val="000000" w:themeColor="text1"/>
          <w:sz w:val="24"/>
          <w:szCs w:val="24"/>
        </w:rPr>
        <w:t>2</w:t>
      </w:r>
      <w:r>
        <w:rPr>
          <w:rFonts w:ascii="Times New Roman" w:hAnsi="Times New Roman" w:cs="Times New Roman"/>
          <w:b/>
          <w:bCs/>
          <w:color w:val="000000" w:themeColor="text1"/>
          <w:sz w:val="24"/>
          <w:szCs w:val="24"/>
        </w:rPr>
        <w:t xml:space="preserve"> OPLS-DA model performance for IGR subgroups and matched healthy controls. a</w:t>
      </w:r>
      <w:r>
        <w:rPr>
          <w:rFonts w:ascii="Times New Roman" w:hAnsi="Times New Roman" w:cs="Times New Roman" w:hint="eastAsia"/>
          <w:b/>
          <w:bCs/>
          <w:color w:val="000000" w:themeColor="text1"/>
          <w:sz w:val="24"/>
          <w:szCs w:val="24"/>
        </w:rPr>
        <w:t>-</w:t>
      </w:r>
      <w:r>
        <w:rPr>
          <w:rFonts w:ascii="Times New Roman" w:hAnsi="Times New Roman" w:cs="Times New Roman"/>
          <w:b/>
          <w:bCs/>
          <w:color w:val="000000" w:themeColor="text1"/>
          <w:sz w:val="24"/>
          <w:szCs w:val="24"/>
        </w:rPr>
        <w:t>c</w:t>
      </w:r>
      <w:r>
        <w:rPr>
          <w:rFonts w:ascii="Times New Roman" w:hAnsi="Times New Roman" w:cs="Times New Roman"/>
          <w:color w:val="000000" w:themeColor="text1"/>
          <w:sz w:val="24"/>
          <w:szCs w:val="24"/>
        </w:rPr>
        <w:t>, OPLS-DA score plots and 200-time permutation tests based on UV scaling comparing IGR subgroups with matched healthy controls. The models yielded R²Y values of 0.369, 0.284, and</w:t>
      </w:r>
      <w:r>
        <w:rPr>
          <w:rFonts w:ascii="Times New Roman" w:hAnsi="Times New Roman" w:cs="Times New Roman"/>
          <w:color w:val="000000" w:themeColor="text1"/>
          <w:sz w:val="24"/>
          <w:szCs w:val="24"/>
        </w:rPr>
        <w:t xml:space="preserve"> 0.437, and Q² values of 0.126, 0.125, and 0.236, respectively. </w:t>
      </w:r>
      <w:r>
        <w:rPr>
          <w:rFonts w:ascii="Times New Roman" w:hAnsi="Times New Roman" w:cs="Times New Roman"/>
          <w:b/>
          <w:bCs/>
          <w:color w:val="000000" w:themeColor="text1"/>
          <w:sz w:val="24"/>
          <w:szCs w:val="24"/>
        </w:rPr>
        <w:t>D</w:t>
      </w:r>
      <w:r>
        <w:rPr>
          <w:rFonts w:ascii="Times New Roman" w:hAnsi="Times New Roman" w:cs="Times New Roman" w:hint="eastAsia"/>
          <w:b/>
          <w:bCs/>
          <w:color w:val="000000" w:themeColor="text1"/>
          <w:sz w:val="24"/>
          <w:szCs w:val="24"/>
        </w:rPr>
        <w:t>-</w:t>
      </w:r>
      <w:r>
        <w:rPr>
          <w:rFonts w:ascii="Times New Roman" w:hAnsi="Times New Roman" w:cs="Times New Roman"/>
          <w:b/>
          <w:bCs/>
          <w:color w:val="000000" w:themeColor="text1"/>
          <w:sz w:val="24"/>
          <w:szCs w:val="24"/>
        </w:rPr>
        <w:t>f</w:t>
      </w:r>
      <w:r>
        <w:rPr>
          <w:rFonts w:ascii="Times New Roman" w:hAnsi="Times New Roman" w:cs="Times New Roman"/>
          <w:color w:val="000000" w:themeColor="text1"/>
          <w:sz w:val="24"/>
          <w:szCs w:val="24"/>
        </w:rPr>
        <w:t>, Corresponding 200-time permutation test results, demonstrating model reliability and the absence of overfitting, with validation R² values of 0.278, 0.160, and 0.254 and validation Q² val</w:t>
      </w:r>
      <w:r>
        <w:rPr>
          <w:rFonts w:ascii="Times New Roman" w:hAnsi="Times New Roman" w:cs="Times New Roman"/>
          <w:color w:val="000000" w:themeColor="text1"/>
          <w:sz w:val="24"/>
          <w:szCs w:val="24"/>
        </w:rPr>
        <w:t xml:space="preserve">ues of </w:t>
      </w:r>
      <w:r>
        <w:rPr>
          <w:rFonts w:ascii="Times New Roman" w:hAnsi="Times New Roman" w:cs="Times New Roman" w:hint="eastAsia"/>
          <w:color w:val="000000" w:themeColor="text1"/>
          <w:sz w:val="24"/>
          <w:szCs w:val="24"/>
        </w:rPr>
        <w:t>-</w:t>
      </w:r>
      <w:r>
        <w:rPr>
          <w:rFonts w:ascii="Times New Roman" w:hAnsi="Times New Roman" w:cs="Times New Roman"/>
          <w:color w:val="000000" w:themeColor="text1"/>
          <w:sz w:val="24"/>
          <w:szCs w:val="24"/>
        </w:rPr>
        <w:t xml:space="preserve">0.249, </w:t>
      </w:r>
      <w:r>
        <w:rPr>
          <w:rFonts w:ascii="Times New Roman" w:hAnsi="Times New Roman" w:cs="Times New Roman" w:hint="eastAsia"/>
          <w:color w:val="000000" w:themeColor="text1"/>
          <w:sz w:val="24"/>
          <w:szCs w:val="24"/>
        </w:rPr>
        <w:t>-</w:t>
      </w:r>
      <w:r>
        <w:rPr>
          <w:rFonts w:ascii="Times New Roman" w:hAnsi="Times New Roman" w:cs="Times New Roman"/>
          <w:color w:val="000000" w:themeColor="text1"/>
          <w:sz w:val="24"/>
          <w:szCs w:val="24"/>
        </w:rPr>
        <w:t xml:space="preserve">0.158, and </w:t>
      </w:r>
      <w:r>
        <w:rPr>
          <w:rFonts w:ascii="Times New Roman" w:hAnsi="Times New Roman" w:cs="Times New Roman" w:hint="eastAsia"/>
          <w:color w:val="000000" w:themeColor="text1"/>
          <w:sz w:val="24"/>
          <w:szCs w:val="24"/>
        </w:rPr>
        <w:t>-</w:t>
      </w:r>
      <w:r>
        <w:rPr>
          <w:rFonts w:ascii="Times New Roman" w:hAnsi="Times New Roman" w:cs="Times New Roman"/>
          <w:color w:val="000000" w:themeColor="text1"/>
          <w:sz w:val="24"/>
          <w:szCs w:val="24"/>
        </w:rPr>
        <w:t>0.238, respectively. Based on follow-up outcomes, blood samples collected at baseline in 2013 were classified into three groups: individuals who progressed to normal glucose regulation (IGR-2013</w:t>
      </w:r>
      <w:r>
        <w:rPr>
          <w:rFonts w:ascii="Times New Roman" w:hAnsi="Times New Roman" w:cs="Times New Roman"/>
          <w:color w:val="000000" w:themeColor="text1"/>
          <w:sz w:val="24"/>
          <w:szCs w:val="24"/>
          <w:vertAlign w:val="subscript"/>
        </w:rPr>
        <w:t>(NGR)</w:t>
      </w:r>
      <w:r>
        <w:rPr>
          <w:rFonts w:ascii="Times New Roman" w:hAnsi="Times New Roman" w:cs="Times New Roman"/>
          <w:color w:val="000000" w:themeColor="text1"/>
          <w:sz w:val="24"/>
          <w:szCs w:val="24"/>
        </w:rPr>
        <w:t xml:space="preserve">, n = 202), those who </w:t>
      </w:r>
      <w:r>
        <w:rPr>
          <w:rFonts w:ascii="Times New Roman" w:hAnsi="Times New Roman" w:cs="Times New Roman"/>
          <w:color w:val="000000" w:themeColor="text1"/>
          <w:sz w:val="24"/>
          <w:szCs w:val="24"/>
        </w:rPr>
        <w:t>remained IGR at follow-up (IGR-2013</w:t>
      </w:r>
      <w:r>
        <w:rPr>
          <w:rFonts w:ascii="Times New Roman" w:hAnsi="Times New Roman" w:cs="Times New Roman"/>
          <w:color w:val="000000" w:themeColor="text1"/>
          <w:sz w:val="24"/>
          <w:szCs w:val="24"/>
          <w:vertAlign w:val="subscript"/>
        </w:rPr>
        <w:t>(IGR)</w:t>
      </w:r>
      <w:r>
        <w:rPr>
          <w:rFonts w:ascii="Times New Roman" w:hAnsi="Times New Roman" w:cs="Times New Roman"/>
          <w:color w:val="000000" w:themeColor="text1"/>
          <w:sz w:val="24"/>
          <w:szCs w:val="24"/>
        </w:rPr>
        <w:t>, n = 554), and those who progressed to diabetes mellitus (IGR-2013</w:t>
      </w:r>
      <w:r>
        <w:rPr>
          <w:rFonts w:ascii="Times New Roman" w:hAnsi="Times New Roman" w:cs="Times New Roman"/>
          <w:color w:val="000000" w:themeColor="text1"/>
          <w:sz w:val="24"/>
          <w:szCs w:val="24"/>
          <w:vertAlign w:val="subscript"/>
        </w:rPr>
        <w:t>(DM)</w:t>
      </w:r>
      <w:r>
        <w:rPr>
          <w:rFonts w:ascii="Times New Roman" w:hAnsi="Times New Roman" w:cs="Times New Roman"/>
          <w:color w:val="000000" w:themeColor="text1"/>
          <w:sz w:val="24"/>
          <w:szCs w:val="24"/>
        </w:rPr>
        <w:t xml:space="preserve">, n = 219). Metabolic differences between each IGR subgroup and healthy controls were assessed. </w:t>
      </w:r>
    </w:p>
    <w:p w14:paraId="3B360DCE" w14:textId="77777777" w:rsidR="006B71C6" w:rsidRDefault="0057794D">
      <w:pPr>
        <w:adjustRightInd w:val="0"/>
        <w:snapToGrid w:val="0"/>
        <w:spacing w:line="480" w:lineRule="auto"/>
        <w:rPr>
          <w:rFonts w:ascii="Times New Roman" w:hAnsi="Times New Roman" w:cs="Times New Roman"/>
          <w:b/>
          <w:bCs/>
          <w:color w:val="000000" w:themeColor="text1"/>
          <w:sz w:val="24"/>
          <w:szCs w:val="24"/>
        </w:rPr>
      </w:pPr>
      <w:r>
        <w:rPr>
          <w:rFonts w:ascii="Times New Roman" w:hAnsi="Times New Roman" w:cs="Times New Roman"/>
          <w:noProof/>
          <w:color w:val="000000" w:themeColor="text1"/>
          <w:sz w:val="24"/>
          <w:szCs w:val="24"/>
        </w:rPr>
        <w:lastRenderedPageBreak/>
        <w:drawing>
          <wp:inline distT="0" distB="0" distL="0" distR="0" wp14:anchorId="74DF3600" wp14:editId="322793B7">
            <wp:extent cx="5274310" cy="5939155"/>
            <wp:effectExtent l="0" t="0" r="2540" b="444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5939155"/>
                    </a:xfrm>
                    <a:prstGeom prst="rect">
                      <a:avLst/>
                    </a:prstGeom>
                  </pic:spPr>
                </pic:pic>
              </a:graphicData>
            </a:graphic>
          </wp:inline>
        </w:drawing>
      </w:r>
    </w:p>
    <w:p w14:paraId="23BC5C19" w14:textId="77777777" w:rsidR="006B71C6" w:rsidRDefault="0057794D">
      <w:pPr>
        <w:adjustRightInd w:val="0"/>
        <w:snapToGrid w:val="0"/>
        <w:spacing w:line="360" w:lineRule="auto"/>
        <w:rPr>
          <w:rFonts w:ascii="Times New Roman" w:hAnsi="Times New Roman" w:cs="Times New Roman"/>
          <w:color w:val="000000" w:themeColor="text1"/>
          <w:sz w:val="24"/>
          <w:szCs w:val="24"/>
        </w:rPr>
        <w:sectPr w:rsidR="006B71C6">
          <w:pgSz w:w="11906" w:h="16838"/>
          <w:pgMar w:top="1440" w:right="1800" w:bottom="1440" w:left="1800" w:header="851" w:footer="992" w:gutter="0"/>
          <w:cols w:space="425"/>
          <w:docGrid w:type="lines" w:linePitch="312"/>
        </w:sectPr>
      </w:pPr>
      <w:r>
        <w:rPr>
          <w:rFonts w:ascii="Times New Roman" w:hAnsi="Times New Roman" w:cs="Times New Roman"/>
          <w:b/>
          <w:bCs/>
          <w:color w:val="000000" w:themeColor="text1"/>
          <w:sz w:val="24"/>
          <w:szCs w:val="28"/>
        </w:rPr>
        <w:t xml:space="preserve">Supplementary </w:t>
      </w:r>
      <w:r>
        <w:rPr>
          <w:rFonts w:ascii="Times New Roman" w:hAnsi="Times New Roman" w:cs="Times New Roman"/>
          <w:b/>
          <w:bCs/>
          <w:color w:val="000000" w:themeColor="text1"/>
          <w:sz w:val="24"/>
          <w:szCs w:val="24"/>
        </w:rPr>
        <w:t xml:space="preserve">Fig. </w:t>
      </w:r>
      <w:r>
        <w:rPr>
          <w:rFonts w:ascii="Times New Roman" w:hAnsi="Times New Roman" w:cs="Times New Roman" w:hint="eastAsia"/>
          <w:b/>
          <w:bCs/>
          <w:color w:val="000000" w:themeColor="text1"/>
          <w:sz w:val="24"/>
          <w:szCs w:val="24"/>
        </w:rPr>
        <w:t>3</w:t>
      </w:r>
      <w:r>
        <w:rPr>
          <w:rFonts w:ascii="Times New Roman" w:hAnsi="Times New Roman" w:cs="Times New Roman"/>
          <w:b/>
          <w:bCs/>
          <w:color w:val="000000" w:themeColor="text1"/>
          <w:sz w:val="24"/>
          <w:szCs w:val="24"/>
        </w:rPr>
        <w:t xml:space="preserve"> OPLS-DA model performance for IGR remission, IGR progression, and healthy controls at baseline and follow-up. a–c, </w:t>
      </w:r>
      <w:r>
        <w:rPr>
          <w:rFonts w:ascii="Times New Roman" w:hAnsi="Times New Roman" w:cs="Times New Roman"/>
          <w:color w:val="000000" w:themeColor="text1"/>
          <w:sz w:val="24"/>
          <w:szCs w:val="24"/>
        </w:rPr>
        <w:t>OPLS-DA score plot and 200-permutation validation based on UV scaling for the comparison between IGR-2013(DM) and DM-2016, IGR-2013(NGR) and</w:t>
      </w:r>
      <w:r>
        <w:rPr>
          <w:rFonts w:ascii="Times New Roman" w:hAnsi="Times New Roman" w:cs="Times New Roman"/>
          <w:color w:val="000000" w:themeColor="text1"/>
          <w:sz w:val="24"/>
          <w:szCs w:val="24"/>
        </w:rPr>
        <w:t xml:space="preserve"> NGR-2016, HC-2013 and HC-2016, respectively. The models yielded R²Y values of 0.707, 0.729, and 0.498, and Q² values of 0.560, 0.568, and 0.321, respectively.</w:t>
      </w:r>
      <w:r>
        <w:rPr>
          <w:rFonts w:ascii="Times New Roman" w:hAnsi="Times New Roman" w:cs="Times New Roman"/>
          <w:b/>
          <w:bCs/>
          <w:color w:val="000000" w:themeColor="text1"/>
          <w:sz w:val="24"/>
          <w:szCs w:val="24"/>
        </w:rPr>
        <w:t xml:space="preserve"> d–f, </w:t>
      </w:r>
      <w:r>
        <w:rPr>
          <w:rFonts w:ascii="Times New Roman" w:hAnsi="Times New Roman" w:cs="Times New Roman"/>
          <w:color w:val="000000" w:themeColor="text1"/>
          <w:sz w:val="24"/>
          <w:szCs w:val="24"/>
        </w:rPr>
        <w:t>Corresponding 200-time permutation test results, demonstrating model reliability and the ab</w:t>
      </w:r>
      <w:r>
        <w:rPr>
          <w:rFonts w:ascii="Times New Roman" w:hAnsi="Times New Roman" w:cs="Times New Roman"/>
          <w:color w:val="000000" w:themeColor="text1"/>
          <w:sz w:val="24"/>
          <w:szCs w:val="24"/>
        </w:rPr>
        <w:t>sence of overfitting, with validation R² intercepts of 0.285, 0.319, and 0.312, and the Q² intercepts of −0.343, −0.368, and −0.261, respectively.</w:t>
      </w:r>
    </w:p>
    <w:p w14:paraId="0C25F0C5" w14:textId="77777777" w:rsidR="006B71C6" w:rsidRDefault="0057794D">
      <w:pPr>
        <w:adjustRightInd w:val="0"/>
        <w:snapToGrid w:val="0"/>
        <w:spacing w:line="480" w:lineRule="auto"/>
        <w:rPr>
          <w:rFonts w:ascii="Times New Roman" w:hAnsi="Times New Roman" w:cs="Times New Roman"/>
          <w:color w:val="000000" w:themeColor="text1"/>
          <w:sz w:val="24"/>
          <w:szCs w:val="24"/>
        </w:rPr>
      </w:pPr>
      <w:r>
        <w:rPr>
          <w:noProof/>
          <w:color w:val="000000" w:themeColor="text1"/>
        </w:rPr>
        <w:lastRenderedPageBreak/>
        <w:drawing>
          <wp:inline distT="0" distB="0" distL="0" distR="0" wp14:anchorId="335A94BE" wp14:editId="35091EE1">
            <wp:extent cx="5274310" cy="2986405"/>
            <wp:effectExtent l="0" t="0" r="2540" b="4445"/>
            <wp:docPr id="16045869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586910" name="图片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274310" cy="2986405"/>
                    </a:xfrm>
                    <a:prstGeom prst="rect">
                      <a:avLst/>
                    </a:prstGeom>
                    <a:noFill/>
                    <a:ln>
                      <a:noFill/>
                    </a:ln>
                  </pic:spPr>
                </pic:pic>
              </a:graphicData>
            </a:graphic>
          </wp:inline>
        </w:drawing>
      </w:r>
    </w:p>
    <w:p w14:paraId="26926632" w14:textId="77777777" w:rsidR="006B71C6" w:rsidRDefault="0057794D">
      <w:pPr>
        <w:adjustRightInd w:val="0"/>
        <w:snapToGrid w:val="0"/>
        <w:spacing w:line="480" w:lineRule="auto"/>
        <w:rPr>
          <w:rFonts w:ascii="Times New Roman" w:hAnsi="Times New Roman" w:cs="Times New Roman"/>
          <w:b/>
          <w:bCs/>
          <w:color w:val="000000" w:themeColor="text1"/>
          <w:sz w:val="24"/>
          <w:szCs w:val="24"/>
        </w:rPr>
        <w:sectPr w:rsidR="006B71C6">
          <w:pgSz w:w="11906" w:h="16838"/>
          <w:pgMar w:top="1440" w:right="1800" w:bottom="1440" w:left="1800" w:header="851" w:footer="992" w:gutter="0"/>
          <w:cols w:space="425"/>
          <w:docGrid w:type="lines" w:linePitch="312"/>
        </w:sectPr>
      </w:pPr>
      <w:r>
        <w:rPr>
          <w:rFonts w:ascii="Times New Roman" w:hAnsi="Times New Roman" w:cs="Times New Roman"/>
          <w:b/>
          <w:bCs/>
          <w:color w:val="000000" w:themeColor="text1"/>
          <w:sz w:val="24"/>
          <w:szCs w:val="28"/>
        </w:rPr>
        <w:t xml:space="preserve">Supplementary </w:t>
      </w:r>
      <w:r>
        <w:rPr>
          <w:rFonts w:ascii="Times New Roman" w:hAnsi="Times New Roman" w:cs="Times New Roman"/>
          <w:b/>
          <w:bCs/>
          <w:color w:val="000000" w:themeColor="text1"/>
          <w:sz w:val="24"/>
          <w:szCs w:val="24"/>
        </w:rPr>
        <w:t xml:space="preserve">Fig. </w:t>
      </w:r>
      <w:r>
        <w:rPr>
          <w:rFonts w:ascii="Times New Roman" w:hAnsi="Times New Roman" w:cs="Times New Roman" w:hint="eastAsia"/>
          <w:b/>
          <w:bCs/>
          <w:color w:val="000000" w:themeColor="text1"/>
          <w:sz w:val="24"/>
          <w:szCs w:val="24"/>
        </w:rPr>
        <w:t>4</w:t>
      </w:r>
      <w:r>
        <w:rPr>
          <w:rFonts w:ascii="Times New Roman" w:hAnsi="Times New Roman" w:cs="Times New Roman"/>
          <w:b/>
          <w:bCs/>
          <w:color w:val="000000" w:themeColor="text1"/>
          <w:sz w:val="24"/>
          <w:szCs w:val="24"/>
        </w:rPr>
        <w:t xml:space="preserve"> Trends of key biomarkers across different disease stages.</w:t>
      </w:r>
      <w:r>
        <w:rPr>
          <w:rFonts w:ascii="Times New Roman" w:hAnsi="Times New Roman" w:cs="Times New Roman"/>
          <w:color w:val="000000" w:themeColor="text1"/>
          <w:sz w:val="24"/>
          <w:szCs w:val="24"/>
        </w:rPr>
        <w:t xml:space="preserve"> Statistical significance was assessed using nonparametric tests: * indicates </w:t>
      </w:r>
      <w:r>
        <w:rPr>
          <w:rFonts w:ascii="Times New Roman" w:hAnsi="Times New Roman" w:cs="Times New Roman"/>
          <w:i/>
          <w:iCs/>
          <w:color w:val="000000" w:themeColor="text1"/>
          <w:sz w:val="24"/>
          <w:szCs w:val="24"/>
        </w:rPr>
        <w:t>p</w:t>
      </w:r>
      <w:r>
        <w:rPr>
          <w:rFonts w:ascii="Times New Roman" w:hAnsi="Times New Roman" w:cs="Times New Roman"/>
          <w:color w:val="000000" w:themeColor="text1"/>
          <w:sz w:val="24"/>
          <w:szCs w:val="24"/>
        </w:rPr>
        <w:t xml:space="preserve"> &lt; 0.05, ** indicates </w:t>
      </w:r>
      <w:r>
        <w:rPr>
          <w:rFonts w:ascii="Times New Roman" w:hAnsi="Times New Roman" w:cs="Times New Roman"/>
          <w:i/>
          <w:iCs/>
          <w:color w:val="000000" w:themeColor="text1"/>
          <w:sz w:val="24"/>
          <w:szCs w:val="24"/>
        </w:rPr>
        <w:t>p</w:t>
      </w:r>
      <w:r>
        <w:rPr>
          <w:rFonts w:ascii="Times New Roman" w:hAnsi="Times New Roman" w:cs="Times New Roman"/>
          <w:color w:val="000000" w:themeColor="text1"/>
          <w:sz w:val="24"/>
          <w:szCs w:val="24"/>
        </w:rPr>
        <w:t xml:space="preserve"> &lt; 0.01, *** indicates </w:t>
      </w:r>
      <w:r>
        <w:rPr>
          <w:rFonts w:ascii="Times New Roman" w:hAnsi="Times New Roman" w:cs="Times New Roman"/>
          <w:i/>
          <w:iCs/>
          <w:color w:val="000000" w:themeColor="text1"/>
          <w:sz w:val="24"/>
          <w:szCs w:val="24"/>
        </w:rPr>
        <w:t>p</w:t>
      </w:r>
      <w:r>
        <w:rPr>
          <w:rFonts w:ascii="Times New Roman" w:hAnsi="Times New Roman" w:cs="Times New Roman"/>
          <w:color w:val="000000" w:themeColor="text1"/>
          <w:sz w:val="24"/>
          <w:szCs w:val="24"/>
        </w:rPr>
        <w:t xml:space="preserve"> &lt; 0.001, and ns denotes no statistical significance</w:t>
      </w:r>
    </w:p>
    <w:p w14:paraId="59676195" w14:textId="77777777" w:rsidR="006B71C6" w:rsidRDefault="0057794D">
      <w:pPr>
        <w:adjustRightInd w:val="0"/>
        <w:snapToGrid w:val="0"/>
        <w:spacing w:line="48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inline distT="0" distB="0" distL="0" distR="0" wp14:anchorId="39F2801F" wp14:editId="2729EBB2">
            <wp:extent cx="4966970" cy="2264410"/>
            <wp:effectExtent l="0" t="0" r="5080" b="2540"/>
            <wp:docPr id="683700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70026" name="图片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986006" cy="2273587"/>
                    </a:xfrm>
                    <a:prstGeom prst="rect">
                      <a:avLst/>
                    </a:prstGeom>
                    <a:noFill/>
                    <a:ln>
                      <a:noFill/>
                    </a:ln>
                  </pic:spPr>
                </pic:pic>
              </a:graphicData>
            </a:graphic>
          </wp:inline>
        </w:drawing>
      </w:r>
    </w:p>
    <w:p w14:paraId="6E176DAA" w14:textId="77777777" w:rsidR="006B71C6" w:rsidRDefault="0057794D">
      <w:pPr>
        <w:adjustRightInd w:val="0"/>
        <w:snapToGrid w:val="0"/>
        <w:spacing w:line="48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8"/>
        </w:rPr>
        <w:t xml:space="preserve">Supplementary </w:t>
      </w:r>
      <w:r>
        <w:rPr>
          <w:rFonts w:ascii="Times New Roman" w:hAnsi="Times New Roman" w:cs="Times New Roman"/>
          <w:b/>
          <w:bCs/>
          <w:color w:val="000000" w:themeColor="text1"/>
          <w:sz w:val="24"/>
          <w:szCs w:val="24"/>
        </w:rPr>
        <w:t xml:space="preserve">Fig. </w:t>
      </w:r>
      <w:r>
        <w:rPr>
          <w:rFonts w:ascii="Times New Roman" w:hAnsi="Times New Roman" w:cs="Times New Roman" w:hint="eastAsia"/>
          <w:b/>
          <w:bCs/>
          <w:color w:val="000000" w:themeColor="text1"/>
          <w:sz w:val="24"/>
          <w:szCs w:val="24"/>
        </w:rPr>
        <w:t>5</w:t>
      </w:r>
      <w:r>
        <w:rPr>
          <w:rFonts w:ascii="Times New Roman" w:hAnsi="Times New Roman" w:cs="Times New Roman"/>
          <w:b/>
          <w:bCs/>
          <w:color w:val="000000" w:themeColor="text1"/>
          <w:sz w:val="24"/>
          <w:szCs w:val="24"/>
        </w:rPr>
        <w:t xml:space="preserve"> RSD distribution of targeted biomarkers in MRM method</w:t>
      </w:r>
      <w:r>
        <w:rPr>
          <w:rFonts w:ascii="Times New Roman" w:hAnsi="Times New Roman" w:cs="Times New Roman" w:hint="eastAsia"/>
          <w:b/>
          <w:bCs/>
          <w:color w:val="000000" w:themeColor="text1"/>
          <w:sz w:val="24"/>
          <w:szCs w:val="24"/>
        </w:rPr>
        <w:t xml:space="preserve"> in IGR progression (a) and remission (b) models</w:t>
      </w:r>
    </w:p>
    <w:p w14:paraId="13D6F91D" w14:textId="77777777" w:rsidR="006B71C6" w:rsidRDefault="0057794D">
      <w:pPr>
        <w:widowControl/>
        <w:adjustRightInd w:val="0"/>
        <w:snapToGrid w:val="0"/>
        <w:spacing w:line="480" w:lineRule="auto"/>
        <w:jc w:val="left"/>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391F85CF" w14:textId="77777777" w:rsidR="006B71C6" w:rsidRDefault="0057794D">
      <w:pPr>
        <w:adjustRightInd w:val="0"/>
        <w:snapToGrid w:val="0"/>
        <w:spacing w:line="480" w:lineRule="auto"/>
        <w:jc w:val="center"/>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14:anchorId="0E43DB9E" wp14:editId="5C4CE89B">
            <wp:extent cx="3978910" cy="2338070"/>
            <wp:effectExtent l="0" t="0" r="2540" b="5080"/>
            <wp:docPr id="18713749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37492" name="图片 2"/>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88550" cy="2343862"/>
                    </a:xfrm>
                    <a:prstGeom prst="rect">
                      <a:avLst/>
                    </a:prstGeom>
                  </pic:spPr>
                </pic:pic>
              </a:graphicData>
            </a:graphic>
          </wp:inline>
        </w:drawing>
      </w:r>
    </w:p>
    <w:p w14:paraId="095D197D" w14:textId="77777777" w:rsidR="006B71C6" w:rsidRDefault="0057794D">
      <w:pPr>
        <w:adjustRightInd w:val="0"/>
        <w:snapToGrid w:val="0"/>
        <w:spacing w:line="480" w:lineRule="auto"/>
        <w:rPr>
          <w:rFonts w:ascii="Times New Roman" w:hAnsi="Times New Roman" w:cs="Times New Roman"/>
          <w:color w:val="000000" w:themeColor="text1"/>
          <w:sz w:val="24"/>
          <w:szCs w:val="24"/>
        </w:rPr>
      </w:pPr>
      <w:bookmarkStart w:id="1" w:name="OLE_LINK1"/>
      <w:r>
        <w:rPr>
          <w:rFonts w:ascii="Times New Roman" w:hAnsi="Times New Roman" w:cs="Times New Roman"/>
          <w:b/>
          <w:bCs/>
          <w:color w:val="000000" w:themeColor="text1"/>
          <w:sz w:val="24"/>
          <w:szCs w:val="24"/>
        </w:rPr>
        <w:t>Supplementary Fig.</w:t>
      </w:r>
      <w:r>
        <w:rPr>
          <w:rFonts w:ascii="Times New Roman" w:hAnsi="Times New Roman" w:cs="Times New Roman" w:hint="eastAsia"/>
          <w:b/>
          <w:bCs/>
          <w:color w:val="000000" w:themeColor="text1"/>
          <w:sz w:val="24"/>
          <w:szCs w:val="24"/>
        </w:rPr>
        <w:t xml:space="preserve"> 6</w:t>
      </w:r>
      <w:bookmarkEnd w:id="1"/>
      <w:r>
        <w:rPr>
          <w:rFonts w:ascii="Times New Roman" w:hAnsi="Times New Roman" w:cs="Times New Roman" w:hint="eastAsia"/>
          <w:b/>
          <w:bCs/>
          <w:color w:val="000000" w:themeColor="text1"/>
          <w:sz w:val="24"/>
          <w:szCs w:val="24"/>
        </w:rPr>
        <w:t xml:space="preserve"> </w:t>
      </w:r>
      <w:r>
        <w:rPr>
          <w:rFonts w:ascii="Times New Roman" w:hAnsi="Times New Roman" w:cs="Times New Roman"/>
          <w:b/>
          <w:bCs/>
          <w:color w:val="000000" w:themeColor="text1"/>
          <w:sz w:val="24"/>
          <w:szCs w:val="24"/>
        </w:rPr>
        <w:t xml:space="preserve">Targeted profiling of related </w:t>
      </w:r>
      <w:r>
        <w:rPr>
          <w:rFonts w:ascii="Times New Roman" w:hAnsi="Times New Roman" w:cs="Times New Roman"/>
          <w:b/>
          <w:bCs/>
          <w:color w:val="000000" w:themeColor="text1"/>
          <w:sz w:val="24"/>
          <w:szCs w:val="24"/>
        </w:rPr>
        <w:t>tetradecanedioic acid metabolites across different T2DM stages</w:t>
      </w:r>
      <w:r>
        <w:rPr>
          <w:rFonts w:ascii="Times New Roman" w:hAnsi="Times New Roman" w:cs="Times New Roman" w:hint="eastAsia"/>
          <w:b/>
          <w:bCs/>
          <w:color w:val="000000" w:themeColor="text1"/>
          <w:sz w:val="24"/>
          <w:szCs w:val="24"/>
        </w:rPr>
        <w:t xml:space="preserve">. </w:t>
      </w:r>
      <w:r>
        <w:rPr>
          <w:rFonts w:ascii="Times New Roman" w:hAnsi="Times New Roman" w:cs="Times New Roman"/>
          <w:color w:val="000000" w:themeColor="text1"/>
          <w:sz w:val="24"/>
          <w:szCs w:val="28"/>
        </w:rPr>
        <w:t xml:space="preserve">Standardized abundances represent z-scores of log₁₀-transformed metabolite abundances. </w:t>
      </w:r>
      <w:r>
        <w:rPr>
          <w:rFonts w:ascii="Times New Roman" w:hAnsi="Times New Roman" w:cs="Times New Roman"/>
          <w:color w:val="000000" w:themeColor="text1"/>
          <w:sz w:val="24"/>
          <w:szCs w:val="24"/>
        </w:rPr>
        <w:t>Statistical significance was assessed using nonparametric tests</w:t>
      </w:r>
      <w:r>
        <w:rPr>
          <w:rFonts w:ascii="Times New Roman" w:hAnsi="Times New Roman" w:cs="Times New Roman" w:hint="eastAsia"/>
          <w:color w:val="000000" w:themeColor="text1"/>
          <w:sz w:val="24"/>
          <w:szCs w:val="24"/>
        </w:rPr>
        <w:t>.</w:t>
      </w:r>
      <w:r>
        <w:rPr>
          <w:rFonts w:ascii="Times New Roman" w:hAnsi="Times New Roman" w:cs="Times New Roman"/>
          <w:color w:val="000000" w:themeColor="text1"/>
          <w:sz w:val="24"/>
          <w:szCs w:val="28"/>
        </w:rPr>
        <w:t xml:space="preserve"> *</w:t>
      </w:r>
      <w:r>
        <w:rPr>
          <w:rFonts w:ascii="Times New Roman" w:hAnsi="Times New Roman" w:cs="Times New Roman"/>
          <w:i/>
          <w:iCs/>
          <w:color w:val="000000" w:themeColor="text1"/>
          <w:sz w:val="24"/>
          <w:szCs w:val="28"/>
        </w:rPr>
        <w:t>p</w:t>
      </w:r>
      <w:r>
        <w:rPr>
          <w:rFonts w:ascii="Times New Roman" w:hAnsi="Times New Roman" w:cs="Times New Roman"/>
          <w:color w:val="000000" w:themeColor="text1"/>
          <w:sz w:val="24"/>
          <w:szCs w:val="28"/>
        </w:rPr>
        <w:t xml:space="preserve"> &lt; 0.05, **</w:t>
      </w:r>
      <w:r>
        <w:rPr>
          <w:rFonts w:ascii="Times New Roman" w:hAnsi="Times New Roman" w:cs="Times New Roman"/>
          <w:i/>
          <w:iCs/>
          <w:color w:val="000000" w:themeColor="text1"/>
          <w:sz w:val="24"/>
          <w:szCs w:val="28"/>
        </w:rPr>
        <w:t>p</w:t>
      </w:r>
      <w:r>
        <w:rPr>
          <w:rFonts w:ascii="Times New Roman" w:hAnsi="Times New Roman" w:cs="Times New Roman"/>
          <w:color w:val="000000" w:themeColor="text1"/>
          <w:sz w:val="24"/>
          <w:szCs w:val="28"/>
        </w:rPr>
        <w:t xml:space="preserve"> &lt; 0.01, ***</w:t>
      </w:r>
      <w:r>
        <w:rPr>
          <w:rFonts w:ascii="Times New Roman" w:hAnsi="Times New Roman" w:cs="Times New Roman"/>
          <w:i/>
          <w:iCs/>
          <w:color w:val="000000" w:themeColor="text1"/>
          <w:sz w:val="24"/>
          <w:szCs w:val="28"/>
        </w:rPr>
        <w:t>p</w:t>
      </w:r>
      <w:r>
        <w:rPr>
          <w:rFonts w:ascii="Times New Roman" w:hAnsi="Times New Roman" w:cs="Times New Roman"/>
          <w:color w:val="000000" w:themeColor="text1"/>
          <w:sz w:val="24"/>
          <w:szCs w:val="28"/>
        </w:rPr>
        <w:t xml:space="preserve"> &lt; 0.001; ****</w:t>
      </w:r>
      <w:r>
        <w:rPr>
          <w:rFonts w:ascii="Times New Roman" w:hAnsi="Times New Roman" w:cs="Times New Roman"/>
          <w:i/>
          <w:iCs/>
          <w:color w:val="000000" w:themeColor="text1"/>
          <w:sz w:val="24"/>
          <w:szCs w:val="28"/>
        </w:rPr>
        <w:t>p</w:t>
      </w:r>
      <w:r>
        <w:rPr>
          <w:rFonts w:ascii="Times New Roman" w:hAnsi="Times New Roman" w:cs="Times New Roman"/>
          <w:color w:val="000000" w:themeColor="text1"/>
          <w:sz w:val="24"/>
          <w:szCs w:val="28"/>
        </w:rPr>
        <w:t xml:space="preserve"> &lt; 0.0001, ns, not significant.</w:t>
      </w:r>
    </w:p>
    <w:p w14:paraId="53A7883B" w14:textId="77777777" w:rsidR="006B71C6" w:rsidRDefault="006B71C6">
      <w:pPr>
        <w:widowControl/>
        <w:adjustRightInd w:val="0"/>
        <w:snapToGrid w:val="0"/>
        <w:spacing w:line="480" w:lineRule="auto"/>
        <w:jc w:val="left"/>
        <w:rPr>
          <w:rFonts w:ascii="Times New Roman" w:hAnsi="Times New Roman" w:cs="Times New Roman"/>
          <w:b/>
          <w:bCs/>
          <w:color w:val="000000" w:themeColor="text1"/>
          <w:sz w:val="24"/>
          <w:szCs w:val="24"/>
        </w:rPr>
        <w:sectPr w:rsidR="006B71C6">
          <w:pgSz w:w="11906" w:h="16838"/>
          <w:pgMar w:top="1440" w:right="1800" w:bottom="1440" w:left="1800" w:header="851" w:footer="992" w:gutter="0"/>
          <w:cols w:space="425"/>
          <w:docGrid w:type="lines" w:linePitch="312"/>
        </w:sectPr>
      </w:pPr>
    </w:p>
    <w:p w14:paraId="5D2225A2" w14:textId="77777777" w:rsidR="006B71C6" w:rsidRDefault="0057794D">
      <w:pPr>
        <w:adjustRightInd w:val="0"/>
        <w:snapToGrid w:val="0"/>
        <w:spacing w:line="480" w:lineRule="auto"/>
        <w:rPr>
          <w:rFonts w:ascii="Times New Roman" w:hAnsi="Times New Roman" w:cs="Times New Roman"/>
          <w:color w:val="000000" w:themeColor="text1"/>
          <w:sz w:val="24"/>
          <w:szCs w:val="24"/>
        </w:rPr>
      </w:pPr>
      <w:r>
        <w:lastRenderedPageBreak/>
        <w:t xml:space="preserve"> </w:t>
      </w:r>
      <w:r>
        <w:rPr>
          <w:rFonts w:ascii="Times New Roman" w:hAnsi="Times New Roman" w:cs="Times New Roman"/>
          <w:noProof/>
          <w:color w:val="000000" w:themeColor="text1"/>
          <w:sz w:val="24"/>
          <w:szCs w:val="24"/>
        </w:rPr>
        <w:drawing>
          <wp:inline distT="0" distB="0" distL="0" distR="0" wp14:anchorId="0D846298" wp14:editId="2AC7245B">
            <wp:extent cx="5274310" cy="3515995"/>
            <wp:effectExtent l="0" t="0" r="2540" b="8255"/>
            <wp:docPr id="164450708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507084" name="图片 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3515995"/>
                    </a:xfrm>
                    <a:prstGeom prst="rect">
                      <a:avLst/>
                    </a:prstGeom>
                  </pic:spPr>
                </pic:pic>
              </a:graphicData>
            </a:graphic>
          </wp:inline>
        </w:drawing>
      </w:r>
    </w:p>
    <w:p w14:paraId="020AAEC4" w14:textId="77777777" w:rsidR="006B71C6" w:rsidRDefault="0057794D">
      <w:pPr>
        <w:pStyle w:val="a3"/>
        <w:adjustRightInd w:val="0"/>
        <w:snapToGrid w:val="0"/>
        <w:spacing w:before="0" w:line="480" w:lineRule="auto"/>
        <w:rPr>
          <w:rFonts w:cs="Times New Roman"/>
          <w:b/>
          <w:bCs w:val="0"/>
          <w:color w:val="000000" w:themeColor="text1"/>
          <w:sz w:val="24"/>
          <w:szCs w:val="24"/>
        </w:rPr>
      </w:pPr>
      <w:r>
        <w:rPr>
          <w:rFonts w:cs="Times New Roman"/>
          <w:b/>
          <w:color w:val="000000" w:themeColor="text1"/>
          <w:sz w:val="24"/>
          <w:szCs w:val="28"/>
        </w:rPr>
        <w:t xml:space="preserve">Supplementary </w:t>
      </w:r>
      <w:r>
        <w:rPr>
          <w:rFonts w:cs="Times New Roman"/>
          <w:b/>
          <w:bCs w:val="0"/>
          <w:color w:val="000000" w:themeColor="text1"/>
          <w:sz w:val="24"/>
          <w:szCs w:val="24"/>
        </w:rPr>
        <w:t>Fig. 7</w:t>
      </w:r>
      <w:r>
        <w:rPr>
          <w:rFonts w:cs="Times New Roman"/>
          <w:color w:val="000000" w:themeColor="text1"/>
          <w:sz w:val="24"/>
          <w:szCs w:val="24"/>
        </w:rPr>
        <w:t xml:space="preserve"> </w:t>
      </w:r>
      <w:r>
        <w:rPr>
          <w:rFonts w:cs="Times New Roman"/>
          <w:b/>
          <w:bCs w:val="0"/>
          <w:color w:val="000000" w:themeColor="text1"/>
          <w:sz w:val="24"/>
          <w:szCs w:val="24"/>
        </w:rPr>
        <w:t>Data quality assessment of untargeted metabolomics</w:t>
      </w:r>
      <w:r>
        <w:rPr>
          <w:rFonts w:cs="Times New Roman"/>
          <w:color w:val="000000" w:themeColor="text1"/>
          <w:sz w:val="24"/>
          <w:szCs w:val="24"/>
        </w:rPr>
        <w:t xml:space="preserve">. </w:t>
      </w:r>
      <w:r>
        <w:rPr>
          <w:rFonts w:cs="Times New Roman"/>
          <w:b/>
          <w:bCs w:val="0"/>
          <w:color w:val="000000" w:themeColor="text1"/>
          <w:sz w:val="24"/>
          <w:szCs w:val="24"/>
        </w:rPr>
        <w:t>a–b</w:t>
      </w:r>
      <w:r>
        <w:rPr>
          <w:rFonts w:cs="Times New Roman"/>
          <w:color w:val="000000" w:themeColor="text1"/>
          <w:sz w:val="24"/>
          <w:szCs w:val="24"/>
        </w:rPr>
        <w:t xml:space="preserve">, Distributions of metabolite RSDs in quality control (QC) samples in positive and negative ion modes, respectively, with 91.39% of metabolites showing RSDs below 30% after isotope-labeled internal standard correction and </w:t>
      </w:r>
      <w:r>
        <w:rPr>
          <w:rFonts w:cs="Times New Roman" w:hint="eastAsia"/>
          <w:color w:val="000000" w:themeColor="text1"/>
          <w:sz w:val="24"/>
          <w:szCs w:val="24"/>
        </w:rPr>
        <w:t>including</w:t>
      </w:r>
      <w:r>
        <w:rPr>
          <w:rFonts w:cs="Times New Roman"/>
          <w:color w:val="000000" w:themeColor="text1"/>
          <w:sz w:val="24"/>
          <w:szCs w:val="24"/>
        </w:rPr>
        <w:t xml:space="preserve"> 545 unique metabolites a</w:t>
      </w:r>
      <w:r>
        <w:rPr>
          <w:rFonts w:cs="Times New Roman"/>
          <w:color w:val="000000" w:themeColor="text1"/>
          <w:sz w:val="24"/>
          <w:szCs w:val="24"/>
        </w:rPr>
        <w:t>fter deduplication</w:t>
      </w:r>
      <w:r>
        <w:rPr>
          <w:rFonts w:cs="Times New Roman" w:hint="eastAsia"/>
          <w:color w:val="000000" w:themeColor="text1"/>
          <w:sz w:val="24"/>
          <w:szCs w:val="24"/>
        </w:rPr>
        <w:t>.</w:t>
      </w:r>
      <w:r>
        <w:rPr>
          <w:rFonts w:cs="Times New Roman"/>
          <w:color w:val="000000" w:themeColor="text1"/>
          <w:sz w:val="24"/>
          <w:szCs w:val="24"/>
        </w:rPr>
        <w:t xml:space="preserve"> </w:t>
      </w:r>
      <w:r>
        <w:rPr>
          <w:rFonts w:cs="Times New Roman"/>
          <w:b/>
          <w:bCs w:val="0"/>
          <w:color w:val="000000" w:themeColor="text1"/>
          <w:sz w:val="24"/>
          <w:szCs w:val="24"/>
        </w:rPr>
        <w:t>c,</w:t>
      </w:r>
      <w:r>
        <w:rPr>
          <w:rFonts w:cs="Times New Roman"/>
          <w:color w:val="000000" w:themeColor="text1"/>
          <w:sz w:val="24"/>
          <w:szCs w:val="24"/>
        </w:rPr>
        <w:t xml:space="preserve"> Chemical classification of the 545 unique metabolites retained after structural deduplication. </w:t>
      </w:r>
      <w:r>
        <w:rPr>
          <w:rFonts w:cs="Times New Roman"/>
          <w:b/>
          <w:bCs w:val="0"/>
          <w:color w:val="000000" w:themeColor="text1"/>
          <w:sz w:val="24"/>
          <w:szCs w:val="24"/>
        </w:rPr>
        <w:t>d,</w:t>
      </w:r>
      <w:r>
        <w:rPr>
          <w:rFonts w:cs="Times New Roman"/>
          <w:color w:val="000000" w:themeColor="text1"/>
          <w:sz w:val="24"/>
          <w:szCs w:val="24"/>
        </w:rPr>
        <w:t xml:space="preserve"> QC monitoring plot showing all QC samples within ±2 standard deviations, supporting analytical stability throughout the experiment.</w:t>
      </w:r>
    </w:p>
    <w:sectPr w:rsidR="006B71C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F09CC" w14:textId="77777777" w:rsidR="0057794D" w:rsidRDefault="0057794D">
      <w:r>
        <w:separator/>
      </w:r>
    </w:p>
  </w:endnote>
  <w:endnote w:type="continuationSeparator" w:id="0">
    <w:p w14:paraId="054604B7" w14:textId="77777777" w:rsidR="0057794D" w:rsidRDefault="00577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New Roman Bold">
    <w:panose1 w:val="02020803070505020304"/>
    <w:charset w:val="00"/>
    <w:family w:val="auto"/>
    <w:pitch w:val="default"/>
    <w:sig w:usb0="E0000AFF" w:usb1="00007843" w:usb2="00000001" w:usb3="00000000" w:csb0="400001BF" w:csb1="DFF7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50EF4" w14:textId="77777777" w:rsidR="006B71C6" w:rsidRDefault="0057794D">
    <w:pPr>
      <w:pStyle w:val="a4"/>
    </w:pPr>
    <w:r>
      <w:rPr>
        <w:noProof/>
      </w:rPr>
      <mc:AlternateContent>
        <mc:Choice Requires="wps">
          <w:drawing>
            <wp:anchor distT="0" distB="0" distL="114300" distR="114300" simplePos="0" relativeHeight="251659264" behindDoc="0" locked="0" layoutInCell="1" allowOverlap="1" wp14:anchorId="63DE37DF" wp14:editId="5F12544E">
              <wp:simplePos x="0" y="0"/>
              <wp:positionH relativeFrom="margin">
                <wp:posOffset>4841875</wp:posOffset>
              </wp:positionH>
              <wp:positionV relativeFrom="paragraph">
                <wp:posOffset>8890</wp:posOffset>
              </wp:positionV>
              <wp:extent cx="326390" cy="1828800"/>
              <wp:effectExtent l="0" t="0" r="0" b="10160"/>
              <wp:wrapNone/>
              <wp:docPr id="1" name="文本框 1"/>
              <wp:cNvGraphicFramePr/>
              <a:graphic xmlns:a="http://schemas.openxmlformats.org/drawingml/2006/main">
                <a:graphicData uri="http://schemas.microsoft.com/office/word/2010/wordprocessingShape">
                  <wps:wsp>
                    <wps:cNvSpPr txBox="1"/>
                    <wps:spPr>
                      <a:xfrm>
                        <a:off x="0" y="0"/>
                        <a:ext cx="326621"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391C8F" w14:textId="77777777" w:rsidR="006B71C6" w:rsidRDefault="0057794D">
                          <w:pPr>
                            <w:pStyle w:val="a4"/>
                          </w:pPr>
                          <w:r>
                            <w:rPr>
                              <w:rFonts w:hint="eastAsia"/>
                            </w:rPr>
                            <w:t>S</w:t>
                          </w: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left:381.25pt;margin-top:0.7pt;height:144pt;width:25.7pt;mso-position-horizontal-relative:margin;z-index:251659264;mso-width-relative:page;mso-height-relative:page;" filled="f" stroked="f" coordsize="21600,21600" o:gfxdata="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aRJuGtgAAAAJAQAADwAAAAAAAAABACAAAAAiAAAAZHJzL2Rvd25yZXYueG1sUEsB&#10;AhQAFAAAAAgAh07iQJqJJywuAgAAVgQAAA4AAAAAAAAAAQAgAAAAJwEAAGRycy9lMm9Eb2MueG1s&#10;UEsFBgAAAAAGAAYAWQEAAMcFAAAAAA==&#10;">
              <v:fill on="f" focussize="0,0"/>
              <v:stroke on="f" weight="0.5pt"/>
              <v:imagedata o:title=""/>
              <o:lock v:ext="edit" aspectratio="f"/>
              <v:textbox inset="0mm,0mm,0mm,0mm" style="mso-fit-shape-to-text:t;">
                <w:txbxContent>
                  <w:p w14:paraId="4642B177">
                    <w:pPr>
                      <w:pStyle w:val="12"/>
                      <w:rPr>
                        <w:rFonts w:hint="eastAsia"/>
                      </w:rPr>
                    </w:pPr>
                    <w:r>
                      <w:rPr>
                        <w:rFonts w:hint="eastAsia"/>
                      </w:rPr>
                      <w:t>S</w:t>
                    </w: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B4596" w14:textId="77777777" w:rsidR="0057794D" w:rsidRDefault="0057794D">
      <w:r>
        <w:separator/>
      </w:r>
    </w:p>
  </w:footnote>
  <w:footnote w:type="continuationSeparator" w:id="0">
    <w:p w14:paraId="230E239E" w14:textId="77777777" w:rsidR="0057794D" w:rsidRDefault="005779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FB1"/>
    <w:rsid w:val="F73FBAE8"/>
    <w:rsid w:val="FBFB0900"/>
    <w:rsid w:val="00006ED4"/>
    <w:rsid w:val="00023151"/>
    <w:rsid w:val="000332EB"/>
    <w:rsid w:val="000560A6"/>
    <w:rsid w:val="00073B3B"/>
    <w:rsid w:val="000D6E77"/>
    <w:rsid w:val="000E50B2"/>
    <w:rsid w:val="0010375B"/>
    <w:rsid w:val="0010506F"/>
    <w:rsid w:val="00125536"/>
    <w:rsid w:val="001500A8"/>
    <w:rsid w:val="001559AB"/>
    <w:rsid w:val="0017794A"/>
    <w:rsid w:val="00192588"/>
    <w:rsid w:val="001A14F9"/>
    <w:rsid w:val="001C1A93"/>
    <w:rsid w:val="002017A3"/>
    <w:rsid w:val="00226706"/>
    <w:rsid w:val="00226FB1"/>
    <w:rsid w:val="00237BBB"/>
    <w:rsid w:val="002436CC"/>
    <w:rsid w:val="002523ED"/>
    <w:rsid w:val="00255522"/>
    <w:rsid w:val="002565D2"/>
    <w:rsid w:val="002662D7"/>
    <w:rsid w:val="0028293F"/>
    <w:rsid w:val="002A231B"/>
    <w:rsid w:val="002A75FD"/>
    <w:rsid w:val="002C588C"/>
    <w:rsid w:val="002D3CA5"/>
    <w:rsid w:val="00361019"/>
    <w:rsid w:val="00382FC5"/>
    <w:rsid w:val="003976E3"/>
    <w:rsid w:val="003E12DF"/>
    <w:rsid w:val="003E567F"/>
    <w:rsid w:val="00404203"/>
    <w:rsid w:val="004326C8"/>
    <w:rsid w:val="004556D2"/>
    <w:rsid w:val="0046777A"/>
    <w:rsid w:val="004817CB"/>
    <w:rsid w:val="004A2192"/>
    <w:rsid w:val="004E4F23"/>
    <w:rsid w:val="004F220E"/>
    <w:rsid w:val="004F3B35"/>
    <w:rsid w:val="00501983"/>
    <w:rsid w:val="00541012"/>
    <w:rsid w:val="005759D0"/>
    <w:rsid w:val="0057794D"/>
    <w:rsid w:val="00580B0E"/>
    <w:rsid w:val="00583855"/>
    <w:rsid w:val="00583D9D"/>
    <w:rsid w:val="00592E1F"/>
    <w:rsid w:val="005B1473"/>
    <w:rsid w:val="005C240F"/>
    <w:rsid w:val="005D134D"/>
    <w:rsid w:val="005D468C"/>
    <w:rsid w:val="005E2F89"/>
    <w:rsid w:val="005F5D6A"/>
    <w:rsid w:val="00603CFA"/>
    <w:rsid w:val="0063261D"/>
    <w:rsid w:val="006B1178"/>
    <w:rsid w:val="006B71C6"/>
    <w:rsid w:val="006C21D0"/>
    <w:rsid w:val="006D02C7"/>
    <w:rsid w:val="006E3979"/>
    <w:rsid w:val="0071124A"/>
    <w:rsid w:val="00767554"/>
    <w:rsid w:val="00767BC1"/>
    <w:rsid w:val="007762F2"/>
    <w:rsid w:val="00783E68"/>
    <w:rsid w:val="007C0718"/>
    <w:rsid w:val="007C2EC8"/>
    <w:rsid w:val="007D012D"/>
    <w:rsid w:val="007E3606"/>
    <w:rsid w:val="008050DF"/>
    <w:rsid w:val="00822139"/>
    <w:rsid w:val="0082776D"/>
    <w:rsid w:val="008449D3"/>
    <w:rsid w:val="00845E47"/>
    <w:rsid w:val="008511A5"/>
    <w:rsid w:val="00855093"/>
    <w:rsid w:val="008A5697"/>
    <w:rsid w:val="008B0F98"/>
    <w:rsid w:val="008C1F77"/>
    <w:rsid w:val="008D63AF"/>
    <w:rsid w:val="00915939"/>
    <w:rsid w:val="009668DF"/>
    <w:rsid w:val="009A243A"/>
    <w:rsid w:val="009D2A8F"/>
    <w:rsid w:val="009E3851"/>
    <w:rsid w:val="009F0E35"/>
    <w:rsid w:val="00A25559"/>
    <w:rsid w:val="00A25931"/>
    <w:rsid w:val="00A42A72"/>
    <w:rsid w:val="00A6350D"/>
    <w:rsid w:val="00A657C6"/>
    <w:rsid w:val="00A762D4"/>
    <w:rsid w:val="00AC60A7"/>
    <w:rsid w:val="00B03CCE"/>
    <w:rsid w:val="00B5705F"/>
    <w:rsid w:val="00B62B2B"/>
    <w:rsid w:val="00B64D48"/>
    <w:rsid w:val="00BA4D92"/>
    <w:rsid w:val="00BB61E5"/>
    <w:rsid w:val="00BC6F05"/>
    <w:rsid w:val="00BE46DD"/>
    <w:rsid w:val="00C80661"/>
    <w:rsid w:val="00CB1F24"/>
    <w:rsid w:val="00CB5891"/>
    <w:rsid w:val="00CC3E25"/>
    <w:rsid w:val="00CC4448"/>
    <w:rsid w:val="00CE0756"/>
    <w:rsid w:val="00CF4734"/>
    <w:rsid w:val="00D04560"/>
    <w:rsid w:val="00D05118"/>
    <w:rsid w:val="00D16063"/>
    <w:rsid w:val="00D31520"/>
    <w:rsid w:val="00D4634F"/>
    <w:rsid w:val="00D96E28"/>
    <w:rsid w:val="00D976A4"/>
    <w:rsid w:val="00DA17CC"/>
    <w:rsid w:val="00DA4059"/>
    <w:rsid w:val="00DB314E"/>
    <w:rsid w:val="00DB6C19"/>
    <w:rsid w:val="00E11681"/>
    <w:rsid w:val="00E2244A"/>
    <w:rsid w:val="00E24AED"/>
    <w:rsid w:val="00E61F1B"/>
    <w:rsid w:val="00E75893"/>
    <w:rsid w:val="00E75C0C"/>
    <w:rsid w:val="00E831D6"/>
    <w:rsid w:val="00E909F5"/>
    <w:rsid w:val="00EC3B88"/>
    <w:rsid w:val="00F55253"/>
    <w:rsid w:val="00F64718"/>
    <w:rsid w:val="00F64EC4"/>
    <w:rsid w:val="00F83094"/>
    <w:rsid w:val="00F9405E"/>
    <w:rsid w:val="00F958FB"/>
    <w:rsid w:val="00FA1AFC"/>
    <w:rsid w:val="00FC68DD"/>
    <w:rsid w:val="1D09760F"/>
    <w:rsid w:val="2B0B4882"/>
    <w:rsid w:val="2B0F3F98"/>
    <w:rsid w:val="7F7BFFE2"/>
    <w:rsid w:val="7FDDD5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616328"/>
  <w15:docId w15:val="{0D9EF0EB-D699-4EC0-95F6-D6AECFD57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autoRedefine/>
    <w:uiPriority w:val="35"/>
    <w:unhideWhenUsed/>
    <w:qFormat/>
    <w:pPr>
      <w:spacing w:before="120" w:line="300" w:lineRule="auto"/>
    </w:pPr>
    <w:rPr>
      <w:rFonts w:ascii="Times New Roman" w:eastAsia="宋体" w:hAnsi="Times New Roman" w:cstheme="majorBidi"/>
      <w:bCs/>
      <w:szCs w:val="20"/>
    </w:r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tabs>
        <w:tab w:val="center" w:pos="4153"/>
        <w:tab w:val="right" w:pos="8306"/>
      </w:tabs>
      <w:snapToGrid w:val="0"/>
      <w:jc w:val="center"/>
    </w:pPr>
    <w:rPr>
      <w:sz w:val="18"/>
      <w:szCs w:val="18"/>
    </w:rPr>
  </w:style>
  <w:style w:type="paragraph" w:styleId="a8">
    <w:name w:val="Subtitle"/>
    <w:basedOn w:val="a"/>
    <w:next w:val="a"/>
    <w:link w:val="a9"/>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a">
    <w:name w:val="Title"/>
    <w:basedOn w:val="a"/>
    <w:next w:val="a"/>
    <w:link w:val="ab"/>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ac">
    <w:name w:val="Hyperlink"/>
    <w:basedOn w:val="a0"/>
    <w:uiPriority w:val="99"/>
    <w:unhideWhenUsed/>
    <w:qFormat/>
    <w:rPr>
      <w:color w:val="467886" w:themeColor="hyperlink"/>
      <w:u w:val="single"/>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szCs w:val="24"/>
    </w:rPr>
  </w:style>
  <w:style w:type="character" w:customStyle="1" w:styleId="60">
    <w:name w:val="标题 6 字符"/>
    <w:basedOn w:val="a0"/>
    <w:link w:val="6"/>
    <w:uiPriority w:val="9"/>
    <w:semiHidden/>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b">
    <w:name w:val="标题 字符"/>
    <w:basedOn w:val="a0"/>
    <w:link w:val="aa"/>
    <w:uiPriority w:val="10"/>
    <w:rPr>
      <w:rFonts w:asciiTheme="majorHAnsi" w:eastAsiaTheme="majorEastAsia" w:hAnsiTheme="majorHAnsi" w:cstheme="majorBidi"/>
      <w:spacing w:val="-10"/>
      <w:kern w:val="28"/>
      <w:sz w:val="56"/>
      <w:szCs w:val="56"/>
    </w:rPr>
  </w:style>
  <w:style w:type="character" w:customStyle="1" w:styleId="a9">
    <w:name w:val="副标题 字符"/>
    <w:basedOn w:val="a0"/>
    <w:link w:val="a8"/>
    <w:uiPriority w:val="11"/>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pPr>
      <w:spacing w:before="160" w:after="160"/>
      <w:jc w:val="center"/>
    </w:pPr>
    <w:rPr>
      <w:i/>
      <w:iCs/>
      <w:color w:val="404040" w:themeColor="text1" w:themeTint="BF"/>
    </w:rPr>
  </w:style>
  <w:style w:type="character" w:customStyle="1" w:styleId="ae">
    <w:name w:val="引用 字符"/>
    <w:basedOn w:val="a0"/>
    <w:link w:val="ad"/>
    <w:uiPriority w:val="29"/>
    <w:rPr>
      <w:i/>
      <w:iCs/>
      <w:color w:val="404040" w:themeColor="text1" w:themeTint="BF"/>
    </w:rPr>
  </w:style>
  <w:style w:type="paragraph" w:styleId="af">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0">
    <w:name w:val="Intense Quote"/>
    <w:basedOn w:val="a"/>
    <w:next w:val="a"/>
    <w:link w:val="af1"/>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1">
    <w:name w:val="明显引用 字符"/>
    <w:basedOn w:val="a0"/>
    <w:link w:val="af0"/>
    <w:uiPriority w:val="30"/>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7">
    <w:name w:val="页眉 字符"/>
    <w:basedOn w:val="a0"/>
    <w:link w:val="a6"/>
    <w:uiPriority w:val="99"/>
    <w:rPr>
      <w:sz w:val="18"/>
      <w:szCs w:val="18"/>
    </w:rPr>
  </w:style>
  <w:style w:type="character" w:customStyle="1" w:styleId="a5">
    <w:name w:val="页脚 字符"/>
    <w:basedOn w:val="a0"/>
    <w:link w:val="a4"/>
    <w:uiPriority w:val="99"/>
    <w:rPr>
      <w:sz w:val="18"/>
      <w:szCs w:val="18"/>
    </w:rPr>
  </w:style>
  <w:style w:type="paragraph" w:customStyle="1" w:styleId="13">
    <w:name w:val="修订1"/>
    <w:hidden/>
    <w:uiPriority w:val="99"/>
    <w:semiHidden/>
    <w:rPr>
      <w:kern w:val="2"/>
      <w:sz w:val="21"/>
      <w:szCs w:val="22"/>
    </w:rPr>
  </w:style>
  <w:style w:type="paragraph" w:customStyle="1" w:styleId="21">
    <w:name w:val="修订2"/>
    <w:hidden/>
    <w:uiPriority w:val="99"/>
    <w:unhideWhenUsed/>
    <w:qFormat/>
    <w:rPr>
      <w:kern w:val="2"/>
      <w:sz w:val="21"/>
      <w:szCs w:val="22"/>
    </w:rPr>
  </w:style>
  <w:style w:type="paragraph" w:customStyle="1" w:styleId="31">
    <w:name w:val="修订3"/>
    <w:hidden/>
    <w:uiPriority w:val="99"/>
    <w:unhideWhenUsed/>
    <w:rPr>
      <w:kern w:val="2"/>
      <w:sz w:val="21"/>
      <w:szCs w:val="22"/>
    </w:rPr>
  </w:style>
  <w:style w:type="paragraph" w:customStyle="1" w:styleId="41">
    <w:name w:val="修订4"/>
    <w:hidden/>
    <w:uiPriority w:val="99"/>
    <w:unhideWhenUsed/>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image" Target="media/image7.tiff"/><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tyleName="APA" SelectedStyle="\APASixthEditionOfficeOnline.xsl"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D28D280-9F07-4801-8303-6962211E254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Pages>
  <Words>1375</Words>
  <Characters>7843</Characters>
  <Application>Microsoft Office Word</Application>
  <DocSecurity>0</DocSecurity>
  <Lines>65</Lines>
  <Paragraphs>18</Paragraphs>
  <ScaleCrop>false</ScaleCrop>
  <Company/>
  <LinksUpToDate>false</LinksUpToDate>
  <CharactersWithSpaces>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guanpw</dc:creator>
  <cp:lastModifiedBy>Guowang Xu</cp:lastModifiedBy>
  <cp:revision>43</cp:revision>
  <dcterms:created xsi:type="dcterms:W3CDTF">2025-11-16T21:55:00Z</dcterms:created>
  <dcterms:modified xsi:type="dcterms:W3CDTF">2026-10-22T05:59:00Z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914AD92A8CB9B35A16834A6ABCD35BA4_42</vt:lpwstr>
  </property>
  <property fmtid="{D5CDD505-2E9C-101B-9397-08002B2CF9AE}" pid="4" name="KSOTemplateDocerSaveRecord">
    <vt:lpwstr>eyJoZGlkIjoiOTdiNDkwNThlZGViN2RkZTZjZGRjZjA4NTM5MThmMDMiLCJ1c2VySWQiOiI5Nzc1NTA0MDkifQ==</vt:lpwstr>
  </property>
</Properties>
</file>