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jc w:val="center"/>
      </w:pPr>
      <w:r>
        <w:rPr>
          <w:b/>
          <w:bCs/>
          <w:sz w:val="32"/>
        </w:rPr>
        <w:t xml:space="preserve">Unsupervised multimodal brain MRI registration with complementary learned and structural descriptors</w:t>
      </w:r>
    </w:p>
    <w:p>
      <w:pPr>
        <w:pStyle w:val="BodyText"/>
        <w:jc w:val="center"/>
      </w:pPr>
      <w:r>
        <w:t xml:space="preserve">D M Bappy</w:t>
      </w:r>
      <w:r>
        <w:rPr>
          <w:vertAlign w:val="superscript"/>
        </w:rPr>
        <w:t xml:space="preserve">1</w:t>
      </w:r>
      <w:r>
        <w:t xml:space="preserve"> </w:t>
      </w:r>
      <w:r>
        <w:t xml:space="preserve">and Hyeongboo Baek</w:t>
      </w:r>
      <w:r>
        <w:rPr>
          <w:vertAlign w:val="superscript"/>
        </w:rPr>
        <w:t xml:space="preserve">2,*</w:t>
      </w:r>
    </w:p>
    <w:p>
      <w:pPr>
        <w:pStyle w:val="BodyText"/>
        <w:jc w:val="center"/>
      </w:pPr>
      <w:r>
        <w:rPr>
          <w:vertAlign w:val="superscript"/>
        </w:rPr>
        <w:t xml:space="preserve">1</w:t>
      </w:r>
      <w:r>
        <w:t xml:space="preserve">College of Medicine, Korea University, Seoul, Republic of Korea</w:t>
      </w:r>
    </w:p>
    <w:p>
      <w:pPr>
        <w:pStyle w:val="BodyText"/>
        <w:jc w:val="center"/>
      </w:pPr>
      <w:r>
        <w:rPr>
          <w:vertAlign w:val="superscript"/>
        </w:rPr>
        <w:t xml:space="preserve">2</w:t>
      </w:r>
      <w:r>
        <w:t xml:space="preserve">Department of Artificial Intelligence, University of Seoul, Seoul, Republic of Korea</w:t>
      </w:r>
    </w:p>
    <w:p>
      <w:pPr>
        <w:pStyle w:val="BodyText"/>
        <w:jc w:val="center"/>
      </w:pPr>
      <w:r>
        <w:rPr>
          <w:vertAlign w:val="superscript"/>
        </w:rPr>
        <w:t xml:space="preserve">*</w:t>
      </w:r>
      <w:r>
        <w:t xml:space="preserve">Correspondence:</w:t>
      </w:r>
      <w:r>
        <w:t xml:space="preserve"> </w:t>
      </w:r>
      <w:hyperlink r:id="rId9">
        <w:r>
          <w:rPr>
            <w:rStyle w:val="Hyperlink"/>
          </w:rPr>
          <w:t xml:space="preserve">hbbaek359@gmail.com</w:t>
        </w:r>
      </w:hyperlink>
    </w:p>
    <w:p>
      <w:pPr>
        <w:pStyle w:val="BodyText"/>
        <w:jc w:val="center"/>
      </w:pPr>
      <w:r>
        <w:t xml:space="preserve">D M Bappy:</w:t>
      </w:r>
      <w:r>
        <w:t xml:space="preserve"> </w:t>
      </w:r>
      <w:hyperlink r:id="rId10">
        <w:r>
          <w:rPr>
            <w:rStyle w:val="Hyperlink"/>
          </w:rPr>
          <w:t xml:space="preserve">dewan8511@gmail.com</w:t>
        </w:r>
      </w:hyperlink>
    </w:p>
    <w:p>
      <w:pPr>
        <w:pStyle w:val="BodyText"/>
        <w:jc w:val="center"/>
      </w:pPr>
      <w:r>
        <w:rPr>
          <w:b/>
          <w:bCs/>
          <w:sz w:val="28"/>
        </w:rPr>
        <w:t xml:space="preserve">Supplementary Information</w:t>
      </w:r>
    </w:p>
    <w:p>
      <w:pPr>
        <w:pStyle w:val="BodyText"/>
        <w:keepNext/>
        <w:spacing w:after="160"/>
      </w:pPr>
      <w:r>
        <w:rPr>
          <w:sz w:val="20"/>
        </w:rPr>
        <w:t xml:space="preserve">Table S1. Per-structure Dice for IXI inter-subject T1</w:t>
      </w:r>
      <m:oMath>
        <m:r>
          <m:rPr>
            <m:sty m:val="p"/>
          </m:rPr>
          <m:t>→</m:t>
        </m:r>
      </m:oMath>
      <w:r>
        <w:rPr>
          <w:sz w:val="20"/>
        </w:rPr>
        <w:t xml:space="preserve">T2 registration</w:t>
      </w:r>
      <w:r>
        <w:rPr>
          <w:sz w:val="20"/>
        </w:rPr>
        <w:t xml:space="preserve"> </w:t>
      </w:r>
      <w:r>
        <w:rPr>
          <w:sz w:val="20"/>
        </w:rPr>
        <w:t xml:space="preserve">(scored at</w:t>
      </w:r>
      <w:r>
        <w:rPr>
          <w:sz w:val="20"/>
        </w:rPr>
        <w:t xml:space="preserve"> </w:t>
      </w:r>
      <m:oMath>
        <m:sSup>
          <m:e>
            <m:r>
              <m:t>144</m:t>
            </m:r>
          </m:e>
          <m:sup>
            <m:r>
              <m:t>3</m:t>
            </m:r>
          </m:sup>
        </m:sSup>
      </m:oMath>
      <w:r>
        <w:rPr>
          <w:sz w:val="20"/>
        </w:rPr>
        <w:t xml:space="preserve">; means of left and right). Best values in bold.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2098"/>
        <w:gridCol w:w="1474"/>
        <w:gridCol w:w="1417"/>
        <w:gridCol w:w="1644"/>
        <w:gridCol w:w="1247"/>
        <w:gridCol w:w="1191"/>
      </w:tblGrid>
      <w:tr>
        <w:trPr>
          <w:tblHeader w:val="on"/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Structure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VoxelMorph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MIND-SSC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MultiGradICON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Learned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Hybrid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Cerebral WM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0.514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0.599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0.643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0.622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0.642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Cortex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0.444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0.537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0.569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0.566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0.589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Lat. ventricle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0.338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0.643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0.799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0.682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0.735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Thalamus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0.536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0.751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0.765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0.791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0.836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Caudate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0.363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0.633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0.726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0.707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0.720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Putamen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0.419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0.666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0.636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0.720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0.776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Pallidum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0.268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0.577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0.514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0.631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0.688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Hippocampus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0.249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0.508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0.376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0.630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0.659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Amygdala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0.221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0.481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0.290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0.628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0.658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Mean</w:t>
            </w:r>
          </w:p>
        </w:tc>
        <w:tc>
          <w:tcPr>
            <w:tcW w:type="dxa" w:w="147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0.372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0.599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0.591</w:t>
            </w:r>
          </w:p>
        </w:tc>
        <w:tc>
          <w:tcPr>
            <w:tcW w:type="dxa" w:w="124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0.664</w:t>
            </w:r>
          </w:p>
        </w:tc>
        <w:tc>
          <w:tcPr>
            <w:tcW w:type="dxa" w:w="1191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0.700</w:t>
            </w:r>
          </w:p>
        </w:tc>
      </w:tr>
    </w:tbl>
    <w:p>
      <w:pPr>
        <w:pStyle w:val="BodyText"/>
        <w:keepNext/>
        <w:pageBreakBefore/>
        <w:spacing w:after="160"/>
      </w:pPr>
      <w:r>
        <w:rPr>
          <w:sz w:val="20"/>
        </w:rPr>
        <w:t xml:space="preserve">Table S2. Ablation of design choices (IXI T1</w:t>
      </w:r>
      <m:oMath>
        <m:r>
          <m:rPr>
            <m:sty m:val="p"/>
          </m:rPr>
          <m:t>→</m:t>
        </m:r>
      </m:oMath>
      <w:r>
        <w:rPr>
          <w:sz w:val="20"/>
        </w:rPr>
        <w:t xml:space="preserve">T2, Dice at</w:t>
      </w:r>
      <w:r>
        <w:rPr>
          <w:sz w:val="20"/>
        </w:rPr>
        <w:t xml:space="preserve"> </w:t>
      </w:r>
      <m:oMath>
        <m:sSup>
          <m:e>
            <m:r>
              <m:t>144</m:t>
            </m:r>
          </m:e>
          <m:sup>
            <m:r>
              <m:t>3</m:t>
            </m:r>
          </m:sup>
        </m:sSup>
      </m:oMath>
      <w:r>
        <w:rPr>
          <w:sz w:val="20"/>
        </w:rPr>
        <w:t xml:space="preserve">,</w:t>
      </w:r>
      <w:r>
        <w:rPr>
          <w:sz w:val="20"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45</m:t>
        </m:r>
      </m:oMath>
      <w:r>
        <w:rPr>
          <w:sz w:val="20"/>
        </w:rPr>
        <w:t xml:space="preserve">).</w:t>
      </w:r>
      <w:r>
        <w:rPr>
          <w:sz w:val="20"/>
        </w:rPr>
        <w:t xml:space="preserve"> </w:t>
      </w:r>
      <w:r>
        <w:rPr>
          <w:sz w:val="20"/>
        </w:rPr>
        <w:t xml:space="preserve">Each row changes one element of the default configuration.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7654"/>
        <w:gridCol w:w="1417"/>
      </w:tblGrid>
      <w:tr>
        <w:trPr>
          <w:tblHeader w:val="on"/>
          <w:cantSplit/>
        </w:trPr>
        <w:tc>
          <w:tcPr>
            <w:tcW w:type="dxa" w:w="7654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Configuration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Dice</w:t>
            </w:r>
            <m:oMath>
              <m:r>
                <m:rPr>
                  <m:sty m:val="p"/>
                </m:rPr>
                <m:t>↑</m:t>
              </m:r>
            </m:oMath>
          </w:p>
        </w:tc>
      </w:tr>
      <w:tr>
        <w:trPr>
          <w:cantSplit/>
        </w:trPr>
        <w:tc>
          <w:tcPr>
            <w:tcW w:type="dxa" w:w="7654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Hybrid, diffeomorphic, CMDN dimension 16 (full model)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0.700</w:t>
            </w:r>
          </w:p>
        </w:tc>
      </w:tr>
      <w:tr>
        <w:trPr>
          <w:cantSplit/>
        </w:trPr>
        <w:tc>
          <w:tcPr>
            <w:tcW w:type="dxa" w:w="7654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without diffeomorphic parameterization (direct displacement)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0.679</w:t>
            </w:r>
          </w:p>
        </w:tc>
      </w:tr>
      <w:tr>
        <w:trPr>
          <w:cantSplit/>
        </w:trPr>
        <w:tc>
          <w:tcPr>
            <w:tcW w:type="dxa" w:w="7654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CMDN embedding dimension 8 (learned descriptor only)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0.627</w:t>
            </w:r>
          </w:p>
        </w:tc>
      </w:tr>
    </w:tbl>
    <w:p>
      <w:pPr>
        <w:pStyle w:val="BodyText"/>
        <w:keepNext/>
        <w:pageBreakBefore/>
        <w:spacing w:after="160"/>
      </w:pPr>
      <w:r>
        <w:rPr>
          <w:sz w:val="20"/>
        </w:rPr>
        <w:t xml:space="preserve">Table S3. Computational cost.</w:t>
      </w:r>
      <w:r>
        <w:rPr>
          <w:sz w:val="20"/>
        </w:rPr>
        <w:t xml:space="preserve"> </w:t>
      </w:r>
      <w:r>
        <w:rPr>
          <w:sz w:val="20"/>
        </w:rPr>
        <w:t xml:space="preserve">“Test-time descriptor”</w:t>
      </w:r>
      <w:r>
        <w:rPr>
          <w:sz w:val="20"/>
        </w:rPr>
        <w:t xml:space="preserve"> </w:t>
      </w:r>
      <w:r>
        <w:rPr>
          <w:sz w:val="20"/>
        </w:rPr>
        <w:t xml:space="preserve">indicates whether a</w:t>
      </w:r>
      <w:r>
        <w:rPr>
          <w:sz w:val="20"/>
        </w:rPr>
        <w:t xml:space="preserve"> </w:t>
      </w:r>
      <w:r>
        <w:rPr>
          <w:sz w:val="20"/>
        </w:rPr>
        <w:t xml:space="preserve">similarity descriptor must be computed during inference. Runtimes are for one</w:t>
      </w:r>
      <w:r>
        <w:rPr>
          <w:sz w:val="20"/>
        </w:rPr>
        <w:t xml:space="preserve"> </w:t>
      </w:r>
      <m:oMath>
        <m:r>
          <m:t>144</m:t>
        </m:r>
        <m:r>
          <m:rPr>
            <m:sty m:val="p"/>
          </m:rPr>
          <m:t>×</m:t>
        </m:r>
        <m:r>
          <m:t>160</m:t>
        </m:r>
        <m:r>
          <m:rPr>
            <m:sty m:val="p"/>
          </m:rPr>
          <m:t>×</m:t>
        </m:r>
        <m:r>
          <m:t>192</m:t>
        </m:r>
      </m:oMath>
      <w:r>
        <w:rPr>
          <w:sz w:val="20"/>
        </w:rPr>
        <w:t xml:space="preserve"> </w:t>
      </w:r>
      <w:r>
        <w:rPr>
          <w:sz w:val="20"/>
        </w:rPr>
        <w:t xml:space="preserve">volume pair.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3288"/>
        <w:gridCol w:w="1417"/>
        <w:gridCol w:w="1644"/>
        <w:gridCol w:w="1417"/>
        <w:gridCol w:w="1304"/>
      </w:tblGrid>
      <w:tr>
        <w:trPr>
          <w:tblHeader w:val="on"/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Method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Parameters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Test-time descriptor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Runtime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Labels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SyN (ANTs)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n/a (iterative)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yes (MI)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minutes (CPU)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MultiGradICON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m:oMath>
              <m:r>
                <m:rPr>
                  <m:sty m:val="p"/>
                </m:rPr>
                <m:t>≫</m:t>
              </m:r>
              <m:r>
                <m:t>10</m:t>
              </m:r>
            </m:oMath>
            <w:r>
              <w:rPr>
                <w:rFonts w:ascii="Times New Roman" w:hAnsi="Times New Roman"/>
                <w:sz w:val="20"/>
              </w:rPr>
              <w:t xml:space="preserve"> M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no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m:oMath>
              <m:r>
                <m:rPr>
                  <m:sty m:val="p"/>
                </m:rPr>
                <m:t>∼</m:t>
              </m:r>
            </m:oMath>
            <w:r>
              <w:rPr>
                <w:rFonts w:ascii="Times New Roman" w:hAnsi="Times New Roman"/>
                <w:sz w:val="20"/>
              </w:rPr>
              <w:t xml:space="preserve">seconds (GPU)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sz w:val="20"/>
              </w:rPr>
              <w:t xml:space="preserve">MIND-SSC (same backbone)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0.247 M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no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83 ms (GPU)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after="60" w:before="60"/>
              <w:jc w:val="left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Hybrid (ours)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0.247 M</w:t>
            </w:r>
          </w:p>
        </w:tc>
        <w:tc>
          <w:tcPr>
            <w:tcW w:type="dxa" w:w="164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no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83 ms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(GPU)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spacing w:after="60" w:before="6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no</w:t>
            </w:r>
          </w:p>
        </w:tc>
      </w:tr>
    </w:tbl>
    <w:sectPr>
      <w:footerReference w:type="default" r:id="rId11"/>
      <w:footnotePr>
        <w:numRestart w:val="eachSect"/>
      </w:footnotePr>
      <w:pgSz w:w="11906" w:h="16838"/>
      <w:pgMar w:top="1417" w:bottom="1417" w:left="1417" w:right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259" w:lineRule="auto" w:after="120"/>
      <w:jc w:val="left"/>
    </w:pPr>
    <w:rPr>
      <w:rFonts w:ascii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20" w:before="180" w:line="259" w:lineRule="auto"/>
      <w:jc w:val="left"/>
    </w:pPr>
    <w:rPr>
      <w:rFonts w:ascii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line="259" w:lineRule="auto" w:after="120"/>
      <w:jc w:val="left"/>
    </w:pPr>
    <w:rPr>
      <w:rFonts w:ascii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120" w:before="100" w:line="259" w:lineRule="auto"/>
      <w:jc w:val="left"/>
    </w:pPr>
    <w:rPr>
      <w:rFonts w:ascii="Times New Roman" w:hAnsi="Times New Roman"/>
      <w:sz w:val="24"/>
      <w:szCs w:val="20"/>
    </w:rPr>
  </w:style>
  <w:style w:styleId="Bibliography" w:type="paragraph">
    <w:name w:val="Bibliography"/>
    <w:basedOn w:val="Normal"/>
    <w:next w:val="Bibliography"/>
    <w:qFormat/>
    <w:pPr>
      <w:spacing w:line="259" w:lineRule="auto" w:after="120"/>
      <w:jc w:val="left"/>
    </w:pPr>
    <w:rPr>
      <w:rFonts w:ascii="Times New Roman" w:hAnsi="Times New Roman"/>
      <w:sz w:val="24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Times New Roman" w:hAnsi="Times New Roman"/>
      <w:b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Times New Roman" w:hAnsi="Times New Roman"/>
      <w:b/>
      <w:color w:val="000000"/>
      <w:sz w:val="24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Times New Roman" w:hAnsi="Times New Roman"/>
      <w:b/>
      <w:color w:val="000000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Times New Roman" w:hAnsi="Times New Roman"/>
      <w:b/>
      <w:i/>
      <w:iCs/>
      <w:color w:val="000000"/>
      <w:sz w:val="24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Times New Roman" w:hAnsi="Times New Roman"/>
      <w:b/>
      <w:color w:val="000000"/>
      <w:sz w:val="24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Times New Roman" w:hAnsi="Times New Roman"/>
      <w:b/>
      <w:i/>
      <w:iCs/>
      <w:color w:val="000000"/>
      <w:sz w:val="24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0" Type="http://schemas.openxmlformats.org/officeDocument/2006/relationships/hyperlink" Target="mailto:dewan8511@gmail.com" TargetMode="External"/><Relationship Id="rId9" Type="http://schemas.openxmlformats.org/officeDocument/2006/relationships/hyperlink" Target="mailto:hbbaek359@gmail.com" TargetMode="External"/><Relationship Id="rId11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10" Type="http://schemas.openxmlformats.org/officeDocument/2006/relationships/hyperlink" Target="mailto:dewan8511@gmail.com" TargetMode="External"/><Relationship Id="rId9" Type="http://schemas.openxmlformats.org/officeDocument/2006/relationships/hyperlink" Target="mailto:hbbaek35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Unsupervised multimodal brain MRI registration with complementary learned and structural descriptors</dc:title>
  <dc:creator>D M Bappy; Hyeongboo Baek</dc:creator>
  <cp:keywords/>
  <dcterms:created xsi:type="dcterms:W3CDTF">2026-10-22T03:42:20Z</dcterms:created>
  <dcterms:modified xsi:type="dcterms:W3CDTF">2026-10-22T03:42:20Z</dcterms:modified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