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289B6" w14:textId="77777777" w:rsidR="0096273F" w:rsidRPr="00B433AB" w:rsidRDefault="00000000" w:rsidP="00B433AB">
      <w:pPr>
        <w:pStyle w:val="PCJSection"/>
        <w:rPr>
          <w:i/>
          <w:iCs/>
        </w:rPr>
      </w:pPr>
      <w:r w:rsidRPr="00B433AB">
        <w:rPr>
          <w:i/>
          <w:iCs/>
        </w:rPr>
        <w:t>Supplementary Materials</w:t>
      </w:r>
    </w:p>
    <w:p w14:paraId="3FFA0EB1" w14:textId="7A80FED2" w:rsidR="0096273F" w:rsidRPr="00B433AB" w:rsidRDefault="00B433AB">
      <w:pPr>
        <w:spacing w:after="200"/>
        <w:jc w:val="center"/>
        <w:rPr>
          <w:rFonts w:ascii="Arial" w:hAnsi="Arial" w:cs="Arial"/>
          <w:i/>
          <w:iCs/>
          <w:noProof/>
          <w:sz w:val="21"/>
          <w:szCs w:val="24"/>
          <w:lang w:val="en-US" w:eastAsia="fr-FR"/>
        </w:rPr>
      </w:pPr>
      <w:r w:rsidRPr="00B433AB">
        <w:rPr>
          <w:rFonts w:ascii="Arial" w:hAnsi="Arial" w:cs="Arial"/>
          <w:i/>
          <w:iCs/>
          <w:noProof/>
          <w:sz w:val="21"/>
          <w:szCs w:val="24"/>
          <w:lang w:val="en-US" w:eastAsia="fr-FR"/>
        </w:rPr>
        <w:t>Target-label design, not feature scarcity, drives cross-library transfer failure in CRISPRi/a guide-efficacy models</w:t>
      </w:r>
    </w:p>
    <w:p w14:paraId="771274A3" w14:textId="28E5A0AD" w:rsidR="0096273F" w:rsidRPr="00B433AB" w:rsidRDefault="00000000">
      <w:pPr>
        <w:spacing w:after="200"/>
        <w:rPr>
          <w:rFonts w:ascii="Arial" w:hAnsi="Arial" w:cs="Arial"/>
          <w:noProof/>
          <w:sz w:val="21"/>
          <w:szCs w:val="24"/>
          <w:lang w:val="en-US" w:eastAsia="fr-FR"/>
        </w:rPr>
      </w:pPr>
      <w:r w:rsidRPr="00B433AB">
        <w:rPr>
          <w:rFonts w:ascii="Arial" w:hAnsi="Arial" w:cs="Arial"/>
          <w:noProof/>
          <w:sz w:val="21"/>
          <w:szCs w:val="24"/>
          <w:lang w:val="en-US" w:eastAsia="fr-FR"/>
        </w:rPr>
        <w:t>Albuja, D.</w:t>
      </w:r>
    </w:p>
    <w:p w14:paraId="1A119757" w14:textId="77777777" w:rsidR="0096273F" w:rsidRPr="00B433AB" w:rsidRDefault="00000000" w:rsidP="00B433AB">
      <w:pPr>
        <w:spacing w:after="200"/>
        <w:jc w:val="both"/>
        <w:rPr>
          <w:rFonts w:ascii="Arial" w:hAnsi="Arial" w:cs="Arial"/>
          <w:noProof/>
          <w:sz w:val="21"/>
          <w:szCs w:val="24"/>
          <w:lang w:val="en-US" w:eastAsia="fr-FR"/>
        </w:rPr>
      </w:pPr>
      <w:r w:rsidRPr="00B433AB">
        <w:rPr>
          <w:rFonts w:ascii="Arial" w:hAnsi="Arial" w:cs="Arial"/>
          <w:noProof/>
          <w:sz w:val="21"/>
          <w:szCs w:val="24"/>
          <w:lang w:val="en-US" w:eastAsia="fr-FR"/>
        </w:rPr>
        <w:t>These tables document items referenced in Methods (“Feature engineering”, “Model architecture and selection”, and “Transparency notes”). Source of numerical values: development logs Weeks F–L and data/processed/K562_feature_manifest_v1.tsv in the public repository (GitHub / Zenodo).</w:t>
      </w:r>
    </w:p>
    <w:p w14:paraId="2FE79D7A" w14:textId="77777777" w:rsidR="0096273F" w:rsidRPr="00B433AB" w:rsidRDefault="00000000" w:rsidP="00B433AB">
      <w:pPr>
        <w:pStyle w:val="PCJSubsection"/>
        <w:rPr>
          <w:rFonts w:cs="Arial"/>
        </w:rPr>
      </w:pPr>
      <w:r w:rsidRPr="00B433AB">
        <w:rPr>
          <w:rFonts w:cs="Arial"/>
        </w:rPr>
        <w:t>Table S1. Feature audit: original specification versus implemented set (101 modeled features)</w:t>
      </w:r>
    </w:p>
    <w:p w14:paraId="639125FD" w14:textId="47E2F3B8" w:rsidR="0096273F" w:rsidRDefault="00000000" w:rsidP="00B433AB">
      <w:pPr>
        <w:spacing w:after="120"/>
        <w:jc w:val="both"/>
        <w:rPr>
          <w:rFonts w:ascii="Calibri" w:eastAsia="Calibri" w:hAnsi="Calibri" w:cs="Calibri"/>
        </w:rPr>
      </w:pPr>
      <w:r w:rsidRPr="00B433AB">
        <w:rPr>
          <w:rFonts w:ascii="Calibri" w:eastAsia="Calibri" w:hAnsi="Calibri" w:cs="Calibri"/>
          <w:lang w:val="en-US"/>
        </w:rPr>
        <w:t xml:space="preserve">The original multi-group design referred to 104 features across F1–F5. After honest accounting of ambiguities in group counts and exclusion of features that failed independent validation, 101 columns were retained for modeling. </w:t>
      </w:r>
      <w:r>
        <w:rPr>
          <w:rFonts w:ascii="Calibri" w:eastAsia="Calibri" w:hAnsi="Calibri" w:cs="Calibri"/>
        </w:rPr>
        <w:t>Summary by group:</w:t>
      </w:r>
    </w:p>
    <w:tbl>
      <w:tblPr>
        <w:tblStyle w:val="PlainTable4"/>
        <w:tblW w:w="0" w:type="auto"/>
        <w:jc w:val="center"/>
        <w:tblLook w:val="0600" w:firstRow="0" w:lastRow="0" w:firstColumn="0" w:lastColumn="0" w:noHBand="1" w:noVBand="1"/>
      </w:tblPr>
      <w:tblGrid>
        <w:gridCol w:w="1195"/>
        <w:gridCol w:w="1073"/>
        <w:gridCol w:w="1328"/>
        <w:gridCol w:w="1649"/>
        <w:gridCol w:w="3617"/>
      </w:tblGrid>
      <w:tr w:rsidR="00B433AB" w:rsidRPr="00B433AB" w14:paraId="4FDFA1B5" w14:textId="515D5FF0" w:rsidTr="00B433AB">
        <w:trPr>
          <w:jc w:val="center"/>
        </w:trPr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53869" w14:textId="1CC148AD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Feature group</w:t>
            </w:r>
          </w:p>
        </w:tc>
        <w:tc>
          <w:tcPr>
            <w:tcW w:w="10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1F9F8" w14:textId="313290AE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Proposal n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F9987" w14:textId="228F627A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Implemented (spec reading)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1A264" w14:textId="2D7C63AD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In final matrix</w:t>
            </w:r>
          </w:p>
        </w:tc>
        <w:tc>
          <w:tcPr>
            <w:tcW w:w="36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651A2" w14:textId="1808AA35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Discrepancy / notes</w:t>
            </w:r>
          </w:p>
        </w:tc>
      </w:tr>
      <w:tr w:rsidR="00B433AB" w:rsidRPr="00B433AB" w14:paraId="27F32FDF" w14:textId="6CE6665A" w:rsidTr="00B433AB">
        <w:trPr>
          <w:trHeight w:val="794"/>
          <w:jc w:val="center"/>
        </w:trPr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14:paraId="514B6C41" w14:textId="1F88E07E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F1 Sequence</w:t>
            </w:r>
          </w:p>
        </w:tc>
        <w:tc>
          <w:tcPr>
            <w:tcW w:w="1073" w:type="dxa"/>
            <w:tcBorders>
              <w:top w:val="single" w:sz="4" w:space="0" w:color="auto"/>
            </w:tcBorders>
            <w:vAlign w:val="center"/>
          </w:tcPr>
          <w:p w14:paraId="5584C8BD" w14:textId="166E3F73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24 declared</w:t>
            </w:r>
          </w:p>
        </w:tc>
        <w:tc>
          <w:tcPr>
            <w:tcW w:w="1328" w:type="dxa"/>
            <w:tcBorders>
              <w:top w:val="single" w:sz="4" w:space="0" w:color="auto"/>
            </w:tcBorders>
            <w:vAlign w:val="center"/>
          </w:tcPr>
          <w:p w14:paraId="6215CD4E" w14:textId="6A296646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6 core + PAM one-hot (13) + extras</w:t>
            </w: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14:paraId="79721095" w14:textId="6F6D2CAC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Accepted in model: 6 continuous + guide_length + 16× 3′ proxy + 13 PAM indicators</w:t>
            </w:r>
          </w:p>
        </w:tc>
        <w:tc>
          <w:tcPr>
            <w:tcW w:w="3617" w:type="dxa"/>
            <w:tcBorders>
              <w:top w:val="single" w:sz="4" w:space="0" w:color="auto"/>
            </w:tcBorders>
            <w:vAlign w:val="center"/>
          </w:tcPr>
          <w:p w14:paraId="5DF174DE" w14:textId="4A57C802" w:rsidR="00B433AB" w:rsidRPr="00B433AB" w:rsidRDefault="00B433AB" w:rsidP="00B433AB">
            <w:pPr>
              <w:pStyle w:val="PCJTable"/>
              <w:jc w:val="both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PAM context completed in Week J via genomic match (±80 bp); 1,013 guides unmatched → NaN (not coded as 0). Seed PWM unsupervised (ρ vs EEP = 0.075).</w:t>
            </w:r>
          </w:p>
        </w:tc>
      </w:tr>
      <w:tr w:rsidR="00B433AB" w:rsidRPr="00B433AB" w14:paraId="430E1AA8" w14:textId="131D5154" w:rsidTr="00B433AB">
        <w:trPr>
          <w:trHeight w:val="794"/>
          <w:jc w:val="center"/>
        </w:trPr>
        <w:tc>
          <w:tcPr>
            <w:tcW w:w="1195" w:type="dxa"/>
            <w:vAlign w:val="center"/>
          </w:tcPr>
          <w:p w14:paraId="37804EB6" w14:textId="4655770A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F2 Accessibility</w:t>
            </w:r>
          </w:p>
        </w:tc>
        <w:tc>
          <w:tcPr>
            <w:tcW w:w="1073" w:type="dxa"/>
            <w:vAlign w:val="center"/>
          </w:tcPr>
          <w:p w14:paraId="505867A5" w14:textId="2C836BFE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18 declared</w:t>
            </w:r>
          </w:p>
        </w:tc>
        <w:tc>
          <w:tcPr>
            <w:tcW w:w="1328" w:type="dxa"/>
            <w:vAlign w:val="center"/>
          </w:tcPr>
          <w:p w14:paraId="6A8D0260" w14:textId="5591DC36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18 (6 windows × mean/max/p90)</w:t>
            </w:r>
          </w:p>
        </w:tc>
        <w:tc>
          <w:tcPr>
            <w:tcW w:w="1649" w:type="dxa"/>
            <w:vAlign w:val="center"/>
          </w:tcPr>
          <w:p w14:paraId="3EA10A1F" w14:textId="1293CA9B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18 + 3 extras</w:t>
            </w:r>
          </w:p>
        </w:tc>
        <w:tc>
          <w:tcPr>
            <w:tcW w:w="3617" w:type="dxa"/>
            <w:vAlign w:val="center"/>
          </w:tcPr>
          <w:p w14:paraId="66C5AD79" w14:textId="4AD065F6" w:rsidR="00B433AB" w:rsidRPr="00B433AB" w:rsidRDefault="00B433AB" w:rsidP="00B433AB">
            <w:pPr>
              <w:pStyle w:val="PCJTable"/>
              <w:jc w:val="both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n=18 resolved by symmetric windows ±100/200/500/1k/2k/5k. Extras: DNase ±200 bp, summit overlap, distance to peak (ENCODE ENCSR868FGK, ENCSR000EKS).</w:t>
            </w:r>
          </w:p>
        </w:tc>
      </w:tr>
      <w:tr w:rsidR="00B433AB" w:rsidRPr="00B433AB" w14:paraId="79362484" w14:textId="77777777" w:rsidTr="00B433AB">
        <w:trPr>
          <w:trHeight w:val="794"/>
          <w:jc w:val="center"/>
        </w:trPr>
        <w:tc>
          <w:tcPr>
            <w:tcW w:w="1195" w:type="dxa"/>
            <w:vAlign w:val="center"/>
          </w:tcPr>
          <w:p w14:paraId="6F549DB8" w14:textId="37E47D69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F3 Histone + ChromHMM</w:t>
            </w:r>
          </w:p>
        </w:tc>
        <w:tc>
          <w:tcPr>
            <w:tcW w:w="1073" w:type="dxa"/>
            <w:vAlign w:val="center"/>
          </w:tcPr>
          <w:p w14:paraId="1C338EB6" w14:textId="53AC0653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42 declared</w:t>
            </w:r>
          </w:p>
        </w:tc>
        <w:tc>
          <w:tcPr>
            <w:tcW w:w="1328" w:type="dxa"/>
            <w:vAlign w:val="center"/>
          </w:tcPr>
          <w:p w14:paraId="00F6A121" w14:textId="097B8E8C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31 (literal text sum)</w:t>
            </w:r>
          </w:p>
        </w:tc>
        <w:tc>
          <w:tcPr>
            <w:tcW w:w="1649" w:type="dxa"/>
            <w:vAlign w:val="center"/>
          </w:tcPr>
          <w:p w14:paraId="10902DA2" w14:textId="64185604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31 + 2 missingness flags</w:t>
            </w:r>
          </w:p>
        </w:tc>
        <w:tc>
          <w:tcPr>
            <w:tcW w:w="3617" w:type="dxa"/>
            <w:vAlign w:val="center"/>
          </w:tcPr>
          <w:p w14:paraId="06334DA3" w14:textId="14A8CA65" w:rsidR="00B433AB" w:rsidRPr="00B433AB" w:rsidRDefault="00B433AB" w:rsidP="00B433AB">
            <w:pPr>
              <w:pStyle w:val="PCJTable"/>
              <w:jc w:val="both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Discrepancy unresolved: 5 marks × 3 windows × mean (15) + CTCF (1) + ChromHMM 15-state (15) = 31. Accessions corrected (see Table S3).</w:t>
            </w:r>
          </w:p>
        </w:tc>
      </w:tr>
      <w:tr w:rsidR="00B433AB" w:rsidRPr="00B433AB" w14:paraId="4A2C3134" w14:textId="77777777" w:rsidTr="00B433AB">
        <w:trPr>
          <w:trHeight w:val="794"/>
          <w:jc w:val="center"/>
        </w:trPr>
        <w:tc>
          <w:tcPr>
            <w:tcW w:w="1195" w:type="dxa"/>
            <w:vAlign w:val="center"/>
          </w:tcPr>
          <w:p w14:paraId="61D7F742" w14:textId="2A695098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F4 Hi-C / 3D</w:t>
            </w:r>
          </w:p>
        </w:tc>
        <w:tc>
          <w:tcPr>
            <w:tcW w:w="1073" w:type="dxa"/>
            <w:vAlign w:val="center"/>
          </w:tcPr>
          <w:p w14:paraId="35357D76" w14:textId="2545B122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8 declared</w:t>
            </w:r>
          </w:p>
        </w:tc>
        <w:tc>
          <w:tcPr>
            <w:tcW w:w="1328" w:type="dxa"/>
            <w:vAlign w:val="center"/>
          </w:tcPr>
          <w:p w14:paraId="601AF394" w14:textId="7DA93DFD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~5–6 from text</w:t>
            </w:r>
          </w:p>
        </w:tc>
        <w:tc>
          <w:tcPr>
            <w:tcW w:w="1649" w:type="dxa"/>
            <w:vAlign w:val="center"/>
          </w:tcPr>
          <w:p w14:paraId="04FF5B32" w14:textId="60BC0E8A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2 accepted (contact log, ≤5 kb zero-pad flag)</w:t>
            </w:r>
          </w:p>
        </w:tc>
        <w:tc>
          <w:tcPr>
            <w:tcW w:w="3617" w:type="dxa"/>
            <w:vAlign w:val="center"/>
          </w:tcPr>
          <w:p w14:paraId="535A4C41" w14:textId="2986B93F" w:rsidR="00B433AB" w:rsidRPr="00B433AB" w:rsidRDefault="00B433AB" w:rsidP="00B433AB">
            <w:pPr>
              <w:pStyle w:val="PCJTable"/>
              <w:jc w:val="both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same_TAD / loop anchors not implemented (no Peakachu/Arrowhead). A/B compartment computed but failed ATAC sanity (flagged, excluded from base model).</w:t>
            </w:r>
          </w:p>
        </w:tc>
      </w:tr>
      <w:tr w:rsidR="00B433AB" w:rsidRPr="00B433AB" w14:paraId="7019E6AE" w14:textId="77777777" w:rsidTr="00B433AB">
        <w:trPr>
          <w:trHeight w:val="794"/>
          <w:jc w:val="center"/>
        </w:trPr>
        <w:tc>
          <w:tcPr>
            <w:tcW w:w="1195" w:type="dxa"/>
            <w:vAlign w:val="center"/>
          </w:tcPr>
          <w:p w14:paraId="72EDB674" w14:textId="307D7C0E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F5 Genomic context</w:t>
            </w:r>
          </w:p>
        </w:tc>
        <w:tc>
          <w:tcPr>
            <w:tcW w:w="1073" w:type="dxa"/>
            <w:vAlign w:val="center"/>
          </w:tcPr>
          <w:p w14:paraId="247D77CE" w14:textId="590CFA94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12 declared</w:t>
            </w:r>
          </w:p>
        </w:tc>
        <w:tc>
          <w:tcPr>
            <w:tcW w:w="1328" w:type="dxa"/>
            <w:vAlign w:val="center"/>
          </w:tcPr>
          <w:p w14:paraId="7C69D075" w14:textId="61F5E345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~9–11 expanded</w:t>
            </w:r>
          </w:p>
        </w:tc>
        <w:tc>
          <w:tcPr>
            <w:tcW w:w="1649" w:type="dxa"/>
            <w:vAlign w:val="center"/>
          </w:tcPr>
          <w:p w14:paraId="026F024F" w14:textId="311CB04C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7 + 2 missingness flags</w:t>
            </w:r>
          </w:p>
        </w:tc>
        <w:tc>
          <w:tcPr>
            <w:tcW w:w="3617" w:type="dxa"/>
            <w:vAlign w:val="center"/>
          </w:tcPr>
          <w:p w14:paraId="77B83017" w14:textId="34A43278" w:rsidR="00B433AB" w:rsidRPr="00B433AB" w:rsidRDefault="00B433AB" w:rsidP="00B433AB">
            <w:pPr>
              <w:pStyle w:val="PCJTable"/>
              <w:jc w:val="both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log dist target TSS, log dist expressed TSS, 4 cCRE classes, PhyloP ±100. GERP++ and JASPAR pending.</w:t>
            </w:r>
          </w:p>
        </w:tc>
      </w:tr>
      <w:tr w:rsidR="00B433AB" w:rsidRPr="00B433AB" w14:paraId="5B1AEF2C" w14:textId="77777777" w:rsidTr="00B433AB">
        <w:trPr>
          <w:trHeight w:val="794"/>
          <w:jc w:val="center"/>
        </w:trPr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16C997FB" w14:textId="546235D3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Pipeline flags (Sec. 7.3)</w:t>
            </w:r>
          </w:p>
        </w:tc>
        <w:tc>
          <w:tcPr>
            <w:tcW w:w="1073" w:type="dxa"/>
            <w:tcBorders>
              <w:bottom w:val="single" w:sz="4" w:space="0" w:color="auto"/>
            </w:tcBorders>
            <w:vAlign w:val="center"/>
          </w:tcPr>
          <w:p w14:paraId="4ED83686" w14:textId="56B7B12C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—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57B09150" w14:textId="6014D6CC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—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14:paraId="2BC393B7" w14:textId="1A814CF1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4 binary missingness</w:t>
            </w:r>
          </w:p>
        </w:tc>
        <w:tc>
          <w:tcPr>
            <w:tcW w:w="3617" w:type="dxa"/>
            <w:tcBorders>
              <w:bottom w:val="single" w:sz="4" w:space="0" w:color="auto"/>
            </w:tcBorders>
            <w:vAlign w:val="center"/>
          </w:tcPr>
          <w:p w14:paraId="09068B4E" w14:textId="6D71848D" w:rsidR="00B433AB" w:rsidRPr="00B433AB" w:rsidRDefault="00B433AB" w:rsidP="00B433AB">
            <w:pPr>
              <w:pStyle w:val="PCJTable"/>
              <w:jc w:val="both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H3K4me3_missing, H3K27me3_missing, log_dist_target_tss_missing, phylop100_missing.</w:t>
            </w:r>
          </w:p>
        </w:tc>
      </w:tr>
    </w:tbl>
    <w:p w14:paraId="7B50C5E7" w14:textId="61D57115" w:rsidR="00B433AB" w:rsidRPr="00B433AB" w:rsidRDefault="00B433AB" w:rsidP="00B433AB">
      <w:pPr>
        <w:pStyle w:val="PCJnotetable"/>
        <w:ind w:firstLine="567"/>
        <w:rPr>
          <w:rFonts w:ascii="Arial" w:hAnsi="Arial" w:cs="Arial"/>
        </w:rPr>
      </w:pPr>
      <w:r w:rsidRPr="00B433AB">
        <w:rPr>
          <w:rFonts w:ascii="Arial" w:hAnsi="Arial" w:cs="Arial"/>
        </w:rPr>
        <w:t>Table S1 notes. “Accepted” features are those with accepted_for_modeling = True in K562_feature_manifest_v1.tsv. F4 compartment eigenvectors are present in the deposited matrix as exploratory columns but are not part of the 101-feature model. Detailed column-level inventory is in the repository manifest.</w:t>
      </w:r>
    </w:p>
    <w:p w14:paraId="2CD02097" w14:textId="77777777" w:rsidR="0096273F" w:rsidRPr="00B433AB" w:rsidRDefault="00000000" w:rsidP="00B433AB">
      <w:pPr>
        <w:pStyle w:val="PCJSubsection"/>
        <w:rPr>
          <w:rFonts w:cs="Arial"/>
        </w:rPr>
      </w:pPr>
      <w:r w:rsidRPr="00B433AB">
        <w:rPr>
          <w:rFonts w:cs="Arial"/>
        </w:rPr>
        <w:t>Table S2. Comparison of six architectures under the pre-specified four-component score S</w:t>
      </w:r>
    </w:p>
    <w:p w14:paraId="477F1407" w14:textId="77777777" w:rsidR="0096273F" w:rsidRDefault="00000000">
      <w:pPr>
        <w:spacing w:after="120"/>
        <w:rPr>
          <w:rFonts w:ascii="Calibri" w:eastAsia="Calibri" w:hAnsi="Calibri" w:cs="Calibri"/>
          <w:lang w:val="en-US"/>
        </w:rPr>
      </w:pPr>
      <w:r w:rsidRPr="00B433AB">
        <w:rPr>
          <w:rFonts w:ascii="Calibri" w:eastAsia="Calibri" w:hAnsi="Calibri" w:cs="Calibri"/>
          <w:lang w:val="en-US"/>
        </w:rPr>
        <w:t>Split: train chromosomes 1–19 + X; validation chromosome 20; test chromosomes 21/22/Y held intact. Composite score weights (pre-specified): performance S_</w:t>
      </w:r>
      <w:r>
        <w:rPr>
          <w:rFonts w:ascii="Calibri" w:eastAsia="Calibri" w:hAnsi="Calibri" w:cs="Calibri"/>
        </w:rPr>
        <w:t>ρ</w:t>
      </w:r>
      <w:r w:rsidRPr="00B433AB">
        <w:rPr>
          <w:rFonts w:ascii="Calibri" w:eastAsia="Calibri" w:hAnsi="Calibri" w:cs="Calibri"/>
          <w:lang w:val="en-US"/>
        </w:rPr>
        <w:t xml:space="preserve"> 40%, calibration S_cal 20%, interpretability S_interp 30%, stability S_stab 10%. S_interp is a categorical architecture prior (Ridge/LASSO = 1.0; XGBoost = 0.7; RF = 0.5; MLP/CNN = 0.3), not an empirical SHAP metric. *CNN stability was not computed and was set to the neutral value 0.5.</w:t>
      </w:r>
    </w:p>
    <w:tbl>
      <w:tblPr>
        <w:tblStyle w:val="PlainTable4"/>
        <w:tblW w:w="0" w:type="auto"/>
        <w:jc w:val="center"/>
        <w:tblLook w:val="0600" w:firstRow="0" w:lastRow="0" w:firstColumn="0" w:lastColumn="0" w:noHBand="1" w:noVBand="1"/>
      </w:tblPr>
      <w:tblGrid>
        <w:gridCol w:w="2127"/>
        <w:gridCol w:w="992"/>
        <w:gridCol w:w="992"/>
        <w:gridCol w:w="992"/>
        <w:gridCol w:w="851"/>
        <w:gridCol w:w="992"/>
        <w:gridCol w:w="741"/>
        <w:gridCol w:w="1308"/>
      </w:tblGrid>
      <w:tr w:rsidR="00B433AB" w:rsidRPr="00B433AB" w14:paraId="35D6A0AE" w14:textId="54C619F0" w:rsidTr="00B433AB">
        <w:trPr>
          <w:trHeight w:val="216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5A5589" w14:textId="1A2C3546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Architecture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0411C" w14:textId="1EC0A0E3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ρ_val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EAEEE" w14:textId="273DB861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Cal 90%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9BF8D" w14:textId="2833F74A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S_ρ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62498" w14:textId="376EEC35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S_cal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D67A07" w14:textId="35688419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S_interp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AD165" w14:textId="05A07A91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S_stab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DEEA5" w14:textId="788ACB17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S (composite)</w:t>
            </w:r>
          </w:p>
        </w:tc>
      </w:tr>
      <w:tr w:rsidR="00B433AB" w:rsidRPr="00B433AB" w14:paraId="64C3B975" w14:textId="3318FD58" w:rsidTr="00B433AB">
        <w:trPr>
          <w:trHeight w:val="77"/>
          <w:jc w:val="center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5DF00C4" w14:textId="6EE39A87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Ridge (primary by S)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72D129A" w14:textId="6508935B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0.335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72F8F02" w14:textId="392ACCB3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0.914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68E4399" w14:textId="09FFADB7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0.335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AC438CC" w14:textId="1B864FCF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0.985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A65D717" w14:textId="0AB08108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1.00</w:t>
            </w:r>
          </w:p>
        </w:tc>
        <w:tc>
          <w:tcPr>
            <w:tcW w:w="741" w:type="dxa"/>
            <w:tcBorders>
              <w:top w:val="single" w:sz="4" w:space="0" w:color="auto"/>
            </w:tcBorders>
            <w:vAlign w:val="center"/>
          </w:tcPr>
          <w:p w14:paraId="191581ED" w14:textId="3052D8AA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0.959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center"/>
          </w:tcPr>
          <w:p w14:paraId="60BBE4CB" w14:textId="754EB38B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0.727</w:t>
            </w:r>
          </w:p>
        </w:tc>
      </w:tr>
      <w:tr w:rsidR="00B433AB" w:rsidRPr="00B433AB" w14:paraId="340C855A" w14:textId="2345390F" w:rsidTr="00B433AB">
        <w:trPr>
          <w:trHeight w:val="87"/>
          <w:jc w:val="center"/>
        </w:trPr>
        <w:tc>
          <w:tcPr>
            <w:tcW w:w="2127" w:type="dxa"/>
            <w:vAlign w:val="center"/>
          </w:tcPr>
          <w:p w14:paraId="43AEA50E" w14:textId="3ADE962D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LASSO</w:t>
            </w:r>
          </w:p>
        </w:tc>
        <w:tc>
          <w:tcPr>
            <w:tcW w:w="992" w:type="dxa"/>
            <w:vAlign w:val="center"/>
          </w:tcPr>
          <w:p w14:paraId="1DFEE4FA" w14:textId="4FCB720D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0.327</w:t>
            </w:r>
          </w:p>
        </w:tc>
        <w:tc>
          <w:tcPr>
            <w:tcW w:w="992" w:type="dxa"/>
            <w:vAlign w:val="center"/>
          </w:tcPr>
          <w:p w14:paraId="56A30AF5" w14:textId="0A0A1FFB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0.907</w:t>
            </w:r>
          </w:p>
        </w:tc>
        <w:tc>
          <w:tcPr>
            <w:tcW w:w="992" w:type="dxa"/>
            <w:vAlign w:val="center"/>
          </w:tcPr>
          <w:p w14:paraId="47E8456D" w14:textId="6E2B82B2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0.327</w:t>
            </w:r>
          </w:p>
        </w:tc>
        <w:tc>
          <w:tcPr>
            <w:tcW w:w="851" w:type="dxa"/>
            <w:vAlign w:val="center"/>
          </w:tcPr>
          <w:p w14:paraId="34BC3A12" w14:textId="78095290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0.992</w:t>
            </w:r>
          </w:p>
        </w:tc>
        <w:tc>
          <w:tcPr>
            <w:tcW w:w="992" w:type="dxa"/>
            <w:vAlign w:val="center"/>
          </w:tcPr>
          <w:p w14:paraId="7FE72497" w14:textId="18B160D7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1.00</w:t>
            </w:r>
          </w:p>
        </w:tc>
        <w:tc>
          <w:tcPr>
            <w:tcW w:w="741" w:type="dxa"/>
            <w:vAlign w:val="center"/>
          </w:tcPr>
          <w:p w14:paraId="76D02779" w14:textId="67DCDBC3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0.944</w:t>
            </w:r>
          </w:p>
        </w:tc>
        <w:tc>
          <w:tcPr>
            <w:tcW w:w="1308" w:type="dxa"/>
            <w:vAlign w:val="center"/>
          </w:tcPr>
          <w:p w14:paraId="31AAAAD9" w14:textId="1EE7C8DE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0.724</w:t>
            </w:r>
          </w:p>
        </w:tc>
      </w:tr>
      <w:tr w:rsidR="00B433AB" w:rsidRPr="00B433AB" w14:paraId="01127C01" w14:textId="7B691BB9" w:rsidTr="00B433AB">
        <w:trPr>
          <w:trHeight w:val="87"/>
          <w:jc w:val="center"/>
        </w:trPr>
        <w:tc>
          <w:tcPr>
            <w:tcW w:w="2127" w:type="dxa"/>
            <w:vAlign w:val="center"/>
          </w:tcPr>
          <w:p w14:paraId="5F64AC1A" w14:textId="6CBC494E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XGBoost</w:t>
            </w:r>
          </w:p>
        </w:tc>
        <w:tc>
          <w:tcPr>
            <w:tcW w:w="992" w:type="dxa"/>
            <w:vAlign w:val="center"/>
          </w:tcPr>
          <w:p w14:paraId="342B5C8E" w14:textId="74D44DCF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0.403</w:t>
            </w:r>
          </w:p>
        </w:tc>
        <w:tc>
          <w:tcPr>
            <w:tcW w:w="992" w:type="dxa"/>
            <w:vAlign w:val="center"/>
          </w:tcPr>
          <w:p w14:paraId="7E8A77C4" w14:textId="6CE02D0F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0.881</w:t>
            </w:r>
          </w:p>
        </w:tc>
        <w:tc>
          <w:tcPr>
            <w:tcW w:w="992" w:type="dxa"/>
            <w:vAlign w:val="center"/>
          </w:tcPr>
          <w:p w14:paraId="2121A5A6" w14:textId="3E97666B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0.403</w:t>
            </w:r>
          </w:p>
        </w:tc>
        <w:tc>
          <w:tcPr>
            <w:tcW w:w="851" w:type="dxa"/>
            <w:vAlign w:val="center"/>
          </w:tcPr>
          <w:p w14:paraId="22DC8622" w14:textId="4439BDF6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0.979</w:t>
            </w:r>
          </w:p>
        </w:tc>
        <w:tc>
          <w:tcPr>
            <w:tcW w:w="992" w:type="dxa"/>
            <w:vAlign w:val="center"/>
          </w:tcPr>
          <w:p w14:paraId="2C273287" w14:textId="76395976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0.70</w:t>
            </w:r>
          </w:p>
        </w:tc>
        <w:tc>
          <w:tcPr>
            <w:tcW w:w="741" w:type="dxa"/>
            <w:vAlign w:val="center"/>
          </w:tcPr>
          <w:p w14:paraId="23EFCC56" w14:textId="1129EE91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0.949</w:t>
            </w:r>
          </w:p>
        </w:tc>
        <w:tc>
          <w:tcPr>
            <w:tcW w:w="1308" w:type="dxa"/>
            <w:vAlign w:val="center"/>
          </w:tcPr>
          <w:p w14:paraId="0A5980B2" w14:textId="10B1FD55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0.662</w:t>
            </w:r>
          </w:p>
        </w:tc>
      </w:tr>
      <w:tr w:rsidR="00B433AB" w:rsidRPr="00B433AB" w14:paraId="6EB6E173" w14:textId="26AAE324" w:rsidTr="00B433AB">
        <w:trPr>
          <w:trHeight w:val="124"/>
          <w:jc w:val="center"/>
        </w:trPr>
        <w:tc>
          <w:tcPr>
            <w:tcW w:w="2127" w:type="dxa"/>
            <w:vAlign w:val="center"/>
          </w:tcPr>
          <w:p w14:paraId="3D2BE7F0" w14:textId="7F7575C1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Random Forest</w:t>
            </w:r>
          </w:p>
        </w:tc>
        <w:tc>
          <w:tcPr>
            <w:tcW w:w="992" w:type="dxa"/>
            <w:vAlign w:val="center"/>
          </w:tcPr>
          <w:p w14:paraId="586DB728" w14:textId="47D5EF85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0.371</w:t>
            </w:r>
          </w:p>
        </w:tc>
        <w:tc>
          <w:tcPr>
            <w:tcW w:w="992" w:type="dxa"/>
            <w:vAlign w:val="center"/>
          </w:tcPr>
          <w:p w14:paraId="04185E17" w14:textId="7E1133F3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0.814</w:t>
            </w:r>
          </w:p>
        </w:tc>
        <w:tc>
          <w:tcPr>
            <w:tcW w:w="992" w:type="dxa"/>
            <w:vAlign w:val="center"/>
          </w:tcPr>
          <w:p w14:paraId="35DE42B1" w14:textId="0AEBA4F9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0.371</w:t>
            </w:r>
          </w:p>
        </w:tc>
        <w:tc>
          <w:tcPr>
            <w:tcW w:w="851" w:type="dxa"/>
            <w:vAlign w:val="center"/>
          </w:tcPr>
          <w:p w14:paraId="2AB14BD5" w14:textId="4E4D4FDC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0.904</w:t>
            </w:r>
          </w:p>
        </w:tc>
        <w:tc>
          <w:tcPr>
            <w:tcW w:w="992" w:type="dxa"/>
            <w:vAlign w:val="center"/>
          </w:tcPr>
          <w:p w14:paraId="48009418" w14:textId="06FD8E0E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0.50</w:t>
            </w:r>
          </w:p>
        </w:tc>
        <w:tc>
          <w:tcPr>
            <w:tcW w:w="741" w:type="dxa"/>
            <w:vAlign w:val="center"/>
          </w:tcPr>
          <w:p w14:paraId="36589A79" w14:textId="483F6E7A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0.936</w:t>
            </w:r>
          </w:p>
        </w:tc>
        <w:tc>
          <w:tcPr>
            <w:tcW w:w="1308" w:type="dxa"/>
            <w:vAlign w:val="center"/>
          </w:tcPr>
          <w:p w14:paraId="04D89195" w14:textId="447E0B6C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0.573</w:t>
            </w:r>
          </w:p>
        </w:tc>
      </w:tr>
      <w:tr w:rsidR="00B433AB" w:rsidRPr="00B433AB" w14:paraId="7B29A8FC" w14:textId="0355A8C5" w:rsidTr="00B433AB">
        <w:trPr>
          <w:trHeight w:val="149"/>
          <w:jc w:val="center"/>
        </w:trPr>
        <w:tc>
          <w:tcPr>
            <w:tcW w:w="2127" w:type="dxa"/>
            <w:vAlign w:val="center"/>
          </w:tcPr>
          <w:p w14:paraId="78F3E605" w14:textId="4D8078A7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MLP (BN + Dropout 0.3)</w:t>
            </w:r>
          </w:p>
        </w:tc>
        <w:tc>
          <w:tcPr>
            <w:tcW w:w="992" w:type="dxa"/>
            <w:vAlign w:val="center"/>
          </w:tcPr>
          <w:p w14:paraId="3FCC47BA" w14:textId="51CF8271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0.365</w:t>
            </w:r>
          </w:p>
        </w:tc>
        <w:tc>
          <w:tcPr>
            <w:tcW w:w="992" w:type="dxa"/>
            <w:vAlign w:val="center"/>
          </w:tcPr>
          <w:p w14:paraId="1AE8726E" w14:textId="4D4A19FE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0.853</w:t>
            </w:r>
          </w:p>
        </w:tc>
        <w:tc>
          <w:tcPr>
            <w:tcW w:w="992" w:type="dxa"/>
            <w:vAlign w:val="center"/>
          </w:tcPr>
          <w:p w14:paraId="627AA0DA" w14:textId="154AF495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0.365</w:t>
            </w:r>
          </w:p>
        </w:tc>
        <w:tc>
          <w:tcPr>
            <w:tcW w:w="851" w:type="dxa"/>
            <w:vAlign w:val="center"/>
          </w:tcPr>
          <w:p w14:paraId="1579C28F" w14:textId="4489039C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0.947</w:t>
            </w:r>
          </w:p>
        </w:tc>
        <w:tc>
          <w:tcPr>
            <w:tcW w:w="992" w:type="dxa"/>
            <w:vAlign w:val="center"/>
          </w:tcPr>
          <w:p w14:paraId="4069F885" w14:textId="575C4C6A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0.30</w:t>
            </w:r>
          </w:p>
        </w:tc>
        <w:tc>
          <w:tcPr>
            <w:tcW w:w="741" w:type="dxa"/>
            <w:vAlign w:val="center"/>
          </w:tcPr>
          <w:p w14:paraId="062308A0" w14:textId="0AEC690F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0.951</w:t>
            </w:r>
          </w:p>
        </w:tc>
        <w:tc>
          <w:tcPr>
            <w:tcW w:w="1308" w:type="dxa"/>
            <w:vAlign w:val="center"/>
          </w:tcPr>
          <w:p w14:paraId="0838446B" w14:textId="2A87232A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0.520</w:t>
            </w:r>
          </w:p>
        </w:tc>
      </w:tr>
      <w:tr w:rsidR="00B433AB" w:rsidRPr="00B433AB" w14:paraId="29197938" w14:textId="71A56ED8" w:rsidTr="00B433AB">
        <w:trPr>
          <w:trHeight w:val="203"/>
          <w:jc w:val="center"/>
        </w:trPr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844BEDE" w14:textId="0EA55A8F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CNN (seq ±10 nt flanks)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05AECBD" w14:textId="419D6389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0.259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B39014D" w14:textId="7EC1656D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0.891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4F3BD5D" w14:textId="7750BE6D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0.259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5B4832E" w14:textId="583CE5E9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0.990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CDFDA38" w14:textId="334D055F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0.30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vAlign w:val="center"/>
          </w:tcPr>
          <w:p w14:paraId="11E11A39" w14:textId="2CD3CC4E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0.50*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vAlign w:val="center"/>
          </w:tcPr>
          <w:p w14:paraId="729A5A96" w14:textId="5451880E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0.441</w:t>
            </w:r>
          </w:p>
        </w:tc>
      </w:tr>
    </w:tbl>
    <w:p w14:paraId="069949D7" w14:textId="2CD97075" w:rsidR="00B433AB" w:rsidRPr="00B433AB" w:rsidRDefault="00B433AB" w:rsidP="00B433AB">
      <w:pPr>
        <w:pStyle w:val="PCJnotetable"/>
        <w:ind w:firstLine="567"/>
        <w:rPr>
          <w:rFonts w:ascii="Arial" w:hAnsi="Arial" w:cs="Arial"/>
        </w:rPr>
      </w:pPr>
      <w:r w:rsidRPr="00B433AB">
        <w:rPr>
          <w:rFonts w:ascii="Arial" w:hAnsi="Arial" w:cs="Arial"/>
        </w:rPr>
        <w:t>Table S</w:t>
      </w:r>
      <w:r>
        <w:rPr>
          <w:rFonts w:ascii="Arial" w:hAnsi="Arial" w:cs="Arial"/>
        </w:rPr>
        <w:t>2</w:t>
      </w:r>
      <w:r w:rsidRPr="00B433AB">
        <w:rPr>
          <w:rFonts w:ascii="Arial" w:hAnsi="Arial" w:cs="Arial"/>
        </w:rPr>
        <w:t xml:space="preserve"> notes. Primary by composite S: Ridge (S = 0.727). Highest raw validation Spearman ρ: XGBoost (ρ_val = 0.403). All subsequent LOCO, ablation, SHAP, transfer, and benchmarking analyses used XGBoost for TreeSHAP compatibility, as stated in Methods; Table S2 reports the full pre-specified protocol without post-hoc re-ranking.</w:t>
      </w:r>
    </w:p>
    <w:p w14:paraId="09FE020E" w14:textId="41B274DA" w:rsidR="00B433AB" w:rsidRDefault="00B433AB" w:rsidP="00B433AB">
      <w:pPr>
        <w:pStyle w:val="PCJnotetable"/>
        <w:ind w:firstLine="567"/>
        <w:rPr>
          <w:rFonts w:ascii="Arial" w:hAnsi="Arial" w:cs="Arial"/>
        </w:rPr>
      </w:pPr>
      <w:r w:rsidRPr="00B433AB">
        <w:rPr>
          <w:rFonts w:ascii="Arial" w:hAnsi="Arial" w:cs="Arial"/>
        </w:rPr>
        <w:t>Implementation notes (Week L re-closure): XGBoost Optuna 100 trials; MLP with batch normalization and Dropout 0.3 (PyTorch); CNN on one-hot guide sequence with ±10 nt flanks (pad length 42), not on the tabular 101-feature matrix. LASSO stability used 20 bootstrap replicates (not 100).</w:t>
      </w:r>
    </w:p>
    <w:p w14:paraId="53D6E9D5" w14:textId="77777777" w:rsidR="00B433AB" w:rsidRPr="00B433AB" w:rsidRDefault="00B433AB" w:rsidP="00B433AB">
      <w:pPr>
        <w:rPr>
          <w:lang w:val="en-US" w:eastAsia="en-US"/>
        </w:rPr>
      </w:pPr>
    </w:p>
    <w:p w14:paraId="760504BE" w14:textId="77777777" w:rsidR="00B433AB" w:rsidRPr="00B433AB" w:rsidRDefault="00B433AB" w:rsidP="00B433AB">
      <w:pPr>
        <w:rPr>
          <w:lang w:val="en-US" w:eastAsia="en-US"/>
        </w:rPr>
      </w:pPr>
    </w:p>
    <w:p w14:paraId="7AE99CD9" w14:textId="77777777" w:rsidR="00B433AB" w:rsidRPr="00B433AB" w:rsidRDefault="00B433AB" w:rsidP="00B433AB">
      <w:pPr>
        <w:jc w:val="center"/>
        <w:rPr>
          <w:lang w:val="en-US" w:eastAsia="en-US"/>
        </w:rPr>
      </w:pPr>
    </w:p>
    <w:p w14:paraId="4D46C386" w14:textId="77777777" w:rsidR="0096273F" w:rsidRPr="00B433AB" w:rsidRDefault="00000000" w:rsidP="00B433AB">
      <w:pPr>
        <w:pStyle w:val="PCJSubsection"/>
        <w:rPr>
          <w:rFonts w:cs="Arial"/>
        </w:rPr>
      </w:pPr>
      <w:r w:rsidRPr="00B433AB">
        <w:rPr>
          <w:rFonts w:cs="Arial"/>
        </w:rPr>
        <w:t>Table S3. ENCODE accession corrections for histone / CTCF tracks</w:t>
      </w:r>
    </w:p>
    <w:p w14:paraId="2EC7D481" w14:textId="77777777" w:rsidR="0096273F" w:rsidRDefault="00000000" w:rsidP="00B433AB">
      <w:pPr>
        <w:spacing w:after="120"/>
        <w:jc w:val="both"/>
        <w:rPr>
          <w:rFonts w:ascii="Calibri" w:eastAsia="Calibri" w:hAnsi="Calibri" w:cs="Calibri"/>
        </w:rPr>
      </w:pPr>
      <w:r w:rsidRPr="00B433AB">
        <w:rPr>
          <w:rFonts w:ascii="Calibri" w:eastAsia="Calibri" w:hAnsi="Calibri" w:cs="Calibri"/>
          <w:lang w:val="en-US"/>
        </w:rPr>
        <w:t xml:space="preserve">During implementation, two accessions listed in the original feature specification did not match the intended assays when checked against ENCODE experiment metadata (JSON). </w:t>
      </w:r>
      <w:r>
        <w:rPr>
          <w:rFonts w:ascii="Calibri" w:eastAsia="Calibri" w:hAnsi="Calibri" w:cs="Calibri"/>
        </w:rPr>
        <w:t>Corrected tracks used for all reported models:</w:t>
      </w:r>
    </w:p>
    <w:tbl>
      <w:tblPr>
        <w:tblStyle w:val="PlainTable4"/>
        <w:tblW w:w="0" w:type="auto"/>
        <w:jc w:val="center"/>
        <w:tblLook w:val="0600" w:firstRow="0" w:lastRow="0" w:firstColumn="0" w:lastColumn="0" w:noHBand="1" w:noVBand="1"/>
      </w:tblPr>
      <w:tblGrid>
        <w:gridCol w:w="1418"/>
        <w:gridCol w:w="1984"/>
        <w:gridCol w:w="2127"/>
        <w:gridCol w:w="3260"/>
      </w:tblGrid>
      <w:tr w:rsidR="00B433AB" w:rsidRPr="00B433AB" w14:paraId="1CF741C1" w14:textId="77777777" w:rsidTr="00B433AB">
        <w:trPr>
          <w:trHeight w:val="216"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FABDD" w14:textId="02D29FEA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Intended track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0F495" w14:textId="6850E8DE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Proposal accession (incorrect)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3D3EA" w14:textId="12D42507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Corrected accession / file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5A568" w14:textId="7CECEFCC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Verification</w:t>
            </w:r>
          </w:p>
        </w:tc>
      </w:tr>
      <w:tr w:rsidR="00B433AB" w:rsidRPr="00B433AB" w14:paraId="0D8BFE18" w14:textId="77777777" w:rsidTr="00B433AB">
        <w:trPr>
          <w:trHeight w:val="77"/>
          <w:jc w:val="center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FD37ED3" w14:textId="453BBE00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H3K4me1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FB54815" w14:textId="0E5082E5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ENCSR000DWA (Control ChIP-seq K562)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789B28E3" w14:textId="23110021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ENCSR000EWC → ENCFF761XBZ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737C95CE" w14:textId="2644620C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Verified via ENCODE experiment JSON metadata</w:t>
            </w:r>
          </w:p>
        </w:tc>
      </w:tr>
      <w:tr w:rsidR="00B433AB" w:rsidRPr="00B433AB" w14:paraId="4A5978ED" w14:textId="77777777" w:rsidTr="00B433AB">
        <w:trPr>
          <w:trHeight w:val="203"/>
          <w:jc w:val="center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4E84F83" w14:textId="41216131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  <w:b/>
                <w:bCs/>
              </w:rPr>
            </w:pPr>
            <w:r w:rsidRPr="00B433AB">
              <w:rPr>
                <w:rFonts w:ascii="Arial" w:hAnsi="Arial" w:cs="Arial"/>
                <w:b/>
                <w:bCs/>
              </w:rPr>
              <w:t>CTCF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F3F12C8" w14:textId="1842B35D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ENCSR000AKR (H3K36me3 ChIP-seq K562)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1C0535B" w14:textId="41FCA12C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ENCSR000AKO → ENCFF979PWH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6A4A9596" w14:textId="456AC420" w:rsidR="00B433AB" w:rsidRPr="00B433AB" w:rsidRDefault="00B433AB" w:rsidP="00B433AB">
            <w:pPr>
              <w:pStyle w:val="PCJTable"/>
              <w:jc w:val="center"/>
              <w:rPr>
                <w:rFonts w:ascii="Arial" w:hAnsi="Arial" w:cs="Arial"/>
              </w:rPr>
            </w:pPr>
            <w:r w:rsidRPr="00B433AB">
              <w:rPr>
                <w:rFonts w:ascii="Arial" w:hAnsi="Arial" w:cs="Arial"/>
              </w:rPr>
              <w:t>Verified via ENCODE experiment JSON metadata</w:t>
            </w:r>
          </w:p>
        </w:tc>
      </w:tr>
    </w:tbl>
    <w:p w14:paraId="72246F4A" w14:textId="78D6EC33" w:rsidR="00B433AB" w:rsidRPr="00B433AB" w:rsidRDefault="00B433AB" w:rsidP="00B433AB">
      <w:pPr>
        <w:pStyle w:val="PCJnotetable"/>
        <w:ind w:firstLine="567"/>
        <w:rPr>
          <w:rFonts w:ascii="Arial" w:hAnsi="Arial" w:cs="Arial"/>
        </w:rPr>
      </w:pPr>
      <w:r w:rsidRPr="00B433AB">
        <w:rPr>
          <w:rFonts w:ascii="Arial" w:hAnsi="Arial" w:cs="Arial"/>
        </w:rPr>
        <w:t>Table S</w:t>
      </w:r>
      <w:r>
        <w:rPr>
          <w:rFonts w:ascii="Arial" w:hAnsi="Arial" w:cs="Arial"/>
        </w:rPr>
        <w:t>3</w:t>
      </w:r>
      <w:r w:rsidRPr="00B433AB">
        <w:rPr>
          <w:rFonts w:ascii="Arial" w:hAnsi="Arial" w:cs="Arial"/>
        </w:rPr>
        <w:t xml:space="preserve"> notes. Other K562 tracks used as specified: ATAC ENCSR868FGK (ENCFF019IPA); DNase ENCSR000EKS (ENCFF452XDU); H3K27ac ENCSR000AKP; H3K4me3 ENCSR000AKQ; H3K27me3 ENCSR000AKS; H3K9me3 ENCSR000DWD; ChromHMM ENCSR365YNI; Hi-C 4DN 4DNFITUOMFUQ.</w:t>
      </w:r>
    </w:p>
    <w:p w14:paraId="2402D555" w14:textId="77777777" w:rsidR="0096273F" w:rsidRDefault="00000000" w:rsidP="00B433AB">
      <w:pPr>
        <w:pStyle w:val="PCJSubsection"/>
        <w:rPr>
          <w:rFonts w:cs="Arial"/>
        </w:rPr>
      </w:pPr>
      <w:r w:rsidRPr="00B433AB">
        <w:rPr>
          <w:rFonts w:cs="Arial"/>
        </w:rPr>
        <w:t>Additional notes referenced from the main text</w:t>
      </w:r>
    </w:p>
    <w:p w14:paraId="1BBEE19E" w14:textId="77777777" w:rsidR="0096273F" w:rsidRPr="00B433AB" w:rsidRDefault="00000000" w:rsidP="00B433AB">
      <w:pPr>
        <w:pStyle w:val="PCJSub-subsection"/>
        <w:rPr>
          <w:rFonts w:cs="Arial"/>
          <w:lang w:val="fr-FR"/>
        </w:rPr>
      </w:pPr>
      <w:r w:rsidRPr="00B433AB">
        <w:rPr>
          <w:rFonts w:cs="Arial"/>
          <w:lang w:val="fr-FR"/>
        </w:rPr>
        <w:t>External dataset exclusion (Replogle et al. 2022)</w:t>
      </w:r>
    </w:p>
    <w:p w14:paraId="04E225AC" w14:textId="77777777" w:rsidR="0096273F" w:rsidRPr="00B433AB" w:rsidRDefault="00000000" w:rsidP="00B433AB">
      <w:pPr>
        <w:spacing w:after="120"/>
        <w:jc w:val="both"/>
        <w:rPr>
          <w:lang w:val="en-US"/>
        </w:rPr>
      </w:pPr>
      <w:r w:rsidRPr="00B433AB">
        <w:rPr>
          <w:rFonts w:ascii="Calibri" w:eastAsia="Calibri" w:hAnsi="Calibri" w:cs="Calibri"/>
          <w:lang w:val="en-US"/>
        </w:rPr>
        <w:t>Replogle genome-scale Perturb-seq was assessed for training inclusion. Public supplementary materials provide the guide-design library only; guide-level efficacy tables of manageable size were not identified within the search window defined for Week C. Full count objects (~97–160 GB) were not downloaded. The dataset remains excluded with this justification; see logs/development_history/weekC_replogle_integration.md.</w:t>
      </w:r>
    </w:p>
    <w:p w14:paraId="72CBDE98" w14:textId="77777777" w:rsidR="0096273F" w:rsidRPr="00B433AB" w:rsidRDefault="00000000" w:rsidP="00B433AB">
      <w:pPr>
        <w:pStyle w:val="PCJSub-subsection"/>
        <w:rPr>
          <w:rFonts w:cs="Arial"/>
          <w:lang w:val="fr-FR"/>
        </w:rPr>
      </w:pPr>
      <w:r w:rsidRPr="00B433AB">
        <w:rPr>
          <w:rFonts w:cs="Arial"/>
          <w:lang w:val="fr-FR"/>
        </w:rPr>
        <w:t>Benchmarking tools not completed</w:t>
      </w:r>
    </w:p>
    <w:p w14:paraId="12276662" w14:textId="77777777" w:rsidR="0096273F" w:rsidRPr="00B433AB" w:rsidRDefault="00000000" w:rsidP="00B433AB">
      <w:pPr>
        <w:spacing w:after="120"/>
        <w:jc w:val="both"/>
        <w:rPr>
          <w:lang w:val="en-US"/>
        </w:rPr>
      </w:pPr>
      <w:r w:rsidRPr="00B433AB">
        <w:rPr>
          <w:rFonts w:ascii="Calibri" w:eastAsia="Calibri" w:hAnsi="Calibri" w:cs="Calibri"/>
          <w:lang w:val="en-US"/>
        </w:rPr>
        <w:t>Direct comparison to CRISPOR-native Rule Set 2 and DeepCRISPR was attempted but not completed for infrastructure reasons (environment / tool packaging), not for lack of evaluation design. Rule Set 3 (Azimuth lineage) and distance-to-TSS baselines are reported in main-text Table 1.</w:t>
      </w:r>
    </w:p>
    <w:p w14:paraId="0C8F6624" w14:textId="77777777" w:rsidR="0096273F" w:rsidRPr="00B433AB" w:rsidRDefault="00000000" w:rsidP="00B433AB">
      <w:pPr>
        <w:pStyle w:val="PCJSub-subsection"/>
        <w:rPr>
          <w:rFonts w:cs="Arial"/>
          <w:lang w:val="fr-FR"/>
        </w:rPr>
      </w:pPr>
      <w:r w:rsidRPr="00B433AB">
        <w:rPr>
          <w:rFonts w:cs="Arial"/>
          <w:lang w:val="fr-FR"/>
        </w:rPr>
        <w:t>Data deposition</w:t>
      </w:r>
    </w:p>
    <w:p w14:paraId="744E30D1" w14:textId="77777777" w:rsidR="0096273F" w:rsidRPr="00B433AB" w:rsidRDefault="00000000" w:rsidP="00B433AB">
      <w:pPr>
        <w:spacing w:after="200"/>
        <w:jc w:val="both"/>
        <w:rPr>
          <w:lang w:val="en-US"/>
        </w:rPr>
      </w:pPr>
      <w:r w:rsidRPr="00B433AB">
        <w:rPr>
          <w:rFonts w:ascii="Calibri" w:eastAsia="Calibri" w:hAnsi="Calibri" w:cs="Calibri"/>
          <w:lang w:val="en-US"/>
        </w:rPr>
        <w:t>Derived training matrix, feature manifest, models, results tables, and development logs are deposited with the code repository and Zenodo archive corresponding to release v0.1.0. Third-party raw ENCODE bigWigs, Hi-C, and screen Excel files are not redistributed; accessions are listed in data/README.md.</w:t>
      </w:r>
    </w:p>
    <w:p w14:paraId="76B3B58A" w14:textId="77777777" w:rsidR="0096273F" w:rsidRPr="00B433AB" w:rsidRDefault="00000000">
      <w:pPr>
        <w:rPr>
          <w:rFonts w:ascii="Arial" w:hAnsi="Arial" w:cs="Arial"/>
          <w:sz w:val="21"/>
          <w:szCs w:val="21"/>
        </w:rPr>
      </w:pPr>
      <w:r w:rsidRPr="00B433AB">
        <w:rPr>
          <w:rFonts w:ascii="Arial" w:eastAsia="Calibri" w:hAnsi="Arial" w:cs="Arial"/>
          <w:b/>
          <w:bCs/>
          <w:sz w:val="21"/>
          <w:szCs w:val="21"/>
        </w:rPr>
        <w:t>End of Supplementary Materials.</w:t>
      </w:r>
    </w:p>
    <w:sectPr w:rsidR="0096273F" w:rsidRPr="00B433AB">
      <w:footerReference w:type="default" r:id="rId7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88B37" w14:textId="77777777" w:rsidR="00673B64" w:rsidRDefault="00673B64">
      <w:r>
        <w:separator/>
      </w:r>
    </w:p>
  </w:endnote>
  <w:endnote w:type="continuationSeparator" w:id="0">
    <w:p w14:paraId="3F2A33FE" w14:textId="77777777" w:rsidR="00673B64" w:rsidRDefault="00673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(Corps)">
    <w:altName w:val="Calibri"/>
    <w:panose1 w:val="00000000000000000000"/>
    <w:charset w:val="00"/>
    <w:family w:val="roman"/>
    <w:notTrueType/>
    <w:pitch w:val="default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50819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12DAC9" w14:textId="7DD0B76C" w:rsidR="00B433AB" w:rsidRDefault="00B433A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E50ACA" w14:textId="5928F383" w:rsidR="0096273F" w:rsidRDefault="0096273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D07A0" w14:textId="77777777" w:rsidR="00673B64" w:rsidRDefault="00673B64">
      <w:r>
        <w:separator/>
      </w:r>
    </w:p>
  </w:footnote>
  <w:footnote w:type="continuationSeparator" w:id="0">
    <w:p w14:paraId="7CC5D1E7" w14:textId="77777777" w:rsidR="00673B64" w:rsidRDefault="00673B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C6959"/>
    <w:multiLevelType w:val="hybridMultilevel"/>
    <w:tmpl w:val="B58AFBE4"/>
    <w:lvl w:ilvl="0" w:tplc="1920663E">
      <w:start w:val="1"/>
      <w:numFmt w:val="bullet"/>
      <w:lvlText w:val="●"/>
      <w:lvlJc w:val="left"/>
      <w:pPr>
        <w:ind w:left="720" w:hanging="360"/>
      </w:pPr>
    </w:lvl>
    <w:lvl w:ilvl="1" w:tplc="B49EC08A">
      <w:start w:val="1"/>
      <w:numFmt w:val="bullet"/>
      <w:lvlText w:val="○"/>
      <w:lvlJc w:val="left"/>
      <w:pPr>
        <w:ind w:left="1440" w:hanging="360"/>
      </w:pPr>
    </w:lvl>
    <w:lvl w:ilvl="2" w:tplc="F0EC4D54">
      <w:start w:val="1"/>
      <w:numFmt w:val="bullet"/>
      <w:lvlText w:val="■"/>
      <w:lvlJc w:val="left"/>
      <w:pPr>
        <w:ind w:left="2160" w:hanging="360"/>
      </w:pPr>
    </w:lvl>
    <w:lvl w:ilvl="3" w:tplc="EDE04D18">
      <w:start w:val="1"/>
      <w:numFmt w:val="bullet"/>
      <w:lvlText w:val="●"/>
      <w:lvlJc w:val="left"/>
      <w:pPr>
        <w:ind w:left="2880" w:hanging="360"/>
      </w:pPr>
    </w:lvl>
    <w:lvl w:ilvl="4" w:tplc="1D66458E">
      <w:start w:val="1"/>
      <w:numFmt w:val="bullet"/>
      <w:lvlText w:val="○"/>
      <w:lvlJc w:val="left"/>
      <w:pPr>
        <w:ind w:left="3600" w:hanging="360"/>
      </w:pPr>
    </w:lvl>
    <w:lvl w:ilvl="5" w:tplc="E920FB94">
      <w:start w:val="1"/>
      <w:numFmt w:val="bullet"/>
      <w:lvlText w:val="■"/>
      <w:lvlJc w:val="left"/>
      <w:pPr>
        <w:ind w:left="4320" w:hanging="360"/>
      </w:pPr>
    </w:lvl>
    <w:lvl w:ilvl="6" w:tplc="1F6E0B5C">
      <w:start w:val="1"/>
      <w:numFmt w:val="bullet"/>
      <w:lvlText w:val="●"/>
      <w:lvlJc w:val="left"/>
      <w:pPr>
        <w:ind w:left="5040" w:hanging="360"/>
      </w:pPr>
    </w:lvl>
    <w:lvl w:ilvl="7" w:tplc="4B88F468">
      <w:start w:val="1"/>
      <w:numFmt w:val="bullet"/>
      <w:lvlText w:val="●"/>
      <w:lvlJc w:val="left"/>
      <w:pPr>
        <w:ind w:left="5760" w:hanging="360"/>
      </w:pPr>
    </w:lvl>
    <w:lvl w:ilvl="8" w:tplc="03E6D016">
      <w:start w:val="1"/>
      <w:numFmt w:val="bullet"/>
      <w:lvlText w:val="●"/>
      <w:lvlJc w:val="left"/>
      <w:pPr>
        <w:ind w:left="6480" w:hanging="360"/>
      </w:pPr>
    </w:lvl>
  </w:abstractNum>
  <w:num w:numId="1" w16cid:durableId="277970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F"/>
    <w:rsid w:val="003C7DB4"/>
    <w:rsid w:val="00447595"/>
    <w:rsid w:val="00673B64"/>
    <w:rsid w:val="0096273F"/>
    <w:rsid w:val="00B4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A8B23"/>
  <w15:docId w15:val="{A50D8C7E-B1C1-4B97-B442-366624E2A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3AB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433AB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3AB"/>
  </w:style>
  <w:style w:type="paragraph" w:styleId="Footer">
    <w:name w:val="footer"/>
    <w:basedOn w:val="Normal"/>
    <w:link w:val="FooterChar"/>
    <w:uiPriority w:val="99"/>
    <w:unhideWhenUsed/>
    <w:rsid w:val="00B433AB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3AB"/>
  </w:style>
  <w:style w:type="character" w:styleId="SubtleEmphasis">
    <w:name w:val="Subtle Emphasis"/>
    <w:basedOn w:val="DefaultParagraphFont"/>
    <w:uiPriority w:val="19"/>
    <w:qFormat/>
    <w:rsid w:val="00B433AB"/>
    <w:rPr>
      <w:i/>
      <w:iCs/>
      <w:color w:val="404040" w:themeColor="text1" w:themeTint="BF"/>
    </w:rPr>
  </w:style>
  <w:style w:type="paragraph" w:customStyle="1" w:styleId="PCJSection">
    <w:name w:val="PCJ Section"/>
    <w:next w:val="Normal"/>
    <w:qFormat/>
    <w:rsid w:val="00B433AB"/>
    <w:pPr>
      <w:keepNext/>
      <w:spacing w:before="240" w:after="240"/>
      <w:jc w:val="center"/>
    </w:pPr>
    <w:rPr>
      <w:rFonts w:ascii="Arial" w:eastAsiaTheme="minorHAnsi" w:hAnsi="Arial" w:cstheme="minorBidi"/>
      <w:b/>
      <w:color w:val="000000" w:themeColor="text1"/>
      <w:sz w:val="26"/>
      <w:szCs w:val="24"/>
      <w:lang w:val="en-US" w:eastAsia="en-US"/>
    </w:rPr>
  </w:style>
  <w:style w:type="paragraph" w:customStyle="1" w:styleId="PCJSubsection">
    <w:name w:val="PCJ Subsection"/>
    <w:basedOn w:val="Normal"/>
    <w:next w:val="Normal"/>
    <w:qFormat/>
    <w:rsid w:val="00B433AB"/>
    <w:pPr>
      <w:keepNext/>
      <w:spacing w:after="120" w:line="259" w:lineRule="auto"/>
      <w:contextualSpacing/>
      <w:jc w:val="both"/>
    </w:pPr>
    <w:rPr>
      <w:rFonts w:ascii="Arial" w:hAnsi="Arial" w:cs="Calibri (Corps)"/>
      <w:b/>
      <w:noProof/>
      <w:sz w:val="21"/>
      <w:szCs w:val="24"/>
      <w:lang w:val="en-US" w:eastAsia="fr-FR"/>
    </w:rPr>
  </w:style>
  <w:style w:type="paragraph" w:customStyle="1" w:styleId="PCJTable">
    <w:name w:val="PCJ Table"/>
    <w:next w:val="Normal"/>
    <w:qFormat/>
    <w:rsid w:val="00B433AB"/>
    <w:pPr>
      <w:widowControl w:val="0"/>
    </w:pPr>
    <w:rPr>
      <w:rFonts w:asciiTheme="minorHAnsi" w:eastAsiaTheme="minorHAnsi" w:hAnsiTheme="minorHAnsi" w:cstheme="minorHAnsi"/>
      <w:noProof/>
      <w:color w:val="000000" w:themeColor="text1"/>
      <w:sz w:val="16"/>
      <w:szCs w:val="24"/>
      <w:lang w:val="en-US" w:eastAsia="en-US"/>
    </w:rPr>
  </w:style>
  <w:style w:type="paragraph" w:customStyle="1" w:styleId="PCJnotetable">
    <w:name w:val="PCJ note table"/>
    <w:link w:val="PCJnotetableCar"/>
    <w:qFormat/>
    <w:rsid w:val="00B433AB"/>
    <w:pPr>
      <w:spacing w:after="240"/>
      <w:ind w:left="851" w:right="851"/>
      <w:contextualSpacing/>
      <w:jc w:val="both"/>
    </w:pPr>
    <w:rPr>
      <w:rFonts w:ascii="Source Sans Pro" w:hAnsi="Source Sans Pro" w:cstheme="minorHAnsi"/>
      <w:noProof/>
      <w:sz w:val="18"/>
      <w:szCs w:val="24"/>
      <w:lang w:val="en-US" w:eastAsia="en-US"/>
    </w:rPr>
  </w:style>
  <w:style w:type="character" w:customStyle="1" w:styleId="PCJnotetableCar">
    <w:name w:val="PCJ note table Car"/>
    <w:basedOn w:val="DefaultParagraphFont"/>
    <w:link w:val="PCJnotetable"/>
    <w:rsid w:val="00B433AB"/>
    <w:rPr>
      <w:rFonts w:ascii="Source Sans Pro" w:hAnsi="Source Sans Pro" w:cstheme="minorHAnsi"/>
      <w:noProof/>
      <w:sz w:val="18"/>
      <w:szCs w:val="24"/>
      <w:lang w:val="en-US" w:eastAsia="en-US"/>
    </w:rPr>
  </w:style>
  <w:style w:type="table" w:styleId="PlainTable4">
    <w:name w:val="Plain Table 4"/>
    <w:basedOn w:val="TableNormal"/>
    <w:uiPriority w:val="44"/>
    <w:rsid w:val="00B433AB"/>
    <w:rPr>
      <w:rFonts w:asciiTheme="minorHAnsi" w:eastAsiaTheme="minorHAnsi" w:hAnsiTheme="minorHAnsi" w:cstheme="minorBidi"/>
      <w:sz w:val="24"/>
      <w:szCs w:val="24"/>
      <w:lang w:val="fr-FR"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CJSub-subsection">
    <w:name w:val="PCJ Sub-subsection"/>
    <w:basedOn w:val="Normal"/>
    <w:next w:val="Normal"/>
    <w:qFormat/>
    <w:rsid w:val="00B433AB"/>
    <w:pPr>
      <w:keepNext/>
      <w:spacing w:before="120" w:line="259" w:lineRule="auto"/>
      <w:contextualSpacing/>
      <w:jc w:val="both"/>
    </w:pPr>
    <w:rPr>
      <w:rFonts w:ascii="Arial" w:hAnsi="Arial" w:cs="Calibri (Corps)"/>
      <w:i/>
      <w:noProof/>
      <w:sz w:val="21"/>
      <w:szCs w:val="24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930</Words>
  <Characters>5118</Characters>
  <Application>Microsoft Office Word</Application>
  <DocSecurity>0</DocSecurity>
  <Lines>42</Lines>
  <Paragraphs>12</Paragraphs>
  <ScaleCrop>false</ScaleCrop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DANIEL SEBASTIAN ALBUJA AGUIRRE</cp:lastModifiedBy>
  <cp:revision>3</cp:revision>
  <dcterms:created xsi:type="dcterms:W3CDTF">2026-09-17T21:45:00Z</dcterms:created>
  <dcterms:modified xsi:type="dcterms:W3CDTF">2026-09-17T22:39:00Z</dcterms:modified>
</cp:coreProperties>
</file>