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Supplementary</w:t>
      </w:r>
      <w:r>
        <w:t xml:space="preserve"> </w:t>
      </w:r>
      <w:r>
        <w:t xml:space="preserve">Material</w:t>
      </w:r>
      <w:r>
        <w:t xml:space="preserve"> </w:t>
      </w:r>
      <w:r>
        <w:t xml:space="preserve">—</w:t>
      </w:r>
      <w:r>
        <w:t xml:space="preserve"> </w:t>
      </w:r>
      <w:r>
        <w:t xml:space="preserve">Do</w:t>
      </w:r>
      <w:r>
        <w:t xml:space="preserve"> </w:t>
      </w:r>
      <w:r>
        <w:t xml:space="preserve">Market</w:t>
      </w:r>
      <w:r>
        <w:t xml:space="preserve"> </w:t>
      </w:r>
      <w:r>
        <w:t xml:space="preserve">Rules</w:t>
      </w:r>
      <w:r>
        <w:t xml:space="preserve"> </w:t>
      </w:r>
      <w:r>
        <w:t xml:space="preserve">Shape</w:t>
      </w:r>
      <w:r>
        <w:t xml:space="preserve"> </w:t>
      </w:r>
      <w:r>
        <w:t xml:space="preserve">Quality</w:t>
      </w:r>
      <w:r>
        <w:t xml:space="preserve"> </w:t>
      </w:r>
      <w:r>
        <w:t xml:space="preserve">of</w:t>
      </w:r>
      <w:r>
        <w:t xml:space="preserve"> </w:t>
      </w:r>
      <w:r>
        <w:t xml:space="preserve">Life?</w:t>
      </w:r>
    </w:p>
    <w:p>
      <w:pPr>
        <w:pStyle w:val="FirstParagraph"/>
      </w:pPr>
      <w:r>
        <w:rPr>
          <w:bCs/>
          <w:b/>
        </w:rPr>
        <w:t xml:space="preserve">Table S1.</w:t>
      </w:r>
      <w:r>
        <w:t xml:space="preserve"> </w:t>
      </w:r>
      <w:r>
        <w:t xml:space="preserve">Economies in the 2023–24 OECD PMR wave and their use in the analyses</w:t>
      </w:r>
    </w:p>
    <w:tbl>
      <w:tblPr>
        <w:tblStyle w:val="Table"/>
        <w:tblLook w:firstRow="1" w:lastRow="0" w:firstColumn="0" w:lastColumn="0" w:noHBand="0" w:noVBand="0" w:val="0020"/>
        <w:jc w:val="start"/>
        <w:tblW w:w="9360" w:type="dxa"/>
        <w:tblLayout w:type="fixed"/>
      </w:tblPr>
      <w:tblGrid>
        <w:gridCol w:w="2808"/>
        <w:gridCol w:w="1092"/>
        <w:gridCol w:w="1092"/>
        <w:gridCol w:w="1092"/>
        <w:gridCol w:w="1092"/>
        <w:gridCol w:w="1092"/>
        <w:gridCol w:w="1092"/>
      </w:tblGrid>
      <w:tr>
        <w:trPr>
          <w:tblHeader w:val="true"/>
        </w:trP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Economy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ISO3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Source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Reference date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Main sample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2018 wave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Life satisfaction gap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Argentina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ARG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OECD-WBG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2025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Armenia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ARM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OECD-WBG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2024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Australia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AUS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Austria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AUT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Belgium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BEL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Brazil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BRA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Bulgaria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BGR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2024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Canada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CAN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Chile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CHL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China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CHN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OECD-WBG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2024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Chinese Taipei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TWN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2024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 (no UNDP data)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Colombia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COL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OECD-WBG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Costa Rica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CRI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OECD-WBG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Croatia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HRV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Cyprus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CYP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2024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Czechia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CZE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Denmark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DNK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Estonia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EST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Finland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FIN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France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FRA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Germany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DEU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Greece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GRC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Hungary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HUN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2024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Iceland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ISL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Indonesia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IDN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2024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Ireland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IRL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Israel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ISR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Italy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ITA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Japan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JPN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Kenya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KEN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OECD-WBG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2024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Korea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KOR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Latvia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LVA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Lithuania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LTU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Luxembourg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LUX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Malta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MLT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2024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Mexico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MEX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Moldova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MDA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OECD-WBG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2025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Morocco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MAR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OECD-WBG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2024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Netherlands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NLD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2024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New Zealand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NZL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Norway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NOR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Peru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PER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OECD-WBG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2024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Poland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POL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Portugal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PRT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Romania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ROU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2025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Slovak Republic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SVK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Slovenia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SVN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South Africa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ZAF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Spain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ESP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Sweden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SWE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Switzerland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CHE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Thailand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THA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OECD-ADB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2025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Türkiye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TUR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United Kingdom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GBR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2023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United States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USA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OECD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01 Jan 2024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092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Note.</w:t>
      </w:r>
      <w:r>
        <w:t xml:space="preserve"> </w:t>
      </w:r>
      <w:r>
        <w:t xml:space="preserve">Source: OECD = compiled by the OECD; OECD-WBG = OECD and World Bank Group; OECD-ADB = OECD and Asian Development Bank. Reference date = date to which the regulations refer (OECD, 2024a).</w:t>
      </w:r>
    </w:p>
    <w:p>
      <w:pPr>
        <w:pStyle w:val="BodyText"/>
      </w:pPr>
      <w:r>
        <w:rPr>
          <w:bCs/>
          <w:b/>
        </w:rPr>
        <w:t xml:space="preserve">Table S2.</w:t>
      </w:r>
      <w:r>
        <w:t xml:space="preserve"> </w:t>
      </w:r>
      <w:r>
        <w:t xml:space="preserve">Pearson correlations (</w:t>
      </w:r>
      <w:r>
        <w:rPr>
          <w:iCs/>
          <w:i/>
        </w:rPr>
        <w:t xml:space="preserve">N</w:t>
      </w:r>
      <w:r>
        <w:t xml:space="preserve"> </w:t>
      </w:r>
      <w:r>
        <w:t xml:space="preserve">= 54)</w:t>
      </w:r>
    </w:p>
    <w:tbl>
      <w:tblPr>
        <w:tblStyle w:val="Table"/>
        <w:tblLook w:firstRow="1" w:lastRow="0" w:firstColumn="0" w:lastColumn="0" w:noHBand="0" w:noVBand="0" w:val="0020"/>
        <w:jc w:val="start"/>
        <w:tblW w:w="9360" w:type="dxa"/>
        <w:tblLayout w:type="fixed"/>
      </w:tblPr>
      <w:tblGrid>
        <w:gridCol w:w="2808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</w:tblGrid>
      <w:tr>
        <w:trPr>
          <w:tblHeader w:val="true"/>
        </w:trPr>
        <w:tc>
          <w:tcPr>
            <w:tcW w:type="dxa" w:w="2808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PMR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RCI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SI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ARB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BSN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BTI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HDI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lnGDP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WBL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GII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LFPR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LE</w:t>
            </w: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PMR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RCI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−.95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SI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.97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−.83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ARB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.63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−.71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.51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BSN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.79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−.80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.73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.27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BTI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.83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−.85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.75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.34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.69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HDI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−.79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.77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−.74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−.38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−.69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−.76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lnGDP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−.71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.71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−.65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−.33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−.64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−.73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.95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WBL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−.69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.66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−.67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−.40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−.45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−.69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.65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.63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GII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.77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−.77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.71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.44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.64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.75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−.91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−.86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−.63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>
            <w:tcW w:type="dxa" w:w="546"/>
          </w:tcPr>
          <w:p>
            <w:pPr>
              <w:pStyle w:val="Compact"/>
            </w:pPr>
          </w:p>
        </w:tc>
        <w:tc>
          <w:tcPr>
            <w:tcW w:type="dxa" w:w="546"/>
          </w:tcPr>
          <w:p>
            <w:pPr>
              <w:pStyle w:val="Compact"/>
            </w:pP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LFPR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−.57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.43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−.63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−.26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−.41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−.35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.51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.49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.59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−.56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>
            <w:tcW w:type="dxa" w:w="546"/>
          </w:tcPr>
          <w:p>
            <w:pPr>
              <w:pStyle w:val="Compact"/>
            </w:pPr>
          </w:p>
        </w:tc>
      </w:tr>
      <w:tr>
        <w:tc>
          <w:tcPr>
            <w:tcW w:type="dxa" w:w="2808"/>
          </w:tcPr>
          <w:p>
            <w:pPr>
              <w:pStyle w:val="Compact"/>
              <w:jc w:val="left"/>
            </w:pPr>
            <w:r>
              <w:t xml:space="preserve">LE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−.64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.59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−.63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−.33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−.57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−.53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.75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.74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.51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−.67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.47</w:t>
            </w:r>
          </w:p>
        </w:tc>
        <w:tc>
          <w:tcPr>
            <w:tcW w:type="dxa" w:w="546"/>
          </w:tcPr>
          <w:p>
            <w:pPr>
              <w:pStyle w:val="Compact"/>
              <w:jc w:val="left"/>
            </w:pPr>
            <w:r>
              <w:t xml:space="preserve">—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Note.</w:t>
      </w:r>
      <w:r>
        <w:t xml:space="preserve"> </w:t>
      </w:r>
      <w:r>
        <w:t xml:space="preserve">lnGDP = log GDP per capita (PPP); WBL = Women, Business and the Law index (2024 report); LFPR = female-to-male labor force participation ratio; LE = life evaluation, 2022–24. With</w:t>
      </w:r>
      <w:r>
        <w:t xml:space="preserve"> </w:t>
      </w:r>
      <w:r>
        <w:rPr>
          <w:iCs/>
          <w:i/>
        </w:rPr>
        <w:t xml:space="preserve">N</w:t>
      </w:r>
      <w:r>
        <w:t xml:space="preserve"> </w:t>
      </w:r>
      <w:r>
        <w:t xml:space="preserve">= 54, |</w:t>
      </w:r>
      <w:r>
        <w:rPr>
          <w:iCs/>
          <w:i/>
        </w:rPr>
        <w:t xml:space="preserve">r</w:t>
      </w:r>
      <w:r>
        <w:t xml:space="preserve">| ≥ .27 is significant at</w:t>
      </w:r>
      <w:r>
        <w:t xml:space="preserve"> </w:t>
      </w:r>
      <w:r>
        <w:rPr>
          <w:iCs/>
          <w:i/>
        </w:rPr>
        <w:t xml:space="preserve">p</w:t>
      </w:r>
      <w:r>
        <w:t xml:space="preserve"> </w:t>
      </w:r>
      <w:r>
        <w:t xml:space="preserve">&lt; .05.</w:t>
      </w:r>
    </w:p>
    <w:p>
      <w:pPr>
        <w:pStyle w:val="CaptionedFigure"/>
      </w:pPr>
      <w:r>
        <w:drawing>
          <wp:inline>
            <wp:extent cx="5334000" cy="2667000"/>
            <wp:effectExtent b="0" l="0" r="0" t="0"/>
            <wp:docPr descr="Figure S1. Specification curve: standardized coefficient of an entry-component index on GII across 264 specifications (66 weightings of ARB, BSN, and BTI on a 0.1 grid × 4 control sets: HDI; log GDP per capita; HDI + EU; HDI + region). All models include SI. Blue points: p &lt; .05." title="" id="21" name="Picture"/>
            <a:graphic>
              <a:graphicData uri="http://schemas.openxmlformats.org/drawingml/2006/picture">
                <pic:pic>
                  <pic:nvPicPr>
                    <pic:cNvPr descr="figS1_speccurve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S1. Specification curve: standardized coefficient of an entry-component index on GII across 264 specifications (66 weightings of ARB, BSN, and BTI on a 0.1 grid × 4 control sets: HDI; log GDP per capita; HDI + EU; HDI + region). All models include SI. Blue points:</w:t>
      </w:r>
      <w:r>
        <w:t xml:space="preserve"> </w:t>
      </w:r>
      <w:r>
        <w:rPr>
          <w:iCs/>
          <w:i/>
        </w:rPr>
        <w:t xml:space="preserve">p</w:t>
      </w:r>
      <w:r>
        <w:t xml:space="preserve"> </w:t>
      </w:r>
      <w:r>
        <w:t xml:space="preserve">&lt; .05.</w:t>
      </w:r>
    </w:p>
    <w:sectPr>
      <w:pgSz w:w="12240" w:h="15840"/>
      <w:pgMar w:left="1440" w:right="1440" w:top="1440" w:bottom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Times New Roman" w:hAnsi="Times New Roman" w:cs="Times New Roman" w:eastAsia="Times New Roman"/>
      <w:sz w:val="24"/>
    </w:rPr>
  </w:style>
  <w:style w:styleId="BodyText" w:type="paragraph">
    <w:name w:val="Body Text"/>
    <w:basedOn w:val="Normal"/>
    <w:link w:val="BodyTextChar"/>
    <w:pPr>
      <w:spacing w:after="180" w:before="180"/>
    </w:pPr>
    <w:qFormat/>
    <w:rPr>
      <w:rFonts w:ascii="Times New Roman" w:hAnsi="Times New Roman" w:cs="Times New Roman" w:eastAsia="Times New Roman"/>
      <w:sz w:val="24"/>
    </w:rPr>
  </w:style>
  <w:style w:customStyle="1" w:styleId="FirstParagraph" w:type="paragraph">
    <w:name w:val="First Paragraph"/>
    <w:basedOn w:val="BodyText"/>
    <w:next w:val="BodyText"/>
    <w:qFormat/>
    <w:rPr>
      <w:rFonts w:ascii="Times New Roman" w:hAnsi="Times New Roman" w:cs="Times New Roman" w:eastAsia="Times New Roman"/>
      <w:sz w:val="24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Times New Roman" w:hAnsi="Times New Roman" w:cs="Times New Roman" w:eastAsia="Times New Roman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Times New Roman" w:hAnsi="Times New Roman" w:cs="Times New Roman" w:eastAsia="Times New Roman"/>
      <w:b/>
      <w:bCs/>
      <w:color w:val="000000"/>
      <w:sz w:val="32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Times New Roman" w:hAnsi="Times New Roman" w:cs="Times New Roman" w:eastAsia="Times New Roman"/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Times New Roman" w:hAnsi="Times New Roman" w:cs="Times New Roman" w:eastAsia="Times New Roman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Times New Roman" w:hAnsi="Times New Roman" w:cs="Times New Roman" w:eastAsia="Times New Roman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rFonts w:ascii="Times New Roman" w:hAnsi="Times New Roman" w:cs="Times New Roman" w:eastAsia="Times New Roman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Times New Roman" w:hAnsi="Times New Roman" w:cs="Times New Roman" w:eastAsia="Times New Roman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Times New Roman" w:hAnsi="Times New Roman" w:cs="Times New Roman" w:eastAsia="Times New Roman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 w:ascii="Times New Roman" w:hAnsi="Times New Roman" w:cs="Times New Roman" w:eastAsia="Times New Roman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 w:ascii="Times New Roman" w:hAnsi="Times New Roman" w:cs="Times New Roman" w:eastAsia="Times New Roman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 w:ascii="Times New Roman" w:hAnsi="Times New Roman" w:cs="Times New Roman" w:eastAsia="Times New Roman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 w:ascii="Times New Roman" w:hAnsi="Times New Roman" w:cs="Times New Roman" w:eastAsia="Times New Roman"/>
      <w:i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 w:ascii="Times New Roman" w:hAnsi="Times New Roman" w:cs="Times New Roman" w:eastAsia="Times New Roman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 w:ascii="Times New Roman" w:hAnsi="Times New Roman" w:cs="Times New Roman" w:eastAsia="Times New Roman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 w:ascii="Times New Roman" w:hAnsi="Times New Roman" w:cs="Times New Roman" w:eastAsia="Times New Roman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 w:ascii="Times New Roman" w:hAnsi="Times New Roman" w:cs="Times New Roman" w:eastAsia="Times New Roman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 w:ascii="Times New Roman" w:hAnsi="Times New Roman" w:cs="Times New Roman" w:eastAsia="Times New Roman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hAnsi="Times New Roman" w:cs="Times New Roman" w:eastAsia="Times New Roman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Times New Roman" w:hAnsi="Times New Roman" w:cs="Times New Roman" w:eastAsia="Times New Roman"/>
    </w:rPr>
  </w:style>
  <w:style w:default="1" w:styleId="DefaultParagraphFont" w:type="character">
    <w:name w:val="Default Paragraph Font"/>
    <w:semiHidden/>
    <w:unhideWhenUsed/>
    <w:rPr>
      <w:rFonts w:ascii="Times New Roman" w:hAnsi="Times New Roman" w:cs="Times New Roman" w:eastAsia="Times New Roman"/>
    </w:rPr>
  </w:style>
  <w:style w:default="1" w:styleId="Table" w:type="table">
    <w:name w:val="Table"/>
    <w:basedOn w:val="TableNormal"/>
    <w:semiHidden/>
    <w:unhideWhenUsed/>
    <w:qFormat/>
    <w:rPr>
      <w:rFonts w:ascii="Times New Roman" w:hAnsi="Times New Roman" w:cs="Times New Roman" w:eastAsia="Times New Roman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Times New Roman" w:hAnsi="Times New Roman" w:cs="Times New Roman" w:eastAsia="Times New Roman"/>
      <w:b/>
    </w:rPr>
  </w:style>
  <w:style w:customStyle="1" w:styleId="Definition" w:type="paragraph">
    <w:name w:val="Definition"/>
    <w:basedOn w:val="Normal"/>
    <w:rPr>
      <w:rFonts w:ascii="Times New Roman" w:hAnsi="Times New Roman" w:cs="Times New Roman" w:eastAsia="Times New Roman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Times New Roman" w:hAnsi="Times New Roman" w:cs="Times New Roman" w:eastAsia="Times New Roman"/>
      <w:i/>
    </w:rPr>
  </w:style>
  <w:style w:customStyle="1" w:styleId="TableCaption" w:type="paragraph">
    <w:name w:val="Table Caption"/>
    <w:basedOn w:val="Caption"/>
    <w:pPr>
      <w:keepNext/>
    </w:pPr>
    <w:rPr>
      <w:rFonts w:ascii="Times New Roman" w:hAnsi="Times New Roman" w:cs="Times New Roman" w:eastAsia="Times New Roman"/>
    </w:rPr>
  </w:style>
  <w:style w:customStyle="1" w:styleId="ImageCaption" w:type="paragraph">
    <w:name w:val="Image Caption"/>
    <w:basedOn w:val="Caption"/>
    <w:rPr>
      <w:rFonts w:ascii="Times New Roman" w:hAnsi="Times New Roman" w:cs="Times New Roman" w:eastAsia="Times New Roman"/>
    </w:rPr>
  </w:style>
  <w:style w:customStyle="1" w:styleId="Figure" w:type="paragraph">
    <w:name w:val="Figure"/>
    <w:basedOn w:val="Normal"/>
    <w:rPr>
      <w:rFonts w:ascii="Times New Roman" w:hAnsi="Times New Roman" w:cs="Times New Roman" w:eastAsia="Times New Roman"/>
    </w:rPr>
  </w:style>
  <w:style w:customStyle="1" w:styleId="CaptionedFigure" w:type="paragraph">
    <w:name w:val="Captioned Figure"/>
    <w:basedOn w:val="Figure"/>
    <w:pPr>
      <w:keepNext/>
    </w:pPr>
    <w:rPr>
      <w:rFonts w:ascii="Times New Roman" w:hAnsi="Times New Roman" w:cs="Times New Roman" w:eastAsia="Times New Roman"/>
    </w:rPr>
  </w:style>
  <w:style w:customStyle="1" w:styleId="BodyTextChar" w:type="character">
    <w:name w:val="Body Text Char"/>
    <w:basedOn w:val="DefaultParagraphFont"/>
    <w:link w:val="BodyText"/>
    <w:rPr>
      <w:rFonts w:ascii="Times New Roman" w:hAnsi="Times New Roman" w:cs="Times New Roman" w:eastAsia="Times New Roman"/>
    </w:rPr>
  </w:style>
  <w:style w:customStyle="1" w:styleId="VerbatimChar" w:type="character">
    <w:name w:val="Verbatim Char"/>
    <w:basedOn w:val="BodyTextChar"/>
    <w:rPr>
      <w:rFonts w:ascii="Times New Roman" w:hAnsi="Times New Roman" w:cs="Times New Roman" w:eastAsia="Times New Roman"/>
      <w:sz w:val="22"/>
    </w:rPr>
  </w:style>
  <w:style w:customStyle="1" w:styleId="SectionNumber" w:type="character">
    <w:name w:val="Section Number"/>
    <w:basedOn w:val="BodyTextChar"/>
    <w:rPr>
      <w:rFonts w:ascii="Times New Roman" w:hAnsi="Times New Roman" w:cs="Times New Roman" w:eastAsia="Times New Roman"/>
    </w:rPr>
  </w:style>
  <w:style w:styleId="FootnoteReference" w:type="character">
    <w:name w:val="Footnote Reference"/>
    <w:basedOn w:val="BodyTextChar"/>
    <w:rPr>
      <w:rFonts w:ascii="Times New Roman" w:hAnsi="Times New Roman" w:cs="Times New Roman" w:eastAsia="Times New Roman"/>
      <w:vertAlign w:val="superscript"/>
    </w:rPr>
  </w:style>
  <w:style w:styleId="Hyperlink" w:type="character">
    <w:name w:val="Hyperlink"/>
    <w:basedOn w:val="BodyTextChar"/>
    <w:rPr>
      <w:rFonts w:ascii="Times New Roman" w:hAnsi="Times New Roman" w:cs="Times New Roman" w:eastAsia="Times New Roman"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 w:ascii="Times New Roman" w:hAnsi="Times New Roman" w:cs="Times New Roman" w:eastAsia="Times New Roman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  <w:rPr>
      <w:rFonts w:ascii="Times New Roman" w:hAnsi="Times New Roman" w:cs="Times New Roman" w:eastAsia="Times New Roman"/>
    </w:rPr>
  </w:style>
  <w:style w:type="character" w:customStyle="1" w:styleId="KeywordTok">
    <w:name w:val="KeywordTok"/>
    <w:basedOn w:val="VerbatimChar"/>
    <w:rPr>
      <w:color w:val="007020"/>
      <w:rFonts w:ascii="Times New Roman" w:hAnsi="Times New Roman" w:cs="Times New Roman" w:eastAsia="Times New Roman"/>
      <w:b/>
    </w:rPr>
  </w:style>
  <w:style w:type="character" w:customStyle="1" w:styleId="DataTypeTok">
    <w:name w:val="DataTypeTok"/>
    <w:basedOn w:val="VerbatimChar"/>
    <w:rPr>
      <w:rFonts w:ascii="Times New Roman" w:hAnsi="Times New Roman" w:cs="Times New Roman" w:eastAsia="Times New Roman"/>
      <w:color w:val="902000"/>
    </w:rPr>
  </w:style>
  <w:style w:type="character" w:customStyle="1" w:styleId="DecValTok">
    <w:name w:val="DecValTok"/>
    <w:basedOn w:val="VerbatimChar"/>
    <w:rPr>
      <w:rFonts w:ascii="Times New Roman" w:hAnsi="Times New Roman" w:cs="Times New Roman" w:eastAsia="Times New Roman"/>
      <w:color w:val="40a070"/>
    </w:rPr>
  </w:style>
  <w:style w:type="character" w:customStyle="1" w:styleId="BaseNTok">
    <w:name w:val="BaseNTok"/>
    <w:basedOn w:val="VerbatimChar"/>
    <w:rPr>
      <w:rFonts w:ascii="Times New Roman" w:hAnsi="Times New Roman" w:cs="Times New Roman" w:eastAsia="Times New Roman"/>
      <w:color w:val="40a070"/>
    </w:rPr>
  </w:style>
  <w:style w:type="character" w:customStyle="1" w:styleId="FloatTok">
    <w:name w:val="FloatTok"/>
    <w:basedOn w:val="VerbatimChar"/>
    <w:rPr>
      <w:rFonts w:ascii="Times New Roman" w:hAnsi="Times New Roman" w:cs="Times New Roman" w:eastAsia="Times New Roman"/>
      <w:color w:val="40a070"/>
    </w:rPr>
  </w:style>
  <w:style w:type="character" w:customStyle="1" w:styleId="ConstantTok">
    <w:name w:val="ConstantTok"/>
    <w:basedOn w:val="VerbatimChar"/>
    <w:rPr>
      <w:rFonts w:ascii="Times New Roman" w:hAnsi="Times New Roman" w:cs="Times New Roman" w:eastAsia="Times New Roman"/>
      <w:color w:val="880000"/>
    </w:rPr>
  </w:style>
  <w:style w:type="character" w:customStyle="1" w:styleId="CharTok">
    <w:name w:val="CharTok"/>
    <w:basedOn w:val="VerbatimChar"/>
    <w:rPr>
      <w:rFonts w:ascii="Times New Roman" w:hAnsi="Times New Roman" w:cs="Times New Roman" w:eastAsia="Times New Roman"/>
      <w:color w:val="4070a0"/>
    </w:rPr>
  </w:style>
  <w:style w:type="character" w:customStyle="1" w:styleId="SpecialCharTok">
    <w:name w:val="SpecialCharTok"/>
    <w:basedOn w:val="VerbatimChar"/>
    <w:rPr>
      <w:rFonts w:ascii="Times New Roman" w:hAnsi="Times New Roman" w:cs="Times New Roman" w:eastAsia="Times New Roman"/>
      <w:color w:val="4070a0"/>
    </w:rPr>
  </w:style>
  <w:style w:type="character" w:customStyle="1" w:styleId="StringTok">
    <w:name w:val="StringTok"/>
    <w:basedOn w:val="VerbatimChar"/>
    <w:rPr>
      <w:rFonts w:ascii="Times New Roman" w:hAnsi="Times New Roman" w:cs="Times New Roman" w:eastAsia="Times New Roman"/>
      <w:color w:val="4070a0"/>
    </w:rPr>
  </w:style>
  <w:style w:type="character" w:customStyle="1" w:styleId="VerbatimStringTok">
    <w:name w:val="VerbatimStringTok"/>
    <w:basedOn w:val="VerbatimChar"/>
    <w:rPr>
      <w:rFonts w:ascii="Times New Roman" w:hAnsi="Times New Roman" w:cs="Times New Roman" w:eastAsia="Times New Roman"/>
      <w:color w:val="4070a0"/>
    </w:rPr>
  </w:style>
  <w:style w:type="character" w:customStyle="1" w:styleId="SpecialStringTok">
    <w:name w:val="SpecialStringTok"/>
    <w:basedOn w:val="VerbatimChar"/>
    <w:rPr>
      <w:rFonts w:ascii="Times New Roman" w:hAnsi="Times New Roman" w:cs="Times New Roman" w:eastAsia="Times New Roman"/>
      <w:color w:val="bb6688"/>
    </w:rPr>
  </w:style>
  <w:style w:type="character" w:customStyle="1" w:styleId="ImportTok">
    <w:name w:val="ImportTok"/>
    <w:basedOn w:val="VerbatimChar"/>
    <w:rPr>
      <w:color w:val="008000"/>
      <w:rFonts w:ascii="Times New Roman" w:hAnsi="Times New Roman" w:cs="Times New Roman" w:eastAsia="Times New Roman"/>
      <w:b/>
    </w:rPr>
  </w:style>
  <w:style w:type="character" w:customStyle="1" w:styleId="CommentTok">
    <w:name w:val="CommentTok"/>
    <w:basedOn w:val="VerbatimChar"/>
    <w:rPr>
      <w:color w:val="60a0b0"/>
      <w:rFonts w:ascii="Times New Roman" w:hAnsi="Times New Roman" w:cs="Times New Roman" w:eastAsia="Times New Roman"/>
      <w:i/>
    </w:rPr>
  </w:style>
  <w:style w:type="character" w:customStyle="1" w:styleId="DocumentationTok">
    <w:name w:val="DocumentationTok"/>
    <w:basedOn w:val="VerbatimChar"/>
    <w:rPr>
      <w:color w:val="ba2121"/>
      <w:rFonts w:ascii="Times New Roman" w:hAnsi="Times New Roman" w:cs="Times New Roman" w:eastAsia="Times New Roman"/>
      <w:i/>
    </w:rPr>
  </w:style>
  <w:style w:type="character" w:customStyle="1" w:styleId="AnnotationTok">
    <w:name w:val="AnnotationTok"/>
    <w:basedOn w:val="VerbatimChar"/>
    <w:rPr>
      <w:color w:val="60a0b0"/>
      <w:rFonts w:ascii="Times New Roman" w:hAnsi="Times New Roman" w:cs="Times New Roman" w:eastAsia="Times New Roman"/>
      <w:b/>
      <w:i/>
    </w:rPr>
  </w:style>
  <w:style w:type="character" w:customStyle="1" w:styleId="CommentVarTok">
    <w:name w:val="CommentVarTok"/>
    <w:basedOn w:val="VerbatimChar"/>
    <w:rPr>
      <w:color w:val="60a0b0"/>
      <w:rFonts w:ascii="Times New Roman" w:hAnsi="Times New Roman" w:cs="Times New Roman" w:eastAsia="Times New Roman"/>
      <w:b/>
      <w:i/>
    </w:rPr>
  </w:style>
  <w:style w:type="character" w:customStyle="1" w:styleId="OtherTok">
    <w:name w:val="OtherTok"/>
    <w:basedOn w:val="VerbatimChar"/>
    <w:rPr>
      <w:rFonts w:ascii="Times New Roman" w:hAnsi="Times New Roman" w:cs="Times New Roman" w:eastAsia="Times New Roman"/>
      <w:color w:val="007020"/>
    </w:rPr>
  </w:style>
  <w:style w:type="character" w:customStyle="1" w:styleId="FunctionTok">
    <w:name w:val="FunctionTok"/>
    <w:basedOn w:val="VerbatimChar"/>
    <w:rPr>
      <w:rFonts w:ascii="Times New Roman" w:hAnsi="Times New Roman" w:cs="Times New Roman" w:eastAsia="Times New Roman"/>
      <w:color w:val="06287e"/>
    </w:rPr>
  </w:style>
  <w:style w:type="character" w:customStyle="1" w:styleId="VariableTok">
    <w:name w:val="VariableTok"/>
    <w:basedOn w:val="VerbatimChar"/>
    <w:rPr>
      <w:rFonts w:ascii="Times New Roman" w:hAnsi="Times New Roman" w:cs="Times New Roman" w:eastAsia="Times New Roman"/>
      <w:color w:val="19177c"/>
    </w:rPr>
  </w:style>
  <w:style w:type="character" w:customStyle="1" w:styleId="ControlFlowTok">
    <w:name w:val="ControlFlowTok"/>
    <w:basedOn w:val="VerbatimChar"/>
    <w:rPr>
      <w:color w:val="007020"/>
      <w:rFonts w:ascii="Times New Roman" w:hAnsi="Times New Roman" w:cs="Times New Roman" w:eastAsia="Times New Roman"/>
      <w:b/>
    </w:rPr>
  </w:style>
  <w:style w:type="character" w:customStyle="1" w:styleId="OperatorTok">
    <w:name w:val="OperatorTok"/>
    <w:basedOn w:val="VerbatimChar"/>
    <w:rPr>
      <w:rFonts w:ascii="Times New Roman" w:hAnsi="Times New Roman" w:cs="Times New Roman" w:eastAsia="Times New Roman"/>
      <w:color w:val="666666"/>
    </w:rPr>
  </w:style>
  <w:style w:type="character" w:customStyle="1" w:styleId="BuiltInTok">
    <w:name w:val="BuiltInTok"/>
    <w:basedOn w:val="VerbatimChar"/>
    <w:rPr>
      <w:rFonts w:ascii="Times New Roman" w:hAnsi="Times New Roman" w:cs="Times New Roman" w:eastAsia="Times New Roman"/>
      <w:color w:val="008000"/>
    </w:rPr>
  </w:style>
  <w:style w:type="character" w:customStyle="1" w:styleId="ExtensionTok">
    <w:name w:val="ExtensionTok"/>
    <w:basedOn w:val="VerbatimChar"/>
    <w:rPr>
      <w:rFonts w:ascii="Times New Roman" w:hAnsi="Times New Roman" w:cs="Times New Roman" w:eastAsia="Times New Roman"/>
    </w:rPr>
  </w:style>
  <w:style w:type="character" w:customStyle="1" w:styleId="PreprocessorTok">
    <w:name w:val="PreprocessorTok"/>
    <w:basedOn w:val="VerbatimChar"/>
    <w:rPr>
      <w:rFonts w:ascii="Times New Roman" w:hAnsi="Times New Roman" w:cs="Times New Roman" w:eastAsia="Times New Roman"/>
      <w:color w:val="bc7a00"/>
    </w:rPr>
  </w:style>
  <w:style w:type="character" w:customStyle="1" w:styleId="AttributeTok">
    <w:name w:val="AttributeTok"/>
    <w:basedOn w:val="VerbatimChar"/>
    <w:rPr>
      <w:rFonts w:ascii="Times New Roman" w:hAnsi="Times New Roman" w:cs="Times New Roman" w:eastAsia="Times New Roman"/>
      <w:color w:val="7d9029"/>
    </w:rPr>
  </w:style>
  <w:style w:type="character" w:customStyle="1" w:styleId="RegionMarkerTok">
    <w:name w:val="RegionMarkerTok"/>
    <w:basedOn w:val="VerbatimChar"/>
    <w:rPr>
      <w:rFonts w:ascii="Times New Roman" w:hAnsi="Times New Roman" w:cs="Times New Roman" w:eastAsia="Times New Roman"/>
    </w:rPr>
  </w:style>
  <w:style w:type="character" w:customStyle="1" w:styleId="InformationTok">
    <w:name w:val="InformationTok"/>
    <w:basedOn w:val="VerbatimChar"/>
    <w:rPr>
      <w:color w:val="60a0b0"/>
      <w:rFonts w:ascii="Times New Roman" w:hAnsi="Times New Roman" w:cs="Times New Roman" w:eastAsia="Times New Roman"/>
      <w:b/>
      <w:i/>
    </w:rPr>
  </w:style>
  <w:style w:type="character" w:customStyle="1" w:styleId="WarningTok">
    <w:name w:val="WarningTok"/>
    <w:basedOn w:val="VerbatimChar"/>
    <w:rPr>
      <w:color w:val="60a0b0"/>
      <w:rFonts w:ascii="Times New Roman" w:hAnsi="Times New Roman" w:cs="Times New Roman" w:eastAsia="Times New Roman"/>
      <w:b/>
      <w:i/>
    </w:rPr>
  </w:style>
  <w:style w:type="character" w:customStyle="1" w:styleId="AlertTok">
    <w:name w:val="AlertTok"/>
    <w:basedOn w:val="VerbatimChar"/>
    <w:rPr>
      <w:color w:val="ff0000"/>
      <w:rFonts w:ascii="Times New Roman" w:hAnsi="Times New Roman" w:cs="Times New Roman" w:eastAsia="Times New Roman"/>
      <w:b/>
    </w:rPr>
  </w:style>
  <w:style w:type="character" w:customStyle="1" w:styleId="ErrorTok">
    <w:name w:val="ErrorTok"/>
    <w:basedOn w:val="VerbatimChar"/>
    <w:rPr>
      <w:color w:val="ff0000"/>
      <w:rFonts w:ascii="Times New Roman" w:hAnsi="Times New Roman" w:cs="Times New Roman" w:eastAsia="Times New Roman"/>
      <w:b/>
    </w:rPr>
  </w:style>
  <w:style w:type="character" w:customStyle="1" w:styleId="NormalTok">
    <w:name w:val="NormalTok"/>
    <w:basedOn w:val="VerbatimChar"/>
    <w:rPr>
      <w:rFonts w:ascii="Times New Roman" w:hAnsi="Times New Roman" w:cs="Times New Roman" w:eastAsia="Times New Roman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image" Target="media/rId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 — Do Market Rules Shape Quality of Life?</dc:title>
  <dc:creator/>
  <cp:keywords/>
  <dcterms:created xsi:type="dcterms:W3CDTF">2026-10-21T16:50:32Z</dcterms:created>
  <dcterms:modified xsi:type="dcterms:W3CDTF">2026-10-21T16:50:32Z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