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6DB0" w14:textId="77777777" w:rsidR="00000285" w:rsidRDefault="00000285" w:rsidP="00000285">
      <w:pPr>
        <w:pStyle w:val="Heading1"/>
      </w:pPr>
      <w:r>
        <w:t>Supplementary Figures</w:t>
      </w:r>
    </w:p>
    <w:p w14:paraId="2FFCE942" w14:textId="77777777" w:rsidR="00000285" w:rsidRDefault="00000285" w:rsidP="00000285">
      <w:pPr>
        <w:pStyle w:val="MainText"/>
      </w:pPr>
      <w:r>
        <w:rPr>
          <w:noProof/>
        </w:rPr>
        <w:drawing>
          <wp:inline distT="0" distB="0" distL="0" distR="0" wp14:anchorId="079785AA" wp14:editId="5AEF86ED">
            <wp:extent cx="6052229" cy="5043524"/>
            <wp:effectExtent l="0" t="0" r="5715" b="0"/>
            <wp:docPr id="15638908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90890" name="Pictur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2229" cy="504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D472C" w14:textId="77777777" w:rsidR="00000285" w:rsidRDefault="00000285" w:rsidP="00000285">
      <w:pPr>
        <w:pStyle w:val="figurescaption"/>
      </w:pPr>
      <w:bookmarkStart w:id="0" w:name="_Ref241596214"/>
      <w:r w:rsidRPr="00B25182">
        <w:rPr>
          <w:b/>
          <w:bCs/>
        </w:rPr>
        <w:t>Figure S</w:t>
      </w:r>
      <w:r w:rsidRPr="00B25182">
        <w:rPr>
          <w:b/>
          <w:bCs/>
        </w:rPr>
        <w:fldChar w:fldCharType="begin"/>
      </w:r>
      <w:r w:rsidRPr="00B25182">
        <w:rPr>
          <w:b/>
          <w:bCs/>
        </w:rPr>
        <w:instrText xml:space="preserve"> SEQ Figure \* ARABIC </w:instrText>
      </w:r>
      <w:r w:rsidRPr="00B25182">
        <w:rPr>
          <w:b/>
          <w:bCs/>
        </w:rPr>
        <w:fldChar w:fldCharType="separate"/>
      </w:r>
      <w:r>
        <w:rPr>
          <w:b/>
          <w:bCs/>
          <w:noProof/>
        </w:rPr>
        <w:t>1</w:t>
      </w:r>
      <w:r w:rsidRPr="00B25182">
        <w:rPr>
          <w:b/>
          <w:bCs/>
        </w:rPr>
        <w:fldChar w:fldCharType="end"/>
      </w:r>
      <w:bookmarkEnd w:id="0"/>
      <w:r w:rsidRPr="00B25182">
        <w:rPr>
          <w:b/>
          <w:bCs/>
        </w:rPr>
        <w:t>.</w:t>
      </w:r>
      <w:r>
        <w:t xml:space="preserve"> </w:t>
      </w:r>
      <w:r w:rsidRPr="00697083">
        <w:rPr>
          <w:b/>
          <w:bCs/>
        </w:rPr>
        <w:t>Isothermal microcalorimetry analysis of EC10P1-ATM-AVI interaction</w:t>
      </w:r>
      <w:r>
        <w:t xml:space="preserve">. Relative heat flow is plotted over time as a continuous measure of bacterial metabolic activity. </w:t>
      </w:r>
      <w:r w:rsidRPr="00697083">
        <w:t xml:space="preserve">(A) Heat-flow profiles for untreated bacteria, ATM-AVI alone, EC10P1 alone, and EC10P1 plus ATM-AVI. (B) Matched comparisons of ATM-AVI alone versus EC10P1 plus ATM-AVI at 0.5, 1, </w:t>
      </w:r>
      <w:r>
        <w:t xml:space="preserve">and </w:t>
      </w:r>
      <w:r w:rsidRPr="00697083">
        <w:t>2</w:t>
      </w:r>
      <w:r>
        <w:t xml:space="preserve"> mg/L</w:t>
      </w:r>
      <w:r w:rsidRPr="00697083">
        <w:t>. Combination treatment maintained near-zero heat flow during the 4-hour harvest window, whereas antibiotic-alone cultures retained measurable metabolic activity.</w:t>
      </w:r>
    </w:p>
    <w:p w14:paraId="0AF00D53" w14:textId="77777777" w:rsidR="00000285" w:rsidRDefault="00000285" w:rsidP="00000285">
      <w:pPr>
        <w:pStyle w:val="figurescaption"/>
      </w:pPr>
    </w:p>
    <w:p w14:paraId="363BCE51" w14:textId="77777777" w:rsidR="00000285" w:rsidRDefault="00000285" w:rsidP="00000285">
      <w:pPr>
        <w:pStyle w:val="figurescaption"/>
      </w:pPr>
    </w:p>
    <w:p w14:paraId="2F66D6DD" w14:textId="77777777" w:rsidR="00000285" w:rsidRDefault="00000285" w:rsidP="00000285">
      <w:pPr>
        <w:pStyle w:val="MainText"/>
      </w:pPr>
      <w:r>
        <w:rPr>
          <w:noProof/>
        </w:rPr>
        <w:lastRenderedPageBreak/>
        <w:drawing>
          <wp:inline distT="0" distB="0" distL="0" distR="0" wp14:anchorId="32180678" wp14:editId="5EBCF14C">
            <wp:extent cx="5787957" cy="3408437"/>
            <wp:effectExtent l="0" t="0" r="3810" b="0"/>
            <wp:docPr id="1819292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9265" name="Picture 181929265"/>
                    <pic:cNvPicPr/>
                  </pic:nvPicPr>
                  <pic:blipFill rotWithShape="1">
                    <a:blip r:embed="rId6"/>
                    <a:srcRect t="15702" b="16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434" cy="343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DA32C" w14:textId="77777777" w:rsidR="00000285" w:rsidRPr="00410ACB" w:rsidRDefault="00000285" w:rsidP="00000285">
      <w:pPr>
        <w:pStyle w:val="figurescaption"/>
      </w:pPr>
      <w:bookmarkStart w:id="1" w:name="_Ref241596570"/>
      <w:r w:rsidRPr="00B25182">
        <w:rPr>
          <w:b/>
          <w:bCs/>
        </w:rPr>
        <w:t>Figure S</w:t>
      </w:r>
      <w:r w:rsidRPr="00B25182">
        <w:rPr>
          <w:b/>
          <w:bCs/>
        </w:rPr>
        <w:fldChar w:fldCharType="begin"/>
      </w:r>
      <w:r w:rsidRPr="00B25182">
        <w:rPr>
          <w:b/>
          <w:bCs/>
        </w:rPr>
        <w:instrText xml:space="preserve"> SEQ Figure \* ARABIC </w:instrText>
      </w:r>
      <w:r w:rsidRPr="00B25182">
        <w:rPr>
          <w:b/>
          <w:bCs/>
        </w:rPr>
        <w:fldChar w:fldCharType="separate"/>
      </w:r>
      <w:r>
        <w:rPr>
          <w:b/>
          <w:bCs/>
          <w:noProof/>
        </w:rPr>
        <w:t>2</w:t>
      </w:r>
      <w:r w:rsidRPr="00B25182">
        <w:rPr>
          <w:b/>
          <w:bCs/>
        </w:rPr>
        <w:fldChar w:fldCharType="end"/>
      </w:r>
      <w:bookmarkEnd w:id="1"/>
      <w:r w:rsidRPr="00B25182">
        <w:rPr>
          <w:b/>
          <w:bCs/>
          <w:i/>
          <w:iCs/>
        </w:rPr>
        <w:t>.</w:t>
      </w:r>
      <w:r w:rsidRPr="00410ACB">
        <w:rPr>
          <w:b/>
          <w:bCs/>
        </w:rPr>
        <w:t xml:space="preserve"> Screening of phage</w:t>
      </w:r>
      <w:r>
        <w:rPr>
          <w:b/>
          <w:bCs/>
        </w:rPr>
        <w:t xml:space="preserve"> vs.</w:t>
      </w:r>
      <w:r w:rsidRPr="00C53764">
        <w:rPr>
          <w:b/>
          <w:bCs/>
          <w:i/>
          <w:iCs/>
        </w:rPr>
        <w:t xml:space="preserve"> E.</w:t>
      </w:r>
      <w:r>
        <w:rPr>
          <w:b/>
          <w:bCs/>
          <w:i/>
          <w:iCs/>
        </w:rPr>
        <w:t xml:space="preserve"> </w:t>
      </w:r>
      <w:r w:rsidRPr="00C53764">
        <w:rPr>
          <w:b/>
          <w:bCs/>
          <w:i/>
          <w:iCs/>
        </w:rPr>
        <w:t>coli</w:t>
      </w:r>
      <w:r>
        <w:rPr>
          <w:b/>
          <w:bCs/>
        </w:rPr>
        <w:t xml:space="preserve"> </w:t>
      </w:r>
      <w:r w:rsidRPr="00410ACB">
        <w:rPr>
          <w:b/>
          <w:bCs/>
        </w:rPr>
        <w:t>isolate interactions in the ATM-AVI isolate panel.</w:t>
      </w:r>
      <w:r w:rsidRPr="00410ACB">
        <w:t xml:space="preserve"> Rows indicate </w:t>
      </w:r>
      <w:r w:rsidRPr="00C53764">
        <w:rPr>
          <w:i/>
          <w:iCs/>
        </w:rPr>
        <w:t>E. coli</w:t>
      </w:r>
      <w:r w:rsidRPr="00410ACB">
        <w:t xml:space="preserve"> isolates and columns indicate phages. Lysis phenotypes are shown as no lysis, dim lysis, or clear lysis; side annotations show MIC and selected resistance/genotype features from the previous study. EC10P1-EC456</w:t>
      </w:r>
      <w:r>
        <w:t>22</w:t>
      </w:r>
      <w:r w:rsidRPr="00410ACB">
        <w:t xml:space="preserve"> was selected for downstream experiments because this pair showed reproducible clear lysis in an elevated-MIC background.</w:t>
      </w:r>
    </w:p>
    <w:p w14:paraId="18797C05" w14:textId="77777777" w:rsidR="00000285" w:rsidRPr="00697083" w:rsidRDefault="00000285" w:rsidP="00000285">
      <w:pPr>
        <w:pStyle w:val="figurescaption"/>
      </w:pPr>
    </w:p>
    <w:p w14:paraId="45CD1E10" w14:textId="77777777" w:rsidR="00E023F9" w:rsidRDefault="00E023F9"/>
    <w:sectPr w:rsidR="00E023F9" w:rsidSect="00000285">
      <w:footerReference w:type="even" r:id="rId7"/>
      <w:footerReference w:type="default" r:id="rId8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7458405"/>
      <w:docPartObj>
        <w:docPartGallery w:val="Page Numbers (Bottom of Page)"/>
        <w:docPartUnique/>
      </w:docPartObj>
    </w:sdtPr>
    <w:sdtContent>
      <w:p w14:paraId="1181EA4C" w14:textId="77777777" w:rsidR="00000285" w:rsidRDefault="00000285" w:rsidP="0035193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006187C" w14:textId="77777777" w:rsidR="00000285" w:rsidRDefault="00000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9837957"/>
      <w:docPartObj>
        <w:docPartGallery w:val="Page Numbers (Bottom of Page)"/>
        <w:docPartUnique/>
      </w:docPartObj>
    </w:sdtPr>
    <w:sdtContent>
      <w:p w14:paraId="4E5A2E05" w14:textId="77777777" w:rsidR="00000285" w:rsidRDefault="00000285" w:rsidP="0035193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4A46768" w14:textId="77777777" w:rsidR="00000285" w:rsidRDefault="0000028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85"/>
    <w:rsid w:val="00000285"/>
    <w:rsid w:val="000C4033"/>
    <w:rsid w:val="00173ED8"/>
    <w:rsid w:val="002F50B1"/>
    <w:rsid w:val="00444B42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3C39B"/>
  <w15:chartTrackingRefBased/>
  <w15:docId w15:val="{01E7C302-060B-4179-9B0F-AF757B68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285"/>
    <w:pPr>
      <w:spacing w:after="120" w:line="360" w:lineRule="auto"/>
      <w:jc w:val="both"/>
    </w:pPr>
    <w:rPr>
      <w:rFonts w:asciiTheme="majorBidi" w:hAnsiTheme="majorBidi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0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285"/>
    <w:rPr>
      <w:b/>
      <w:bCs/>
      <w:smallCaps/>
      <w:color w:val="0F4761" w:themeColor="accent1" w:themeShade="BF"/>
      <w:spacing w:val="5"/>
    </w:rPr>
  </w:style>
  <w:style w:type="paragraph" w:customStyle="1" w:styleId="figurescaption">
    <w:name w:val="figures caption"/>
    <w:basedOn w:val="Normal"/>
    <w:link w:val="figurescaptionChar"/>
    <w:autoRedefine/>
    <w:qFormat/>
    <w:rsid w:val="00000285"/>
    <w:pPr>
      <w:spacing w:before="60" w:after="360" w:line="280" w:lineRule="exact"/>
      <w:jc w:val="lowKashida"/>
    </w:pPr>
    <w:rPr>
      <w:rFonts w:ascii="Times New Roman" w:hAnsi="Times New Roman"/>
      <w:color w:val="404040" w:themeColor="text1" w:themeTint="BF"/>
      <w:sz w:val="20"/>
    </w:rPr>
  </w:style>
  <w:style w:type="character" w:customStyle="1" w:styleId="figurescaptionChar">
    <w:name w:val="figures caption Char"/>
    <w:basedOn w:val="DefaultParagraphFont"/>
    <w:link w:val="figurescaption"/>
    <w:rsid w:val="00000285"/>
    <w:rPr>
      <w:rFonts w:ascii="Times New Roman" w:hAnsi="Times New Roman"/>
      <w:color w:val="404040" w:themeColor="text1" w:themeTint="BF"/>
      <w:kern w:val="0"/>
      <w:sz w:val="20"/>
      <w:szCs w:val="22"/>
      <w:lang w:val="en-US"/>
      <w14:ligatures w14:val="none"/>
    </w:rPr>
  </w:style>
  <w:style w:type="paragraph" w:customStyle="1" w:styleId="MainText">
    <w:name w:val="Main Text"/>
    <w:basedOn w:val="Normal"/>
    <w:qFormat/>
    <w:rsid w:val="00000285"/>
    <w:pPr>
      <w:spacing w:before="120"/>
      <w:jc w:val="lowKashida"/>
    </w:pPr>
    <w:rPr>
      <w:color w:val="000000" w:themeColor="text1"/>
      <w:szCs w:val="20"/>
    </w:rPr>
  </w:style>
  <w:style w:type="paragraph" w:styleId="Footer">
    <w:name w:val="footer"/>
    <w:basedOn w:val="Normal"/>
    <w:link w:val="FooterChar"/>
    <w:uiPriority w:val="99"/>
    <w:unhideWhenUsed/>
    <w:rsid w:val="000002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285"/>
    <w:rPr>
      <w:rFonts w:asciiTheme="majorBidi" w:hAnsiTheme="majorBidi"/>
      <w:kern w:val="0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00285"/>
  </w:style>
  <w:style w:type="character" w:styleId="LineNumber">
    <w:name w:val="line number"/>
    <w:basedOn w:val="DefaultParagraphFont"/>
    <w:uiPriority w:val="99"/>
    <w:semiHidden/>
    <w:unhideWhenUsed/>
    <w:rsid w:val="00000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2026-10-22T10:35:00Z</dcterms:created>
  <dcterms:modified xsi:type="dcterms:W3CDTF">2026-10-22T10:35:00Z</dcterms:modified>
</cp:coreProperties>
</file>