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93C7" w14:textId="77777777" w:rsidR="00E977E0" w:rsidRDefault="00E977E0" w:rsidP="00E977E0">
      <w:pPr>
        <w:pStyle w:val="Heading1"/>
        <w:rPr>
          <w:bCs/>
        </w:rPr>
      </w:pPr>
      <w:r w:rsidRPr="009F7EEB">
        <w:t xml:space="preserve">Supplementary </w:t>
      </w:r>
      <w:r w:rsidRPr="006D7220">
        <w:t>information</w:t>
      </w:r>
      <w:r w:rsidRPr="009F7EEB">
        <w:rPr>
          <w:bCs/>
        </w:rPr>
        <w:t xml:space="preserve"> </w:t>
      </w:r>
    </w:p>
    <w:p w14:paraId="58DC190D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1</w:t>
      </w:r>
      <w:r w:rsidRPr="003A3E9C">
        <w:rPr>
          <w:lang w:eastAsia="en-GB"/>
        </w:rPr>
        <w:t xml:space="preserve">: Time-kill assay data across treatments and time points. </w:t>
      </w:r>
    </w:p>
    <w:p w14:paraId="0EB9E6CF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2</w:t>
      </w:r>
      <w:r w:rsidRPr="003A3E9C">
        <w:rPr>
          <w:lang w:eastAsia="en-GB"/>
        </w:rPr>
        <w:t>: Isothermal microcalorimetry heat-flow data</w:t>
      </w:r>
      <w:r>
        <w:rPr>
          <w:lang w:eastAsia="en-GB"/>
        </w:rPr>
        <w:t>.</w:t>
      </w:r>
    </w:p>
    <w:p w14:paraId="0CD859EF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3</w:t>
      </w:r>
      <w:r w:rsidRPr="003A3E9C">
        <w:rPr>
          <w:lang w:eastAsia="en-GB"/>
        </w:rPr>
        <w:t>: Transcriptomic distance matrix used for PCoA analysis</w:t>
      </w:r>
      <w:r>
        <w:rPr>
          <w:lang w:eastAsia="en-GB"/>
        </w:rPr>
        <w:t>.</w:t>
      </w:r>
    </w:p>
    <w:p w14:paraId="62FEEB48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4</w:t>
      </w:r>
      <w:r w:rsidRPr="003A3E9C">
        <w:rPr>
          <w:lang w:eastAsia="en-GB"/>
        </w:rPr>
        <w:t>: DESeq2 differential expression and interaction-model results.</w:t>
      </w:r>
    </w:p>
    <w:p w14:paraId="6895119B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5</w:t>
      </w:r>
      <w:r w:rsidRPr="003A3E9C">
        <w:rPr>
          <w:lang w:eastAsia="en-GB"/>
        </w:rPr>
        <w:t>: KEGG pathway enrichment results.</w:t>
      </w:r>
    </w:p>
    <w:p w14:paraId="39D14917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6</w:t>
      </w:r>
      <w:r w:rsidRPr="003A3E9C">
        <w:rPr>
          <w:lang w:eastAsia="en-GB"/>
        </w:rPr>
        <w:t>: RNA-seq sample metadata.</w:t>
      </w:r>
    </w:p>
    <w:p w14:paraId="2CEDD2C5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7</w:t>
      </w:r>
      <w:r w:rsidRPr="003A3E9C">
        <w:rPr>
          <w:lang w:eastAsia="en-GB"/>
        </w:rPr>
        <w:t>: Raw featureCounts gene-level count matrix used for RNA-seq analysis</w:t>
      </w:r>
      <w:r>
        <w:rPr>
          <w:lang w:eastAsia="en-GB"/>
        </w:rPr>
        <w:t>.</w:t>
      </w:r>
    </w:p>
    <w:p w14:paraId="3ABB9A1F" w14:textId="77777777" w:rsidR="00E977E0" w:rsidRPr="003A3E9C" w:rsidRDefault="00E977E0" w:rsidP="00E977E0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lang w:eastAsia="en-GB"/>
        </w:rPr>
      </w:pPr>
      <w:r w:rsidRPr="003A3E9C">
        <w:rPr>
          <w:b/>
          <w:bCs/>
          <w:lang w:eastAsia="en-GB"/>
        </w:rPr>
        <w:t>Supplementary File 8</w:t>
      </w:r>
      <w:r w:rsidRPr="003A3E9C">
        <w:rPr>
          <w:lang w:eastAsia="en-GB"/>
        </w:rPr>
        <w:t>: EC45622 gene annotations.</w:t>
      </w:r>
    </w:p>
    <w:p w14:paraId="4BD05254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820E7"/>
    <w:multiLevelType w:val="hybridMultilevel"/>
    <w:tmpl w:val="EB50F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089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E0"/>
    <w:rsid w:val="000C4033"/>
    <w:rsid w:val="00173ED8"/>
    <w:rsid w:val="002F50B1"/>
    <w:rsid w:val="00444B42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E9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D237B"/>
  <w15:chartTrackingRefBased/>
  <w15:docId w15:val="{EEFB90ED-E110-48F5-BFC3-9ED2A87B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2026-10-22T10:34:00Z</dcterms:created>
  <dcterms:modified xsi:type="dcterms:W3CDTF">2026-10-22T10:34:00Z</dcterms:modified>
</cp:coreProperties>
</file>