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ECC" w:rsidRPr="005861A6" w:rsidRDefault="00765AAB">
      <w:pPr>
        <w:spacing w:before="880" w:after="200"/>
        <w:jc w:val="center"/>
        <w:rPr>
          <w:rFonts w:ascii="Times New Roman" w:hAnsi="Times New Roman" w:cs="Times New Roman"/>
          <w:sz w:val="24"/>
          <w:szCs w:val="24"/>
        </w:rPr>
      </w:pPr>
      <w:bookmarkStart w:id="0" w:name="_GoBack"/>
      <w:r w:rsidRPr="005861A6">
        <w:rPr>
          <w:rFonts w:ascii="Times New Roman" w:hAnsi="Times New Roman" w:cs="Times New Roman"/>
          <w:b/>
          <w:sz w:val="24"/>
          <w:szCs w:val="24"/>
        </w:rPr>
        <w:t>SUPPLEMENTARY MATERIAL</w:t>
      </w:r>
    </w:p>
    <w:p w:rsidR="00FF3ECC" w:rsidRPr="005861A6" w:rsidRDefault="00765AAB">
      <w:pPr>
        <w:spacing w:after="360"/>
        <w:jc w:val="center"/>
        <w:rPr>
          <w:rFonts w:ascii="Times New Roman" w:hAnsi="Times New Roman" w:cs="Times New Roman"/>
          <w:sz w:val="24"/>
          <w:szCs w:val="24"/>
        </w:rPr>
      </w:pPr>
      <w:r w:rsidRPr="005861A6">
        <w:rPr>
          <w:rFonts w:ascii="Times New Roman" w:hAnsi="Times New Roman" w:cs="Times New Roman"/>
          <w:b/>
          <w:sz w:val="24"/>
          <w:szCs w:val="24"/>
        </w:rPr>
        <w:t>Circulating Angiopoietin-2 Concentrations in Neonates and Children With Sepsis Compared With Non-Septic Controls: A Systematic Review and Meta-Analysis</w:t>
      </w:r>
    </w:p>
    <w:p w:rsidR="00FF3ECC" w:rsidRPr="005861A6" w:rsidRDefault="00765AAB">
      <w:pPr>
        <w:jc w:val="center"/>
        <w:rPr>
          <w:rFonts w:ascii="Times New Roman" w:hAnsi="Times New Roman" w:cs="Times New Roman"/>
          <w:sz w:val="24"/>
          <w:szCs w:val="24"/>
        </w:rPr>
      </w:pPr>
      <w:r w:rsidRPr="005861A6">
        <w:rPr>
          <w:rFonts w:ascii="Times New Roman" w:hAnsi="Times New Roman" w:cs="Times New Roman"/>
          <w:i/>
          <w:sz w:val="24"/>
          <w:szCs w:val="24"/>
        </w:rPr>
        <w:t>Supplementary Tables S1–S8 and PRISMA 2020 checklist</w:t>
      </w:r>
    </w:p>
    <w:p w:rsidR="00FF3ECC" w:rsidRPr="005861A6" w:rsidRDefault="00FF3ECC">
      <w:pPr>
        <w:rPr>
          <w:rFonts w:ascii="Times New Roman" w:hAnsi="Times New Roman" w:cs="Times New Roman"/>
        </w:rPr>
        <w:sectPr w:rsidR="00FF3ECC" w:rsidRPr="005861A6">
          <w:footerReference w:type="default" r:id="rId8"/>
          <w:pgSz w:w="12240" w:h="15840"/>
          <w:pgMar w:top="893" w:right="1037" w:bottom="893" w:left="1037"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Table S1. Full database-specific search strategies</w:t>
      </w:r>
    </w:p>
    <w:p w:rsidR="00FF3ECC" w:rsidRPr="005861A6" w:rsidRDefault="00765AAB">
      <w:pPr>
        <w:spacing w:before="40" w:after="100"/>
        <w:rPr>
          <w:rFonts w:ascii="Times New Roman" w:hAnsi="Times New Roman" w:cs="Times New Roman"/>
        </w:rPr>
      </w:pPr>
      <w:r w:rsidRPr="005861A6">
        <w:rPr>
          <w:rFonts w:ascii="Times New Roman" w:hAnsi="Times New Roman" w:cs="Times New Roman"/>
          <w:color w:val="9C5700"/>
          <w:sz w:val="16"/>
        </w:rPr>
        <w:t>Search date for all sources: from inception to 5 September 2026; no date restriction;</w:t>
      </w:r>
      <w:r w:rsidRPr="005861A6">
        <w:rPr>
          <w:rFonts w:ascii="Times New Roman" w:hAnsi="Times New Roman" w:cs="Times New Roman"/>
          <w:color w:val="9C5700"/>
          <w:sz w:val="16"/>
        </w:rPr>
        <w:t xml:space="preserve"> English-language publications. The saved working records do not preserve every executed database query verbatim. Exact available strings are reproduced below, and missing execution strings are explicitly identified rather than reconstructed as historical </w:t>
      </w:r>
      <w:r w:rsidRPr="005861A6">
        <w:rPr>
          <w:rFonts w:ascii="Times New Roman" w:hAnsi="Times New Roman" w:cs="Times New Roman"/>
          <w:color w:val="9C5700"/>
          <w:sz w:val="16"/>
        </w:rPr>
        <w:t>searches.</w:t>
      </w:r>
    </w:p>
    <w:p w:rsidR="00FF3ECC" w:rsidRPr="005861A6" w:rsidRDefault="00765AAB">
      <w:pPr>
        <w:pStyle w:val="Heading2"/>
        <w:rPr>
          <w:rFonts w:ascii="Times New Roman" w:hAnsi="Times New Roman" w:cs="Times New Roman"/>
        </w:rPr>
      </w:pPr>
      <w:r w:rsidRPr="005861A6">
        <w:rPr>
          <w:rFonts w:ascii="Times New Roman" w:hAnsi="Times New Roman" w:cs="Times New Roman"/>
        </w:rPr>
        <w:t>PubMed/MEDLINE: recorded Ang-2-specific query</w:t>
      </w:r>
    </w:p>
    <w:p w:rsidR="00FF3ECC" w:rsidRPr="005861A6" w:rsidRDefault="00765AAB">
      <w:pPr>
        <w:pStyle w:val="QueryBlock"/>
        <w:shd w:val="clear" w:color="auto" w:fill="F2F2F2"/>
        <w:rPr>
          <w:rFonts w:ascii="Times New Roman" w:hAnsi="Times New Roman" w:cs="Times New Roman"/>
        </w:rPr>
      </w:pPr>
      <w:r w:rsidRPr="005861A6">
        <w:rPr>
          <w:rFonts w:ascii="Times New Roman" w:hAnsi="Times New Roman" w:cs="Times New Roman"/>
          <w:sz w:val="15"/>
        </w:rPr>
        <w:t>("Angiopoietin-2"[Mesh] OR "angiopoietin-2"[Title/Abstract] OR "angiopoietin 2"[Title/Abstract] OR angiopoietin2[Title/Abstract] OR ANGPT2[Title/Abstract] OR "Ang-2"[Title/Abstract] OR Ang2[Title/Abst</w:t>
      </w:r>
      <w:r w:rsidRPr="005861A6">
        <w:rPr>
          <w:rFonts w:ascii="Times New Roman" w:hAnsi="Times New Roman" w:cs="Times New Roman"/>
          <w:sz w:val="15"/>
        </w:rPr>
        <w:t>ract]) AND ("Sepsis"[Mesh] OR "Shock, Septic"[Mesh] OR sepsis[Title/Abstract] OR septic[Title/Abstract] OR "septic shock"[Title/Abstract] OR "severe sepsis"[Title/Abstract]) AND ("Infant, Newborn"[Mesh] OR "Infant"[Mesh] OR "Child"[Mesh] OR "Adolescent"[Me</w:t>
      </w:r>
      <w:r w:rsidRPr="005861A6">
        <w:rPr>
          <w:rFonts w:ascii="Times New Roman" w:hAnsi="Times New Roman" w:cs="Times New Roman"/>
          <w:sz w:val="15"/>
        </w:rPr>
        <w:t>sh] OR neonat*[Title/Abstract] OR newborn*[Title/Abstract] OR infant*[Title/Abstract] OR toddler*[Title/Abstract] OR child*[Title/Abstract] OR pediatric*[Title/Abstract] OR paediatric*[Title/Abstract] OR adolescen*[Title/Abstract])</w:t>
      </w:r>
    </w:p>
    <w:p w:rsidR="00FF3ECC" w:rsidRPr="005861A6" w:rsidRDefault="00765AAB">
      <w:pPr>
        <w:pStyle w:val="Heading2"/>
        <w:rPr>
          <w:rFonts w:ascii="Times New Roman" w:hAnsi="Times New Roman" w:cs="Times New Roman"/>
        </w:rPr>
      </w:pPr>
      <w:r w:rsidRPr="005861A6">
        <w:rPr>
          <w:rFonts w:ascii="Times New Roman" w:hAnsi="Times New Roman" w:cs="Times New Roman"/>
        </w:rPr>
        <w:t>PubMed/MEDLINE: recorded</w:t>
      </w:r>
      <w:r w:rsidRPr="005861A6">
        <w:rPr>
          <w:rFonts w:ascii="Times New Roman" w:hAnsi="Times New Roman" w:cs="Times New Roman"/>
        </w:rPr>
        <w:t xml:space="preserve"> broad angiopoietin/Tie2 query</w:t>
      </w:r>
    </w:p>
    <w:p w:rsidR="00FF3ECC" w:rsidRPr="005861A6" w:rsidRDefault="00765AAB">
      <w:pPr>
        <w:pStyle w:val="QueryBlock"/>
        <w:shd w:val="clear" w:color="auto" w:fill="F2F2F2"/>
        <w:rPr>
          <w:rFonts w:ascii="Times New Roman" w:hAnsi="Times New Roman" w:cs="Times New Roman"/>
        </w:rPr>
      </w:pPr>
      <w:r w:rsidRPr="005861A6">
        <w:rPr>
          <w:rFonts w:ascii="Times New Roman" w:hAnsi="Times New Roman" w:cs="Times New Roman"/>
          <w:sz w:val="15"/>
        </w:rPr>
        <w:t>(angiopoietin*[Title/Abstract] OR ANGPT*[Title/Abstract] OR "Ang-1"[Title/Abstract] OR "Ang-2"[Title/Abstract] OR Ang1[Title/Abstract] OR Ang2[Title/Abstract] OR "Tie-2"[Title/Abstract] OR Tie2[Title/Abstract]) AND (sepsis[Ti</w:t>
      </w:r>
      <w:r w:rsidRPr="005861A6">
        <w:rPr>
          <w:rFonts w:ascii="Times New Roman" w:hAnsi="Times New Roman" w:cs="Times New Roman"/>
          <w:sz w:val="15"/>
        </w:rPr>
        <w:t>tle/Abstract] OR septic[Title/Abstract] OR "systemic inflammatory response syndrome"[Title/Abstract] OR SIRS[Title/Abstract] OR infection*[Title/Abstract]) AND (neonat*[Title/Abstract] OR newborn*[Title/Abstract] OR infant*[Title/Abstract] OR toddler*[Titl</w:t>
      </w:r>
      <w:r w:rsidRPr="005861A6">
        <w:rPr>
          <w:rFonts w:ascii="Times New Roman" w:hAnsi="Times New Roman" w:cs="Times New Roman"/>
          <w:sz w:val="15"/>
        </w:rPr>
        <w:t>e/Abstract] OR child*[Title/Abstract] OR pediatric*[Title/Abstract] OR paediatric*[Title/Abstract] OR adolescen*[Title/Abstract])</w:t>
      </w:r>
    </w:p>
    <w:p w:rsidR="00FF3ECC" w:rsidRPr="005861A6" w:rsidRDefault="00765AAB">
      <w:pPr>
        <w:pStyle w:val="Heading2"/>
        <w:rPr>
          <w:rFonts w:ascii="Times New Roman" w:hAnsi="Times New Roman" w:cs="Times New Roman"/>
        </w:rPr>
      </w:pPr>
      <w:r w:rsidRPr="005861A6">
        <w:rPr>
          <w:rFonts w:ascii="Times New Roman" w:hAnsi="Times New Roman" w:cs="Times New Roman"/>
        </w:rPr>
        <w:t>Additional PubMed searches and preserved retrieval information</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The review methods report six PubMed searches in total: one bro</w:t>
      </w:r>
      <w:r w:rsidRPr="005861A6">
        <w:rPr>
          <w:rFonts w:ascii="Times New Roman" w:hAnsi="Times New Roman" w:cs="Times New Roman"/>
        </w:rPr>
        <w:t>ad and five focused searches.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The saved protocol notes report 100 records across the six PubMed searches, with individual search counts recorded as 47, 18, 2, 6, 10, and 17. The retained notes do not reliably map all six counts to verbatim query strings.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The exact executed query strings for the remaining focused PubMed searches were not present in the available records. They should be retrieved from PubMed search history or the original search export before submission.</w:t>
      </w:r>
    </w:p>
    <w:p w:rsidR="00FF3ECC" w:rsidRPr="005861A6" w:rsidRDefault="00765AAB">
      <w:pPr>
        <w:pStyle w:val="Heading2"/>
        <w:rPr>
          <w:rFonts w:ascii="Times New Roman" w:hAnsi="Times New Roman" w:cs="Times New Roman"/>
        </w:rPr>
      </w:pPr>
      <w:r w:rsidRPr="005861A6">
        <w:rPr>
          <w:rFonts w:ascii="Times New Roman" w:hAnsi="Times New Roman" w:cs="Times New Roman"/>
        </w:rPr>
        <w:t>Google Scholar: queries recorded as r</w:t>
      </w:r>
      <w:r w:rsidRPr="005861A6">
        <w:rPr>
          <w:rFonts w:ascii="Times New Roman" w:hAnsi="Times New Roman" w:cs="Times New Roman"/>
        </w:rPr>
        <w:t>un separately</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"angiopoietin-2" "pediatric sepsis" controls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"angiopoietin-2" "neonatal sepsis"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"Ang-2" children sepsis "healthy controls"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"angiopoietin 2" newborn sepsis SIRS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"angiopoietin-Tie2" pediatric sepsis</w:t>
      </w:r>
    </w:p>
    <w:p w:rsidR="00FF3ECC" w:rsidRPr="005861A6" w:rsidRDefault="00765AAB">
      <w:pPr>
        <w:pStyle w:val="ListBullet"/>
        <w:spacing w:after="40"/>
        <w:rPr>
          <w:rFonts w:ascii="Times New Roman" w:hAnsi="Times New Roman" w:cs="Times New Roman"/>
        </w:rPr>
      </w:pPr>
      <w:r w:rsidRPr="005861A6">
        <w:rPr>
          <w:rFonts w:ascii="Times New Roman" w:hAnsi="Times New Roman" w:cs="Times New Roman"/>
        </w:rPr>
        <w:t>"endothelial dysfunction" angiopoietin pediat</w:t>
      </w:r>
      <w:r w:rsidRPr="005861A6">
        <w:rPr>
          <w:rFonts w:ascii="Times New Roman" w:hAnsi="Times New Roman" w:cs="Times New Roman"/>
        </w:rPr>
        <w:t>ric sepsis</w:t>
      </w:r>
    </w:p>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6"/>
        </w:rPr>
        <w:t>The first 10 relevance-ranked results for each Google Scholar query were screened. The El Gendy et al. (2023) report was identified through Google Scholar; Kortz et al. (2019) was identified through PubMed and its full text obtained through PubM</w:t>
      </w:r>
      <w:r w:rsidRPr="005861A6">
        <w:rPr>
          <w:rFonts w:ascii="Times New Roman" w:hAnsi="Times New Roman" w:cs="Times New Roman"/>
          <w:i/>
          <w:color w:val="666666"/>
          <w:sz w:val="16"/>
        </w:rPr>
        <w:t>ed Central.</w:t>
      </w:r>
    </w:p>
    <w:p w:rsidR="00FF3ECC" w:rsidRPr="005861A6" w:rsidRDefault="00765AAB">
      <w:pPr>
        <w:pStyle w:val="Heading2"/>
        <w:rPr>
          <w:rFonts w:ascii="Times New Roman" w:hAnsi="Times New Roman" w:cs="Times New Roman"/>
        </w:rPr>
      </w:pPr>
      <w:r w:rsidRPr="005861A6">
        <w:rPr>
          <w:rFonts w:ascii="Times New Roman" w:hAnsi="Times New Roman" w:cs="Times New Roman"/>
        </w:rPr>
        <w:t>Embase, Scopus, and CENTRAL</w:t>
      </w:r>
    </w:p>
    <w:p w:rsidR="00FF3ECC" w:rsidRPr="005861A6" w:rsidRDefault="00765AAB">
      <w:pPr>
        <w:spacing w:before="40" w:after="100"/>
        <w:rPr>
          <w:rFonts w:ascii="Times New Roman" w:hAnsi="Times New Roman" w:cs="Times New Roman"/>
        </w:rPr>
      </w:pPr>
      <w:r w:rsidRPr="005861A6">
        <w:rPr>
          <w:rFonts w:ascii="Times New Roman" w:hAnsi="Times New Roman" w:cs="Times New Roman"/>
          <w:color w:val="9C5700"/>
          <w:sz w:val="16"/>
        </w:rPr>
        <w:t>The saved manuscript records confirm that these databases were searched using database-specific syntax and controlled vocabulary/free-text combinations for angiopoietin-2, sepsis, and pediatric age groups. However, t</w:t>
      </w:r>
      <w:r w:rsidRPr="005861A6">
        <w:rPr>
          <w:rFonts w:ascii="Times New Roman" w:hAnsi="Times New Roman" w:cs="Times New Roman"/>
          <w:color w:val="9C5700"/>
          <w:sz w:val="16"/>
        </w:rPr>
        <w:t>he exact executed strings for Embase, Scopus, and CENTRAL were not present in the available working files. They must be copied from the original search histories before this supplement can be considered a complete, reproducible database-search appendix.</w:t>
      </w:r>
    </w:p>
    <w:p w:rsidR="00FF3ECC" w:rsidRPr="005861A6" w:rsidRDefault="00FF3ECC">
      <w:pPr>
        <w:rPr>
          <w:rFonts w:ascii="Times New Roman" w:hAnsi="Times New Roman" w:cs="Times New Roman"/>
        </w:rPr>
        <w:sectPr w:rsidR="00FF3ECC" w:rsidRPr="005861A6">
          <w:pgSz w:w="12240" w:h="15840"/>
          <w:pgMar w:top="893" w:right="1037" w:bottom="893" w:left="1037"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Table S2. Characteristics of the 11 included studies</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2232"/>
        <w:gridCol w:w="3168"/>
        <w:gridCol w:w="1224"/>
        <w:gridCol w:w="2232"/>
        <w:gridCol w:w="2376"/>
        <w:gridCol w:w="1872"/>
        <w:gridCol w:w="1800"/>
      </w:tblGrid>
      <w:tr w:rsidR="00FF3ECC" w:rsidRPr="005861A6">
        <w:trPr>
          <w:tblHeader/>
          <w:jc w:val="center"/>
        </w:trPr>
        <w:tc>
          <w:tcPr>
            <w:tcW w:w="223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Study, country, design</w:t>
            </w:r>
          </w:p>
        </w:tc>
        <w:tc>
          <w:tcPr>
            <w:tcW w:w="3168"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Population and sepsis definition</w:t>
            </w:r>
          </w:p>
        </w:tc>
        <w:tc>
          <w:tcPr>
            <w:tcW w:w="122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Sepsis group n</w:t>
            </w:r>
          </w:p>
        </w:tc>
        <w:tc>
          <w:tcPr>
            <w:tcW w:w="223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Comparator group</w:t>
            </w:r>
          </w:p>
        </w:tc>
        <w:tc>
          <w:tcPr>
            <w:tcW w:w="2376"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Specimen and assay</w:t>
            </w:r>
          </w:p>
        </w:tc>
        <w:tc>
          <w:tcPr>
            <w:tcW w:w="187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Sampling time</w:t>
            </w:r>
          </w:p>
        </w:tc>
        <w:tc>
          <w:tcPr>
            <w:tcW w:w="180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5"/>
              </w:rPr>
              <w:t>Synthesis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El Gendy et al. (2023)</w:t>
            </w:r>
            <w:r w:rsidRPr="005861A6">
              <w:rPr>
                <w:rFonts w:ascii="Times New Roman" w:hAnsi="Times New Roman" w:cs="Times New Roman"/>
                <w:b/>
                <w:sz w:val="14"/>
              </w:rPr>
              <w:br/>
              <w:t xml:space="preserve">Egypt; </w:t>
            </w:r>
            <w:r w:rsidRPr="005861A6">
              <w:rPr>
                <w:rFonts w:ascii="Times New Roman" w:hAnsi="Times New Roman" w:cs="Times New Roman"/>
                <w:b/>
                <w:sz w:val="14"/>
              </w:rPr>
              <w:t>prospective observational study</w:t>
            </w:r>
          </w:p>
        </w:tc>
        <w:tc>
          <w:tcPr>
            <w:tcW w:w="31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Children admitted to PICU; sepsis, severe sepsis, or septic shock; IPSCC-based criteria</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70</w:t>
            </w:r>
          </w:p>
        </w:tc>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25 healthy children</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Serum; Shanghai Sunred human Ang-2 ELISA</w:t>
            </w:r>
          </w:p>
        </w:tc>
        <w:tc>
          <w:tcPr>
            <w:tcW w:w="18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Within 24 h of admission</w:t>
            </w:r>
          </w:p>
        </w:tc>
        <w:tc>
          <w:tcPr>
            <w:tcW w:w="180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 meta-analysis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Giuliano et al. (2007)</w:t>
            </w:r>
            <w:r w:rsidRPr="005861A6">
              <w:rPr>
                <w:rFonts w:ascii="Times New Roman" w:hAnsi="Times New Roman" w:cs="Times New Roman"/>
                <w:b/>
                <w:sz w:val="14"/>
              </w:rPr>
              <w:br/>
            </w:r>
            <w:r w:rsidRPr="005861A6">
              <w:rPr>
                <w:rFonts w:ascii="Times New Roman" w:hAnsi="Times New Roman" w:cs="Times New Roman"/>
                <w:b/>
                <w:sz w:val="14"/>
              </w:rPr>
              <w:t>USA; prospective observational study</w:t>
            </w:r>
          </w:p>
        </w:tc>
        <w:tc>
          <w:tcPr>
            <w:tcW w:w="31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Critically ill children; pediatric-modified ACCP/SCCM consensus definitions</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81 (20 sepsis + 61 septic shock)</w:t>
            </w:r>
          </w:p>
        </w:tc>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15 healthy children undergoing elective surgery</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Plasma; R&amp;D Systems Quantikine ELISA</w:t>
            </w:r>
          </w:p>
        </w:tc>
        <w:tc>
          <w:tcPr>
            <w:tcW w:w="18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Within 24 h of diagnosis/</w:t>
            </w:r>
            <w:r w:rsidRPr="005861A6">
              <w:rPr>
                <w:rFonts w:ascii="Times New Roman" w:hAnsi="Times New Roman" w:cs="Times New Roman"/>
                <w:sz w:val="14"/>
              </w:rPr>
              <w:t>PICU admission</w:t>
            </w:r>
          </w:p>
        </w:tc>
        <w:tc>
          <w:tcPr>
            <w:tcW w:w="180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 meta-analysis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Mankhambo et al. (2010)</w:t>
            </w:r>
            <w:r w:rsidRPr="005861A6">
              <w:rPr>
                <w:rFonts w:ascii="Times New Roman" w:hAnsi="Times New Roman" w:cs="Times New Roman"/>
                <w:b/>
                <w:sz w:val="14"/>
              </w:rPr>
              <w:br/>
              <w:t>Malawi; prospective observational cohort</w:t>
            </w:r>
          </w:p>
        </w:tc>
        <w:tc>
          <w:tcPr>
            <w:tcW w:w="31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Children with severe bacterial infection, including bacterial meningitis/pneumonia; microbiological case definitions</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293</w:t>
            </w:r>
          </w:p>
        </w:tc>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15 healthy afebrile children</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Plasma; R&amp;D Systems ELISA</w:t>
            </w:r>
          </w:p>
        </w:tc>
        <w:tc>
          <w:tcPr>
            <w:tcW w:w="18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Hospital admission</w:t>
            </w:r>
          </w:p>
        </w:tc>
        <w:tc>
          <w:tcPr>
            <w:tcW w:w="180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 meta-analysis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Sallee et al. (2026)</w:t>
            </w:r>
            <w:r w:rsidRPr="005861A6">
              <w:rPr>
                <w:rFonts w:ascii="Times New Roman" w:hAnsi="Times New Roman" w:cs="Times New Roman"/>
                <w:b/>
                <w:sz w:val="14"/>
              </w:rPr>
              <w:br/>
              <w:t>USA; prospective comparative cohort</w:t>
            </w:r>
          </w:p>
        </w:tc>
        <w:tc>
          <w:tcPr>
            <w:tcW w:w="31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Pediatric sepsis arm; study-specific sepsis/septic-shock criteria</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w:t>
            </w:r>
          </w:p>
        </w:tc>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 pediatric healthy controls</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Citrated plasma; R&amp;D Systems </w:t>
            </w:r>
            <w:r w:rsidRPr="005861A6">
              <w:rPr>
                <w:rFonts w:ascii="Times New Roman" w:hAnsi="Times New Roman" w:cs="Times New Roman"/>
                <w:sz w:val="14"/>
              </w:rPr>
              <w:t>ELISA</w:t>
            </w:r>
          </w:p>
        </w:tc>
        <w:tc>
          <w:tcPr>
            <w:tcW w:w="18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Within 12 h of hospitalization</w:t>
            </w:r>
          </w:p>
        </w:tc>
        <w:tc>
          <w:tcPr>
            <w:tcW w:w="180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 meta-analysis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Zonneveld et al. (2017)</w:t>
            </w:r>
            <w:r w:rsidRPr="005861A6">
              <w:rPr>
                <w:rFonts w:ascii="Times New Roman" w:hAnsi="Times New Roman" w:cs="Times New Roman"/>
                <w:b/>
                <w:sz w:val="14"/>
              </w:rPr>
              <w:br/>
              <w:t>Suriname; prospective neonatal cohort</w:t>
            </w:r>
          </w:p>
        </w:tc>
        <w:tc>
          <w:tcPr>
            <w:tcW w:w="31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Near-term/term newborns assessed for early-onset sepsis; blood-culture-positive EOS for primary contrast</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6 blood-culture-positive EOS </w:t>
            </w:r>
            <w:r w:rsidRPr="005861A6">
              <w:rPr>
                <w:rFonts w:ascii="Times New Roman" w:hAnsi="Times New Roman" w:cs="Times New Roman"/>
                <w:sz w:val="14"/>
              </w:rPr>
              <w:t>newborns</w:t>
            </w:r>
          </w:p>
        </w:tc>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20 newborn controls without signs of infection</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Serum; R&amp;D Systems Quantikine ELISA</w:t>
            </w:r>
          </w:p>
        </w:tc>
        <w:tc>
          <w:tcPr>
            <w:tcW w:w="18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At initiation of antibiotics (baseline)</w:t>
            </w:r>
          </w:p>
        </w:tc>
        <w:tc>
          <w:tcPr>
            <w:tcW w:w="180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 meta-analysis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Giuliano et al. (2014)</w:t>
            </w:r>
            <w:r w:rsidRPr="005861A6">
              <w:rPr>
                <w:rFonts w:ascii="Times New Roman" w:hAnsi="Times New Roman" w:cs="Times New Roman"/>
                <w:b/>
                <w:sz w:val="14"/>
              </w:rPr>
              <w:br/>
              <w:t>USA; prospective longitudinal observational study</w:t>
            </w:r>
          </w:p>
        </w:tc>
        <w:tc>
          <w:tcPr>
            <w:tcW w:w="31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Critically ill pediatric </w:t>
            </w:r>
            <w:r w:rsidRPr="005861A6">
              <w:rPr>
                <w:rFonts w:ascii="Times New Roman" w:hAnsi="Times New Roman" w:cs="Times New Roman"/>
                <w:sz w:val="14"/>
              </w:rPr>
              <w:t>patients; non-SIRS versus sepsis severity groups defined using pediatric consensus criteria</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17 severe sepsis/septic shock group</w:t>
            </w:r>
          </w:p>
        </w:tc>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9 non-SIRS PICU patients (group used in expanded analysis)</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Plasma; R&amp;D Systems ELISA</w:t>
            </w:r>
          </w:p>
        </w:tc>
        <w:tc>
          <w:tcPr>
            <w:tcW w:w="18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PICU admission; values extracted from publi</w:t>
            </w:r>
            <w:r w:rsidRPr="005861A6">
              <w:rPr>
                <w:rFonts w:ascii="Times New Roman" w:hAnsi="Times New Roman" w:cs="Times New Roman"/>
                <w:sz w:val="14"/>
              </w:rPr>
              <w:t>shed graph</w:t>
            </w:r>
          </w:p>
        </w:tc>
        <w:tc>
          <w:tcPr>
            <w:tcW w:w="180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Sensitivity analysis only; graph-derived estimates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Siavashi et al. (2017)</w:t>
            </w:r>
            <w:r w:rsidRPr="005861A6">
              <w:rPr>
                <w:rFonts w:ascii="Times New Roman" w:hAnsi="Times New Roman" w:cs="Times New Roman"/>
                <w:b/>
                <w:sz w:val="14"/>
              </w:rPr>
              <w:br/>
              <w:t>Iran; comparative observational study</w:t>
            </w:r>
          </w:p>
        </w:tc>
        <w:tc>
          <w:tcPr>
            <w:tcW w:w="31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Preterm infants; sepsis defined using study-specific clinical/laboratory criteria</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81</w:t>
            </w:r>
          </w:p>
        </w:tc>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52 preterm infants without sepsis</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Serum/plasma;</w:t>
            </w:r>
            <w:r w:rsidRPr="005861A6">
              <w:rPr>
                <w:rFonts w:ascii="Times New Roman" w:hAnsi="Times New Roman" w:cs="Times New Roman"/>
                <w:sz w:val="14"/>
              </w:rPr>
              <w:t xml:space="preserve"> R&amp;D Systems Quantikine ELISA</w:t>
            </w:r>
          </w:p>
        </w:tc>
        <w:tc>
          <w:tcPr>
            <w:tcW w:w="18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At sepsis assessment; values extracted from published graph</w:t>
            </w:r>
          </w:p>
        </w:tc>
        <w:tc>
          <w:tcPr>
            <w:tcW w:w="180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Sensitivity analysis only; graph-derived estimates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Whitney et al. (2020)</w:t>
            </w:r>
            <w:r w:rsidRPr="005861A6">
              <w:rPr>
                <w:rFonts w:ascii="Times New Roman" w:hAnsi="Times New Roman" w:cs="Times New Roman"/>
                <w:b/>
                <w:sz w:val="14"/>
              </w:rPr>
              <w:br/>
              <w:t>USA; secondary analysis of prospective cohorts</w:t>
            </w:r>
          </w:p>
        </w:tc>
        <w:tc>
          <w:tcPr>
            <w:tcW w:w="31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Children &lt;18 years with extrapulmonary </w:t>
            </w:r>
            <w:r w:rsidRPr="005861A6">
              <w:rPr>
                <w:rFonts w:ascii="Times New Roman" w:hAnsi="Times New Roman" w:cs="Times New Roman"/>
                <w:sz w:val="14"/>
              </w:rPr>
              <w:t>sepsis; 46 with ARDS and 54 without ARDS</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100 with sepsis (46 ARDS; 54 no ARDS)</w:t>
            </w:r>
          </w:p>
        </w:tc>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19 non-infected PICU controls</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Plasma; mixed multiplex/ELISA platforms</w:t>
            </w:r>
          </w:p>
        </w:tc>
        <w:tc>
          <w:tcPr>
            <w:tcW w:w="18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Within 3 days of sepsis recognition (T1)</w:t>
            </w:r>
          </w:p>
        </w:tc>
        <w:tc>
          <w:tcPr>
            <w:tcW w:w="180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Narrative synthesis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Kortz et al. (2019)</w:t>
            </w:r>
            <w:r w:rsidRPr="005861A6">
              <w:rPr>
                <w:rFonts w:ascii="Times New Roman" w:hAnsi="Times New Roman" w:cs="Times New Roman"/>
                <w:b/>
                <w:sz w:val="14"/>
              </w:rPr>
              <w:br/>
              <w:t xml:space="preserve">Malawi; retrospective </w:t>
            </w:r>
            <w:r w:rsidRPr="005861A6">
              <w:rPr>
                <w:rFonts w:ascii="Times New Roman" w:hAnsi="Times New Roman" w:cs="Times New Roman"/>
                <w:b/>
                <w:sz w:val="14"/>
              </w:rPr>
              <w:t>biomarker analysis of prospective case-control cohort</w:t>
            </w:r>
          </w:p>
        </w:tc>
        <w:tc>
          <w:tcPr>
            <w:tcW w:w="31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Febrile children aged 6–60 months in malaria-endemic setting; malaria/sepsis classifications per study criteria</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Malarial sepsis n=13–17 as reported; non-malarial sepsis n=20</w:t>
            </w:r>
          </w:p>
        </w:tc>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Non-malarial febrile control</w:t>
            </w:r>
            <w:r w:rsidRPr="005861A6">
              <w:rPr>
                <w:rFonts w:ascii="Times New Roman" w:hAnsi="Times New Roman" w:cs="Times New Roman"/>
                <w:sz w:val="14"/>
              </w:rPr>
              <w:t>s n=20</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Serum; Luminex MAGPIX multiplex magnetic bead assay</w:t>
            </w:r>
          </w:p>
        </w:tc>
        <w:tc>
          <w:tcPr>
            <w:tcW w:w="18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At presentation</w:t>
            </w:r>
          </w:p>
        </w:tc>
        <w:tc>
          <w:tcPr>
            <w:tcW w:w="180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Narrative synthesis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Pierce et al. (2019)</w:t>
            </w:r>
            <w:r w:rsidRPr="005861A6">
              <w:rPr>
                <w:rFonts w:ascii="Times New Roman" w:hAnsi="Times New Roman" w:cs="Times New Roman"/>
                <w:b/>
                <w:sz w:val="14"/>
              </w:rPr>
              <w:br/>
              <w:t>USA; prospective multicentre cohort (3 PICUs)</w:t>
            </w:r>
          </w:p>
        </w:tc>
        <w:tc>
          <w:tcPr>
            <w:tcW w:w="31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Critically ill children &lt;5 years; non-SIRS, SIRS/sepsis, and severe sepsis/septic shock </w:t>
            </w:r>
            <w:r w:rsidRPr="005861A6">
              <w:rPr>
                <w:rFonts w:ascii="Times New Roman" w:hAnsi="Times New Roman" w:cs="Times New Roman"/>
                <w:sz w:val="14"/>
              </w:rPr>
              <w:t>groups</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6 severe sepsis/septic shock; 6 SIRS/sepsis</w:t>
            </w:r>
          </w:p>
        </w:tc>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5 non-SIRS participants</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Plasma; R&amp;D Systems Quantikine ELISA</w:t>
            </w:r>
          </w:p>
        </w:tc>
        <w:tc>
          <w:tcPr>
            <w:tcW w:w="18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Serially, hospital days 1–4</w:t>
            </w:r>
          </w:p>
        </w:tc>
        <w:tc>
          <w:tcPr>
            <w:tcW w:w="180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Narrative synthesis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Çakmakcı et al. (2024)</w:t>
            </w:r>
            <w:r w:rsidRPr="005861A6">
              <w:rPr>
                <w:rFonts w:ascii="Times New Roman" w:hAnsi="Times New Roman" w:cs="Times New Roman"/>
                <w:b/>
                <w:sz w:val="14"/>
              </w:rPr>
              <w:br/>
              <w:t>Türkiye; prospective observational study</w:t>
            </w:r>
          </w:p>
        </w:tc>
        <w:tc>
          <w:tcPr>
            <w:tcW w:w="31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Children with cancer and </w:t>
            </w:r>
            <w:r w:rsidRPr="005861A6">
              <w:rPr>
                <w:rFonts w:ascii="Times New Roman" w:hAnsi="Times New Roman" w:cs="Times New Roman"/>
                <w:sz w:val="14"/>
              </w:rPr>
              <w:t>febrile neutropenia; septic versus non-septic episodes</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29 septic episodes</w:t>
            </w:r>
          </w:p>
        </w:tc>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57 non-septic febrile-neutropenia episodes; 52 children contributed 86 episodes overall</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Serum; RayBio ELISA</w:t>
            </w:r>
          </w:p>
        </w:tc>
        <w:tc>
          <w:tcPr>
            <w:tcW w:w="18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Baseline at fever onset and 48 h</w:t>
            </w:r>
          </w:p>
        </w:tc>
        <w:tc>
          <w:tcPr>
            <w:tcW w:w="180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Narrative synthesis</w:t>
            </w:r>
          </w:p>
        </w:tc>
      </w:tr>
    </w:tbl>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5"/>
        </w:rPr>
        <w:t xml:space="preserve">Abbreviations: </w:t>
      </w:r>
      <w:r w:rsidRPr="005861A6">
        <w:rPr>
          <w:rFonts w:ascii="Times New Roman" w:hAnsi="Times New Roman" w:cs="Times New Roman"/>
          <w:i/>
          <w:color w:val="666666"/>
          <w:sz w:val="15"/>
        </w:rPr>
        <w:t>ACCP/SCCM, American College of Chest Physicians/Society of Critical Care Medicine; ARDS, acute respiratory distress syndrome; EOS, early-onset sepsis; PICU, pediatric intensive care unit; SIRS, systemic inflammatory response syndrome. Counts for febrile-ne</w:t>
      </w:r>
      <w:r w:rsidRPr="005861A6">
        <w:rPr>
          <w:rFonts w:ascii="Times New Roman" w:hAnsi="Times New Roman" w:cs="Times New Roman"/>
          <w:i/>
          <w:color w:val="666666"/>
          <w:sz w:val="15"/>
        </w:rPr>
        <w:t>utropenia episodes are episode counts, not independent participant counts. The Kortz sepsis subgroup count is retained as a range from the extraction notes and should be checked against the final extraction sheet.</w:t>
      </w:r>
    </w:p>
    <w:p w:rsidR="00FF3ECC" w:rsidRPr="005861A6" w:rsidRDefault="00FF3ECC">
      <w:pPr>
        <w:rPr>
          <w:rFonts w:ascii="Times New Roman" w:hAnsi="Times New Roman" w:cs="Times New Roman"/>
        </w:rPr>
        <w:sectPr w:rsidR="00FF3ECC" w:rsidRPr="005861A6">
          <w:pgSz w:w="15840" w:h="12240" w:orient="landscape"/>
          <w:pgMar w:top="792" w:right="648" w:bottom="792" w:left="648"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 xml:space="preserve">Supplementary Table </w:t>
      </w:r>
      <w:r w:rsidRPr="005861A6">
        <w:rPr>
          <w:rFonts w:ascii="Times New Roman" w:hAnsi="Times New Roman" w:cs="Times New Roman"/>
        </w:rPr>
        <w:t>S3. Summary of Newcastle–Ottawa Scale scores and risk-of-bias classifications</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2232"/>
        <w:gridCol w:w="1368"/>
        <w:gridCol w:w="936"/>
        <w:gridCol w:w="1224"/>
        <w:gridCol w:w="4680"/>
      </w:tblGrid>
      <w:tr w:rsidR="00FF3ECC" w:rsidRPr="005861A6">
        <w:trPr>
          <w:tblHeader/>
          <w:jc w:val="center"/>
        </w:trPr>
        <w:tc>
          <w:tcPr>
            <w:tcW w:w="223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Study</w:t>
            </w:r>
          </w:p>
        </w:tc>
        <w:tc>
          <w:tcPr>
            <w:tcW w:w="1368"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NOS version</w:t>
            </w:r>
          </w:p>
        </w:tc>
        <w:tc>
          <w:tcPr>
            <w:tcW w:w="936"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Score</w:t>
            </w:r>
          </w:p>
        </w:tc>
        <w:tc>
          <w:tcPr>
            <w:tcW w:w="122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Classification</w:t>
            </w:r>
          </w:p>
        </w:tc>
        <w:tc>
          <w:tcPr>
            <w:tcW w:w="468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Principal scoring consideration</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Whitney et al. (2020)</w:t>
            </w:r>
          </w:p>
        </w:tc>
        <w:tc>
          <w:tcPr>
            <w:tcW w:w="13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9/9</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 xml:space="preserve">Residual-blood/parent-cohort recruitment; adjusted comparisons </w:t>
            </w:r>
            <w:r w:rsidRPr="005861A6">
              <w:rPr>
                <w:rFonts w:ascii="Times New Roman" w:hAnsi="Times New Roman" w:cs="Times New Roman"/>
                <w:sz w:val="15"/>
              </w:rPr>
              <w:t>reported</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Giuliano et al. (2014)</w:t>
            </w:r>
          </w:p>
        </w:tc>
        <w:tc>
          <w:tcPr>
            <w:tcW w:w="13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8/9</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Comparability is largely descriptive; limited formal baseline adjustment</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El Gendy et al. (2023)</w:t>
            </w:r>
          </w:p>
        </w:tc>
        <w:tc>
          <w:tcPr>
            <w:tcW w:w="13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8/9</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Source of healthy-control recruitment not clearly specified</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Kortz et al. (2019)</w:t>
            </w:r>
          </w:p>
        </w:tc>
        <w:tc>
          <w:tcPr>
            <w:tcW w:w="13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Case-control</w:t>
            </w:r>
          </w:p>
        </w:tc>
        <w:tc>
          <w:tcPr>
            <w:tcW w:w="93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7/9</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Age imbalance was not adjusted in the Ang-2 comparison</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Çakmakcı et al. (2024)</w:t>
            </w:r>
          </w:p>
        </w:tc>
        <w:tc>
          <w:tcPr>
            <w:tcW w:w="13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7/9</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Episode-based analysis; repeated episodes may not be independent</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Sallee et al. (2026)</w:t>
            </w:r>
          </w:p>
        </w:tc>
        <w:tc>
          <w:tcPr>
            <w:tcW w:w="13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7/9</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Limited adjustment for comparability factors</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Mankhambo et al. (2010)</w:t>
            </w:r>
          </w:p>
        </w:tc>
        <w:tc>
          <w:tcPr>
            <w:tcW w:w="13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7/9</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Healthy controls were selected by parents/guardians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Pierce et al. (2019)</w:t>
            </w:r>
          </w:p>
        </w:tc>
        <w:tc>
          <w:tcPr>
            <w:tcW w:w="13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7/9</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Low</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Very small groups (17 participants overall)</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Giuliano et al. (2007)</w:t>
            </w:r>
          </w:p>
        </w:tc>
        <w:tc>
          <w:tcPr>
            <w:tcW w:w="13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6/9</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Moderate</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 xml:space="preserve">Unadjusted age/sex differences; </w:t>
            </w:r>
            <w:r w:rsidRPr="005861A6">
              <w:rPr>
                <w:rFonts w:ascii="Times New Roman" w:hAnsi="Times New Roman" w:cs="Times New Roman"/>
                <w:sz w:val="15"/>
              </w:rPr>
              <w:t>consecutive enrollment not explicitly stated</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Zonneveld et al. (2017)</w:t>
            </w:r>
          </w:p>
        </w:tc>
        <w:tc>
          <w:tcPr>
            <w:tcW w:w="136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6/9</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Moderate</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Small blood-culture-positive group; group differences were not adjusted</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5"/>
              </w:rPr>
              <w:t>Siavashi et al. (2017)</w:t>
            </w:r>
          </w:p>
        </w:tc>
        <w:tc>
          <w:tcPr>
            <w:tcW w:w="136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Cohort</w:t>
            </w:r>
          </w:p>
        </w:tc>
        <w:tc>
          <w:tcPr>
            <w:tcW w:w="93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6/9</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Moderate</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5"/>
              </w:rPr>
              <w:t>Study-specific sepsis definition; unadjusted PPROM</w:t>
            </w:r>
            <w:r w:rsidRPr="005861A6">
              <w:rPr>
                <w:rFonts w:ascii="Times New Roman" w:hAnsi="Times New Roman" w:cs="Times New Roman"/>
                <w:sz w:val="15"/>
              </w:rPr>
              <w:t xml:space="preserve"> imbalance</w:t>
            </w:r>
          </w:p>
        </w:tc>
      </w:tr>
    </w:tbl>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6"/>
        </w:rPr>
        <w:t>Classification follows the review protocol: 7–9 stars = low risk of bias; 4–6 = moderate risk; 0–3 = high risk. Under these thresholds, studies scored 7/9 are classified as low risk.</w:t>
      </w:r>
    </w:p>
    <w:p w:rsidR="00FF3ECC" w:rsidRPr="005861A6" w:rsidRDefault="00FF3ECC">
      <w:pPr>
        <w:rPr>
          <w:rFonts w:ascii="Times New Roman" w:hAnsi="Times New Roman" w:cs="Times New Roman"/>
        </w:rPr>
        <w:sectPr w:rsidR="00FF3ECC" w:rsidRPr="005861A6">
          <w:pgSz w:w="12240" w:h="15840"/>
          <w:pgMar w:top="893" w:right="1037" w:bottom="893" w:left="1037"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 xml:space="preserve">Supplementary Table S4. Item-level </w:t>
      </w:r>
      <w:r w:rsidRPr="005861A6">
        <w:rPr>
          <w:rFonts w:ascii="Times New Roman" w:hAnsi="Times New Roman" w:cs="Times New Roman"/>
        </w:rPr>
        <w:t>Newcastle–Ottawa Scale assessments</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1728"/>
        <w:gridCol w:w="1152"/>
        <w:gridCol w:w="547"/>
        <w:gridCol w:w="547"/>
        <w:gridCol w:w="547"/>
        <w:gridCol w:w="547"/>
        <w:gridCol w:w="547"/>
        <w:gridCol w:w="547"/>
        <w:gridCol w:w="691"/>
        <w:gridCol w:w="691"/>
        <w:gridCol w:w="691"/>
        <w:gridCol w:w="720"/>
        <w:gridCol w:w="4680"/>
      </w:tblGrid>
      <w:tr w:rsidR="00FF3ECC" w:rsidRPr="005861A6">
        <w:trPr>
          <w:tblHeader/>
          <w:jc w:val="center"/>
        </w:trPr>
        <w:tc>
          <w:tcPr>
            <w:tcW w:w="1728"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Study</w:t>
            </w:r>
          </w:p>
        </w:tc>
        <w:tc>
          <w:tcPr>
            <w:tcW w:w="115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NOS version</w:t>
            </w:r>
          </w:p>
        </w:tc>
        <w:tc>
          <w:tcPr>
            <w:tcW w:w="547"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S1</w:t>
            </w:r>
          </w:p>
        </w:tc>
        <w:tc>
          <w:tcPr>
            <w:tcW w:w="547"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S2</w:t>
            </w:r>
          </w:p>
        </w:tc>
        <w:tc>
          <w:tcPr>
            <w:tcW w:w="547"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S3</w:t>
            </w:r>
          </w:p>
        </w:tc>
        <w:tc>
          <w:tcPr>
            <w:tcW w:w="547"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S4</w:t>
            </w:r>
          </w:p>
        </w:tc>
        <w:tc>
          <w:tcPr>
            <w:tcW w:w="547"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C1</w:t>
            </w:r>
          </w:p>
        </w:tc>
        <w:tc>
          <w:tcPr>
            <w:tcW w:w="547"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C2</w:t>
            </w:r>
          </w:p>
        </w:tc>
        <w:tc>
          <w:tcPr>
            <w:tcW w:w="691"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O/E1</w:t>
            </w:r>
          </w:p>
        </w:tc>
        <w:tc>
          <w:tcPr>
            <w:tcW w:w="691"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O/E2</w:t>
            </w:r>
          </w:p>
        </w:tc>
        <w:tc>
          <w:tcPr>
            <w:tcW w:w="691"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O/E3</w:t>
            </w:r>
          </w:p>
        </w:tc>
        <w:tc>
          <w:tcPr>
            <w:tcW w:w="72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Total</w:t>
            </w:r>
          </w:p>
        </w:tc>
        <w:tc>
          <w:tcPr>
            <w:tcW w:w="468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Item-level rationale / notes</w:t>
            </w:r>
          </w:p>
        </w:tc>
      </w:tr>
      <w:tr w:rsidR="00FF3ECC" w:rsidRPr="005861A6">
        <w:trPr>
          <w:cantSplit/>
          <w:jc w:val="center"/>
        </w:trPr>
        <w:tc>
          <w:tcPr>
            <w:tcW w:w="17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Kortz 2019</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Case-control</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7/9</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Age imbalance not adjusted.</w:t>
            </w:r>
          </w:p>
        </w:tc>
      </w:tr>
      <w:tr w:rsidR="00FF3ECC" w:rsidRPr="005861A6">
        <w:trPr>
          <w:cantSplit/>
          <w:jc w:val="center"/>
        </w:trPr>
        <w:tc>
          <w:tcPr>
            <w:tcW w:w="17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Whitney 2020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9/9</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Secondary </w:t>
            </w:r>
            <w:r w:rsidRPr="005861A6">
              <w:rPr>
                <w:rFonts w:ascii="Times New Roman" w:hAnsi="Times New Roman" w:cs="Times New Roman"/>
                <w:sz w:val="14"/>
              </w:rPr>
              <w:t>analysis of two parent cohorts.</w:t>
            </w:r>
          </w:p>
        </w:tc>
      </w:tr>
      <w:tr w:rsidR="00FF3ECC" w:rsidRPr="005861A6">
        <w:trPr>
          <w:cantSplit/>
          <w:jc w:val="center"/>
        </w:trPr>
        <w:tc>
          <w:tcPr>
            <w:tcW w:w="17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Çakmakcı 2024</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7/9</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Baseline sample coincided with sepsis classification.</w:t>
            </w:r>
          </w:p>
        </w:tc>
      </w:tr>
      <w:tr w:rsidR="00FF3ECC" w:rsidRPr="005861A6">
        <w:trPr>
          <w:cantSplit/>
          <w:jc w:val="center"/>
        </w:trPr>
        <w:tc>
          <w:tcPr>
            <w:tcW w:w="17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Pierce 2019</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7/9</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Very small sample; no key confounder adjustment.</w:t>
            </w:r>
          </w:p>
        </w:tc>
      </w:tr>
      <w:tr w:rsidR="00FF3ECC" w:rsidRPr="005861A6">
        <w:trPr>
          <w:cantSplit/>
          <w:jc w:val="center"/>
        </w:trPr>
        <w:tc>
          <w:tcPr>
            <w:tcW w:w="17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El Gendy 2023</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8/9</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Healthy-control recruitment source unclear.</w:t>
            </w:r>
          </w:p>
        </w:tc>
      </w:tr>
      <w:tr w:rsidR="00FF3ECC" w:rsidRPr="005861A6">
        <w:trPr>
          <w:cantSplit/>
          <w:jc w:val="center"/>
        </w:trPr>
        <w:tc>
          <w:tcPr>
            <w:tcW w:w="17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Sallee 2026</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7/9</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No formal adjustment for comparability factors.</w:t>
            </w:r>
          </w:p>
        </w:tc>
      </w:tr>
      <w:tr w:rsidR="00FF3ECC" w:rsidRPr="005861A6">
        <w:trPr>
          <w:cantSplit/>
          <w:jc w:val="center"/>
        </w:trPr>
        <w:tc>
          <w:tcPr>
            <w:tcW w:w="17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Zonneveld 2017</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6/9</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No adjustment; later follow-up completeness not credited.</w:t>
            </w:r>
          </w:p>
        </w:tc>
      </w:tr>
      <w:tr w:rsidR="00FF3ECC" w:rsidRPr="005861A6">
        <w:trPr>
          <w:cantSplit/>
          <w:jc w:val="center"/>
        </w:trPr>
        <w:tc>
          <w:tcPr>
            <w:tcW w:w="17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 xml:space="preserve">Giuliano </w:t>
            </w:r>
            <w:r w:rsidRPr="005861A6">
              <w:rPr>
                <w:rFonts w:ascii="Times New Roman" w:hAnsi="Times New Roman" w:cs="Times New Roman"/>
                <w:b/>
                <w:sz w:val="14"/>
              </w:rPr>
              <w:t>2007</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6/9</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Enrollment consecutiveness unclear; age/sex not adjusted.</w:t>
            </w:r>
          </w:p>
        </w:tc>
      </w:tr>
      <w:tr w:rsidR="00FF3ECC" w:rsidRPr="005861A6">
        <w:trPr>
          <w:cantSplit/>
          <w:jc w:val="center"/>
        </w:trPr>
        <w:tc>
          <w:tcPr>
            <w:tcW w:w="17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Giuliano 2014</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8/9</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Baseline balance descriptive; no separate second star.</w:t>
            </w:r>
          </w:p>
        </w:tc>
      </w:tr>
      <w:tr w:rsidR="00FF3ECC" w:rsidRPr="005861A6">
        <w:trPr>
          <w:cantSplit/>
          <w:jc w:val="center"/>
        </w:trPr>
        <w:tc>
          <w:tcPr>
            <w:tcW w:w="17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Mankhambo 2010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7/9</w:t>
            </w:r>
          </w:p>
        </w:tc>
        <w:tc>
          <w:tcPr>
            <w:tcW w:w="46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Guardian-selected </w:t>
            </w:r>
            <w:r w:rsidRPr="005861A6">
              <w:rPr>
                <w:rFonts w:ascii="Times New Roman" w:hAnsi="Times New Roman" w:cs="Times New Roman"/>
                <w:sz w:val="14"/>
              </w:rPr>
              <w:t>controls; one comparability star counted.</w:t>
            </w:r>
          </w:p>
        </w:tc>
      </w:tr>
      <w:tr w:rsidR="00FF3ECC" w:rsidRPr="005861A6">
        <w:trPr>
          <w:cantSplit/>
          <w:jc w:val="center"/>
        </w:trPr>
        <w:tc>
          <w:tcPr>
            <w:tcW w:w="17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Siavashi 2017</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Cohort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547"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691"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Segoe UI Symbol" w:hAnsi="Segoe UI Symbol" w:cs="Segoe UI Symbol"/>
                <w:sz w:val="14"/>
              </w:rPr>
              <w:t>★</w:t>
            </w:r>
          </w:p>
        </w:tc>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6/9</w:t>
            </w:r>
          </w:p>
        </w:tc>
        <w:tc>
          <w:tcPr>
            <w:tcW w:w="46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Non-consensus definition; PPROM imbalance unadjusted.</w:t>
            </w:r>
          </w:p>
        </w:tc>
      </w:tr>
    </w:tbl>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5"/>
        </w:rPr>
        <w:t xml:space="preserve">Legend: </w:t>
      </w:r>
      <w:r w:rsidRPr="005861A6">
        <w:rPr>
          <w:rFonts w:ascii="Segoe UI Symbol" w:hAnsi="Segoe UI Symbol" w:cs="Segoe UI Symbol"/>
          <w:i/>
          <w:color w:val="666666"/>
          <w:sz w:val="15"/>
        </w:rPr>
        <w:t>★</w:t>
      </w:r>
      <w:r w:rsidRPr="005861A6">
        <w:rPr>
          <w:rFonts w:ascii="Times New Roman" w:hAnsi="Times New Roman" w:cs="Times New Roman"/>
          <w:i/>
          <w:color w:val="666666"/>
          <w:sz w:val="15"/>
        </w:rPr>
        <w:t xml:space="preserve"> = star awarded; — = no star awarded. S1–S4 = four selection items; C1–C2 = comparability items; O/E1–O/E3</w:t>
      </w:r>
      <w:r w:rsidRPr="005861A6">
        <w:rPr>
          <w:rFonts w:ascii="Times New Roman" w:hAnsi="Times New Roman" w:cs="Times New Roman"/>
          <w:i/>
          <w:color w:val="666666"/>
          <w:sz w:val="15"/>
        </w:rPr>
        <w:t xml:space="preserve"> = outcome (cohort version) or exposure (case-control version) items. For Kortz et al., the case-control NOS variant was applied and its exposure items are shown in the analogous final columns. Item-level ratings have been arranged to agree with the final </w:t>
      </w:r>
      <w:r w:rsidRPr="005861A6">
        <w:rPr>
          <w:rFonts w:ascii="Times New Roman" w:hAnsi="Times New Roman" w:cs="Times New Roman"/>
          <w:i/>
          <w:color w:val="666666"/>
          <w:sz w:val="15"/>
        </w:rPr>
        <w:t>total scores recorded in Table S3; confirm these rows against the adjudicated scoring worksheet before journal submission.</w:t>
      </w:r>
    </w:p>
    <w:p w:rsidR="00FF3ECC" w:rsidRPr="005861A6" w:rsidRDefault="00FF3ECC">
      <w:pPr>
        <w:rPr>
          <w:rFonts w:ascii="Times New Roman" w:hAnsi="Times New Roman" w:cs="Times New Roman"/>
        </w:rPr>
        <w:sectPr w:rsidR="00FF3ECC" w:rsidRPr="005861A6">
          <w:pgSz w:w="15840" w:h="12240" w:orient="landscape"/>
          <w:pgMar w:top="792" w:right="648" w:bottom="792" w:left="648"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Table S5. GRADE evidence profile for the primary meta-analysis</w:t>
      </w:r>
    </w:p>
    <w:p w:rsidR="00FF3ECC" w:rsidRPr="005861A6" w:rsidRDefault="00765AAB">
      <w:pPr>
        <w:spacing w:after="100"/>
        <w:rPr>
          <w:rFonts w:ascii="Times New Roman" w:hAnsi="Times New Roman" w:cs="Times New Roman"/>
        </w:rPr>
      </w:pPr>
      <w:r w:rsidRPr="005861A6">
        <w:rPr>
          <w:rFonts w:ascii="Times New Roman" w:hAnsi="Times New Roman" w:cs="Times New Roman"/>
          <w:b/>
        </w:rPr>
        <w:t xml:space="preserve">Outcome: circulating Ang-2 </w:t>
      </w:r>
      <w:r w:rsidRPr="005861A6">
        <w:rPr>
          <w:rFonts w:ascii="Times New Roman" w:hAnsi="Times New Roman" w:cs="Times New Roman"/>
          <w:b/>
        </w:rPr>
        <w:t>concentrations in participants with sepsis versus non-septic controls. Evidence base: 5 observational studies; 545 participants (460 with sepsis and 85 controls). Effect estimate: SMD 1.54 (95% CI 0.91–2.18); I² = 75%.</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1944"/>
        <w:gridCol w:w="2520"/>
        <w:gridCol w:w="5616"/>
      </w:tblGrid>
      <w:tr w:rsidR="00FF3ECC" w:rsidRPr="005861A6">
        <w:trPr>
          <w:tblHeader/>
          <w:jc w:val="center"/>
        </w:trPr>
        <w:tc>
          <w:tcPr>
            <w:tcW w:w="194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GRADE domain</w:t>
            </w:r>
          </w:p>
        </w:tc>
        <w:tc>
          <w:tcPr>
            <w:tcW w:w="252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Judgement</w:t>
            </w:r>
          </w:p>
        </w:tc>
        <w:tc>
          <w:tcPr>
            <w:tcW w:w="5616"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Rationale</w:t>
            </w:r>
          </w:p>
        </w:tc>
      </w:tr>
      <w:tr w:rsidR="00FF3ECC" w:rsidRPr="005861A6">
        <w:trPr>
          <w:cantSplit/>
          <w:jc w:val="center"/>
        </w:trPr>
        <w:tc>
          <w:tcPr>
            <w:tcW w:w="194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Risk of bias</w:t>
            </w:r>
          </w:p>
        </w:tc>
        <w:tc>
          <w:tcPr>
            <w:tcW w:w="25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Serious; downgrade 1 level</w:t>
            </w:r>
          </w:p>
        </w:tc>
        <w:tc>
          <w:tcPr>
            <w:tcW w:w="561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Two studies contributing to the primary analysis had moderate NOS classifications; study-level concerns included limited confounder adjustment and small comparison groups.</w:t>
            </w:r>
          </w:p>
        </w:tc>
      </w:tr>
      <w:tr w:rsidR="00FF3ECC" w:rsidRPr="005861A6">
        <w:trPr>
          <w:cantSplit/>
          <w:jc w:val="center"/>
        </w:trPr>
        <w:tc>
          <w:tcPr>
            <w:tcW w:w="194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Inconsistency</w:t>
            </w:r>
          </w:p>
        </w:tc>
        <w:tc>
          <w:tcPr>
            <w:tcW w:w="25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Serious; downgrade 1 level</w:t>
            </w:r>
          </w:p>
        </w:tc>
        <w:tc>
          <w:tcPr>
            <w:tcW w:w="561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Substantial statistical heterogeneity in the primary meta-analysis (I² = 75%).</w:t>
            </w:r>
          </w:p>
        </w:tc>
      </w:tr>
      <w:tr w:rsidR="00FF3ECC" w:rsidRPr="005861A6">
        <w:trPr>
          <w:cantSplit/>
          <w:jc w:val="center"/>
        </w:trPr>
        <w:tc>
          <w:tcPr>
            <w:tcW w:w="194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Indirectness</w:t>
            </w:r>
          </w:p>
        </w:tc>
        <w:tc>
          <w:tcPr>
            <w:tcW w:w="25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Not downgraded</w:t>
            </w:r>
          </w:p>
        </w:tc>
        <w:tc>
          <w:tcPr>
            <w:tcW w:w="561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The population, biomarker, and sepsis-versus-non-septic comparison directly address the review question.</w:t>
            </w:r>
          </w:p>
        </w:tc>
      </w:tr>
      <w:tr w:rsidR="00FF3ECC" w:rsidRPr="005861A6">
        <w:trPr>
          <w:cantSplit/>
          <w:jc w:val="center"/>
        </w:trPr>
        <w:tc>
          <w:tcPr>
            <w:tcW w:w="194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Imprecision</w:t>
            </w:r>
          </w:p>
        </w:tc>
        <w:tc>
          <w:tcPr>
            <w:tcW w:w="25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Not additionally downgraded in</w:t>
            </w:r>
            <w:r w:rsidRPr="005861A6">
              <w:rPr>
                <w:rFonts w:ascii="Times New Roman" w:hAnsi="Times New Roman" w:cs="Times New Roman"/>
                <w:sz w:val="16"/>
              </w:rPr>
              <w:t xml:space="preserve"> the recorded assessment</w:t>
            </w:r>
          </w:p>
        </w:tc>
        <w:tc>
          <w:tcPr>
            <w:tcW w:w="561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The 95% confidence interval did not include no difference; the overall evidence base remains small.</w:t>
            </w:r>
          </w:p>
        </w:tc>
      </w:tr>
      <w:tr w:rsidR="00FF3ECC" w:rsidRPr="005861A6">
        <w:trPr>
          <w:cantSplit/>
          <w:jc w:val="center"/>
        </w:trPr>
        <w:tc>
          <w:tcPr>
            <w:tcW w:w="194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Publication bias</w:t>
            </w:r>
          </w:p>
        </w:tc>
        <w:tc>
          <w:tcPr>
            <w:tcW w:w="25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Not formally assessed</w:t>
            </w:r>
          </w:p>
        </w:tc>
        <w:tc>
          <w:tcPr>
            <w:tcW w:w="561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Fewer than 10 studies contributed to the primary meta-analysis.</w:t>
            </w:r>
          </w:p>
        </w:tc>
      </w:tr>
    </w:tbl>
    <w:p w:rsidR="00FF3ECC" w:rsidRPr="005861A6" w:rsidRDefault="00765AAB">
      <w:pPr>
        <w:spacing w:before="160"/>
        <w:rPr>
          <w:rFonts w:ascii="Times New Roman" w:hAnsi="Times New Roman" w:cs="Times New Roman"/>
        </w:rPr>
      </w:pPr>
      <w:r w:rsidRPr="005861A6">
        <w:rPr>
          <w:rFonts w:ascii="Times New Roman" w:hAnsi="Times New Roman" w:cs="Times New Roman"/>
          <w:b/>
          <w:color w:val="9C5700"/>
          <w:sz w:val="22"/>
        </w:rPr>
        <w:t>Overall certainty: VERY LOW (</w:t>
      </w:r>
      <w:r w:rsidRPr="005861A6">
        <w:rPr>
          <w:rFonts w:ascii="Cambria Math" w:hAnsi="Cambria Math" w:cs="Cambria Math"/>
          <w:b/>
          <w:color w:val="9C5700"/>
          <w:sz w:val="22"/>
        </w:rPr>
        <w:t>⊕◯◯◯</w:t>
      </w:r>
      <w:r w:rsidRPr="005861A6">
        <w:rPr>
          <w:rFonts w:ascii="Times New Roman" w:hAnsi="Times New Roman" w:cs="Times New Roman"/>
          <w:b/>
          <w:color w:val="9C5700"/>
          <w:sz w:val="22"/>
        </w:rPr>
        <w:t xml:space="preserve">). </w:t>
      </w:r>
      <w:r w:rsidRPr="005861A6">
        <w:rPr>
          <w:rFonts w:ascii="Times New Roman" w:hAnsi="Times New Roman" w:cs="Times New Roman"/>
        </w:rPr>
        <w:t>Observational evidence started at low certainty and was downgraded for risk-of-bias concerns and inconsistency.</w:t>
      </w:r>
    </w:p>
    <w:p w:rsidR="00FF3ECC" w:rsidRPr="005861A6" w:rsidRDefault="00FF3ECC">
      <w:pPr>
        <w:rPr>
          <w:rFonts w:ascii="Times New Roman" w:hAnsi="Times New Roman" w:cs="Times New Roman"/>
        </w:rPr>
        <w:sectPr w:rsidR="00FF3ECC" w:rsidRPr="005861A6">
          <w:pgSz w:w="12240" w:h="15840"/>
          <w:pgMar w:top="893" w:right="1037" w:bottom="893" w:left="1037"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Table S6. GRADE summary of findings</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2232"/>
        <w:gridCol w:w="7128"/>
      </w:tblGrid>
      <w:tr w:rsidR="00FF3ECC" w:rsidRPr="005861A6">
        <w:trPr>
          <w:tblHeader/>
          <w:jc w:val="center"/>
        </w:trPr>
        <w:tc>
          <w:tcPr>
            <w:tcW w:w="223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7"/>
              </w:rPr>
              <w:t>Item</w:t>
            </w:r>
          </w:p>
        </w:tc>
        <w:tc>
          <w:tcPr>
            <w:tcW w:w="7128"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7"/>
              </w:rPr>
              <w:t>Summary</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Population</w:t>
            </w:r>
          </w:p>
        </w:tc>
        <w:tc>
          <w:tcPr>
            <w:tcW w:w="71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 xml:space="preserve">Neonates and </w:t>
            </w:r>
            <w:r w:rsidRPr="005861A6">
              <w:rPr>
                <w:rFonts w:ascii="Times New Roman" w:hAnsi="Times New Roman" w:cs="Times New Roman"/>
                <w:sz w:val="16"/>
              </w:rPr>
              <w:t>children with sepsis compared with non-septic controls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Outcome</w:t>
            </w:r>
          </w:p>
        </w:tc>
        <w:tc>
          <w:tcPr>
            <w:tcW w:w="71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Circulating serum/plasma angiopoietin-2 concentration</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Studies / participants</w:t>
            </w:r>
          </w:p>
        </w:tc>
        <w:tc>
          <w:tcPr>
            <w:tcW w:w="71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5 studies; 545 participants (460 with sepsis, 85 controls)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Relative effect</w:t>
            </w:r>
          </w:p>
        </w:tc>
        <w:tc>
          <w:tcPr>
            <w:tcW w:w="71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 xml:space="preserve">SMD 1.54 (95% CI 0.91–2.18); positive </w:t>
            </w:r>
            <w:r w:rsidRPr="005861A6">
              <w:rPr>
                <w:rFonts w:ascii="Times New Roman" w:hAnsi="Times New Roman" w:cs="Times New Roman"/>
                <w:sz w:val="16"/>
              </w:rPr>
              <w:t>values indicate higher Ang-2 in the sepsis group</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Statistical heterogeneity</w:t>
            </w:r>
          </w:p>
        </w:tc>
        <w:tc>
          <w:tcPr>
            <w:tcW w:w="71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I² = 75%</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Certainty of evidence</w:t>
            </w:r>
          </w:p>
        </w:tc>
        <w:tc>
          <w:tcPr>
            <w:tcW w:w="71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 xml:space="preserve">Very low </w:t>
            </w:r>
            <w:r w:rsidRPr="005861A6">
              <w:rPr>
                <w:rFonts w:ascii="Cambria Math" w:hAnsi="Cambria Math" w:cs="Cambria Math"/>
                <w:sz w:val="16"/>
              </w:rPr>
              <w:t>⊕◯◯◯</w:t>
            </w:r>
          </w:p>
        </w:tc>
      </w:tr>
      <w:tr w:rsidR="00FF3ECC" w:rsidRPr="005861A6">
        <w:trPr>
          <w:cantSplit/>
          <w:jc w:val="center"/>
        </w:trPr>
        <w:tc>
          <w:tcPr>
            <w:tcW w:w="223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Interpretation</w:t>
            </w:r>
          </w:p>
        </w:tc>
        <w:tc>
          <w:tcPr>
            <w:tcW w:w="712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 xml:space="preserve">The pooled analysis found higher Ang-2 concentrations in the sepsis group; confidence in the magnitude and </w:t>
            </w:r>
            <w:r w:rsidRPr="005861A6">
              <w:rPr>
                <w:rFonts w:ascii="Times New Roman" w:hAnsi="Times New Roman" w:cs="Times New Roman"/>
                <w:sz w:val="16"/>
              </w:rPr>
              <w:t>generalizability of the difference is limited by inconsistency and risk-of-bias concerns.</w:t>
            </w:r>
          </w:p>
        </w:tc>
      </w:tr>
      <w:tr w:rsidR="00FF3ECC" w:rsidRPr="005861A6">
        <w:trPr>
          <w:cantSplit/>
          <w:jc w:val="center"/>
        </w:trPr>
        <w:tc>
          <w:tcPr>
            <w:tcW w:w="223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GRADE rationale</w:t>
            </w:r>
          </w:p>
        </w:tc>
        <w:tc>
          <w:tcPr>
            <w:tcW w:w="712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Observational evidence started at low certainty and was downgraded for serious risk-of-bias concerns and serious inconsistency.</w:t>
            </w:r>
          </w:p>
        </w:tc>
      </w:tr>
    </w:tbl>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6"/>
        </w:rPr>
        <w:t xml:space="preserve">Abbreviations: </w:t>
      </w:r>
      <w:r w:rsidRPr="005861A6">
        <w:rPr>
          <w:rFonts w:ascii="Times New Roman" w:hAnsi="Times New Roman" w:cs="Times New Roman"/>
          <w:i/>
          <w:color w:val="666666"/>
          <w:sz w:val="16"/>
        </w:rPr>
        <w:t>Ang-2, angiopoietin-2; CI, confidence interval; SMD, standardized mean difference. This summary refers to the primary five-study analysis, not the sensitivity analyses.</w:t>
      </w:r>
    </w:p>
    <w:p w:rsidR="00FF3ECC" w:rsidRPr="005861A6" w:rsidRDefault="00FF3ECC">
      <w:pPr>
        <w:rPr>
          <w:rFonts w:ascii="Times New Roman" w:hAnsi="Times New Roman" w:cs="Times New Roman"/>
        </w:rPr>
        <w:sectPr w:rsidR="00FF3ECC" w:rsidRPr="005861A6">
          <w:pgSz w:w="12240" w:h="15840"/>
          <w:pgMar w:top="893" w:right="1037" w:bottom="893" w:left="1037"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Table S7. Full-text reports excluded after eligibility as</w:t>
      </w:r>
      <w:r w:rsidRPr="005861A6">
        <w:rPr>
          <w:rFonts w:ascii="Times New Roman" w:hAnsi="Times New Roman" w:cs="Times New Roman"/>
        </w:rPr>
        <w:t>sessment</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1440"/>
        <w:gridCol w:w="3024"/>
        <w:gridCol w:w="3888"/>
        <w:gridCol w:w="1440"/>
      </w:tblGrid>
      <w:tr w:rsidR="00FF3ECC" w:rsidRPr="005861A6">
        <w:trPr>
          <w:tblHeader/>
          <w:jc w:val="center"/>
        </w:trPr>
        <w:tc>
          <w:tcPr>
            <w:tcW w:w="144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Record</w:t>
            </w:r>
          </w:p>
        </w:tc>
        <w:tc>
          <w:tcPr>
            <w:tcW w:w="302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Citation / title</w:t>
            </w:r>
          </w:p>
        </w:tc>
        <w:tc>
          <w:tcPr>
            <w:tcW w:w="3888"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Reason for exclusion</w:t>
            </w:r>
          </w:p>
        </w:tc>
        <w:tc>
          <w:tcPr>
            <w:tcW w:w="144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6"/>
              </w:rPr>
              <w:t>Decision</w:t>
            </w:r>
          </w:p>
        </w:tc>
      </w:tr>
      <w:tr w:rsidR="00FF3ECC" w:rsidRPr="005861A6">
        <w:trPr>
          <w:cantSplit/>
          <w:jc w:val="center"/>
        </w:trPr>
        <w:tc>
          <w:tcPr>
            <w:tcW w:w="144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Full-text report 1</w:t>
            </w:r>
          </w:p>
        </w:tc>
        <w:tc>
          <w:tcPr>
            <w:tcW w:w="30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Exact citation/title not retained in the available screening notes</w:t>
            </w:r>
          </w:p>
        </w:tc>
        <w:tc>
          <w:tcPr>
            <w:tcW w:w="3888"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No eligible non-septic comparator group</w:t>
            </w:r>
          </w:p>
        </w:tc>
        <w:tc>
          <w:tcPr>
            <w:tcW w:w="144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Excluded from the systematic review</w:t>
            </w:r>
          </w:p>
        </w:tc>
      </w:tr>
      <w:tr w:rsidR="00FF3ECC" w:rsidRPr="005861A6">
        <w:trPr>
          <w:cantSplit/>
          <w:jc w:val="center"/>
        </w:trPr>
        <w:tc>
          <w:tcPr>
            <w:tcW w:w="144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6"/>
              </w:rPr>
              <w:t>Full-text report 2</w:t>
            </w:r>
          </w:p>
        </w:tc>
        <w:tc>
          <w:tcPr>
            <w:tcW w:w="30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 xml:space="preserve">Exact </w:t>
            </w:r>
            <w:r w:rsidRPr="005861A6">
              <w:rPr>
                <w:rFonts w:ascii="Times New Roman" w:hAnsi="Times New Roman" w:cs="Times New Roman"/>
                <w:sz w:val="16"/>
              </w:rPr>
              <w:t>citation/title not retained in the available screening notes</w:t>
            </w:r>
          </w:p>
        </w:tc>
        <w:tc>
          <w:tcPr>
            <w:tcW w:w="3888"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Insufficient extractable Ang-2 statistics for the prespecified sepsis-versus-non-septic comparison</w:t>
            </w:r>
          </w:p>
        </w:tc>
        <w:tc>
          <w:tcPr>
            <w:tcW w:w="144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6"/>
              </w:rPr>
              <w:t>Excluded from the systematic review</w:t>
            </w:r>
          </w:p>
        </w:tc>
      </w:tr>
    </w:tbl>
    <w:p w:rsidR="00FF3ECC" w:rsidRPr="005861A6" w:rsidRDefault="00765AAB">
      <w:pPr>
        <w:spacing w:before="40" w:after="100"/>
        <w:rPr>
          <w:rFonts w:ascii="Times New Roman" w:hAnsi="Times New Roman" w:cs="Times New Roman"/>
        </w:rPr>
      </w:pPr>
      <w:r w:rsidRPr="005861A6">
        <w:rPr>
          <w:rFonts w:ascii="Times New Roman" w:hAnsi="Times New Roman" w:cs="Times New Roman"/>
          <w:color w:val="9C5700"/>
          <w:sz w:val="16"/>
        </w:rPr>
        <w:t>AUTHOR ACTION REQUIRED: Replace “Full-text report 1/2” with</w:t>
      </w:r>
      <w:r w:rsidRPr="005861A6">
        <w:rPr>
          <w:rFonts w:ascii="Times New Roman" w:hAnsi="Times New Roman" w:cs="Times New Roman"/>
          <w:color w:val="9C5700"/>
          <w:sz w:val="16"/>
        </w:rPr>
        <w:t xml:space="preserve"> the exact author/year/title from the Rayyan full-text exclusion log before submission. The reasons above match the manuscript Methods and PRISMA flow information.</w:t>
      </w:r>
    </w:p>
    <w:p w:rsidR="00FF3ECC" w:rsidRPr="005861A6" w:rsidRDefault="00FF3ECC">
      <w:pPr>
        <w:rPr>
          <w:rFonts w:ascii="Times New Roman" w:hAnsi="Times New Roman" w:cs="Times New Roman"/>
        </w:rPr>
        <w:sectPr w:rsidR="00FF3ECC" w:rsidRPr="005861A6">
          <w:pgSz w:w="12240" w:h="15840"/>
          <w:pgMar w:top="893" w:right="1037" w:bottom="893" w:left="1037"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Table S8. Extracted and derived Ang-2 data used in the quantit</w:t>
      </w:r>
      <w:r w:rsidRPr="005861A6">
        <w:rPr>
          <w:rFonts w:ascii="Times New Roman" w:hAnsi="Times New Roman" w:cs="Times New Roman"/>
        </w:rPr>
        <w:t>ative synthesis</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1584"/>
        <w:gridCol w:w="1224"/>
        <w:gridCol w:w="792"/>
        <w:gridCol w:w="1152"/>
        <w:gridCol w:w="1152"/>
        <w:gridCol w:w="864"/>
        <w:gridCol w:w="1152"/>
        <w:gridCol w:w="1152"/>
        <w:gridCol w:w="1656"/>
        <w:gridCol w:w="3096"/>
      </w:tblGrid>
      <w:tr w:rsidR="00FF3ECC" w:rsidRPr="005861A6">
        <w:trPr>
          <w:tblHeader/>
          <w:jc w:val="center"/>
        </w:trPr>
        <w:tc>
          <w:tcPr>
            <w:tcW w:w="158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Study</w:t>
            </w:r>
          </w:p>
        </w:tc>
        <w:tc>
          <w:tcPr>
            <w:tcW w:w="122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Analysis set</w:t>
            </w:r>
          </w:p>
        </w:tc>
        <w:tc>
          <w:tcPr>
            <w:tcW w:w="79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Sepsis n</w:t>
            </w:r>
          </w:p>
        </w:tc>
        <w:tc>
          <w:tcPr>
            <w:tcW w:w="115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Sepsis mean</w:t>
            </w:r>
          </w:p>
        </w:tc>
        <w:tc>
          <w:tcPr>
            <w:tcW w:w="115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Sepsis SD</w:t>
            </w:r>
          </w:p>
        </w:tc>
        <w:tc>
          <w:tcPr>
            <w:tcW w:w="864"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Control n</w:t>
            </w:r>
          </w:p>
        </w:tc>
        <w:tc>
          <w:tcPr>
            <w:tcW w:w="115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Control mean</w:t>
            </w:r>
          </w:p>
        </w:tc>
        <w:tc>
          <w:tcPr>
            <w:tcW w:w="115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Control SD</w:t>
            </w:r>
          </w:p>
        </w:tc>
        <w:tc>
          <w:tcPr>
            <w:tcW w:w="1656"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Study SMD (95% CI)</w:t>
            </w:r>
          </w:p>
        </w:tc>
        <w:tc>
          <w:tcPr>
            <w:tcW w:w="3096"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Data provenance / extraction note</w:t>
            </w:r>
          </w:p>
        </w:tc>
      </w:tr>
      <w:tr w:rsidR="00FF3ECC" w:rsidRPr="005861A6">
        <w:trPr>
          <w:cantSplit/>
          <w:jc w:val="center"/>
        </w:trPr>
        <w:tc>
          <w:tcPr>
            <w:tcW w:w="158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El Gendy 2023</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w:t>
            </w:r>
          </w:p>
        </w:tc>
        <w:tc>
          <w:tcPr>
            <w:tcW w:w="79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70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2,837.5</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1,490.74</w:t>
            </w:r>
          </w:p>
        </w:tc>
        <w:tc>
          <w:tcPr>
            <w:tcW w:w="86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25</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282.1</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52.74</w:t>
            </w:r>
          </w:p>
        </w:tc>
        <w:tc>
          <w:tcPr>
            <w:tcW w:w="165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1.97 (1.43–2.51)</w:t>
            </w:r>
          </w:p>
        </w:tc>
        <w:tc>
          <w:tcPr>
            <w:tcW w:w="309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 xml:space="preserve">Published median/IQR </w:t>
            </w:r>
            <w:r w:rsidRPr="005861A6">
              <w:rPr>
                <w:rFonts w:ascii="Times New Roman" w:hAnsi="Times New Roman" w:cs="Times New Roman"/>
                <w:sz w:val="14"/>
              </w:rPr>
              <w:t>summarized in article; mean/SD inputs converted for meta-analysis</w:t>
            </w:r>
          </w:p>
        </w:tc>
      </w:tr>
      <w:tr w:rsidR="00FF3ECC" w:rsidRPr="005861A6">
        <w:trPr>
          <w:cantSplit/>
          <w:jc w:val="center"/>
        </w:trPr>
        <w:tc>
          <w:tcPr>
            <w:tcW w:w="158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Giuliano 2007</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w:t>
            </w:r>
          </w:p>
        </w:tc>
        <w:tc>
          <w:tcPr>
            <w:tcW w:w="79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81</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10,205.7</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11,609.7</w:t>
            </w:r>
          </w:p>
        </w:tc>
        <w:tc>
          <w:tcPr>
            <w:tcW w:w="86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15</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1,020.0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99.26</w:t>
            </w:r>
          </w:p>
        </w:tc>
        <w:tc>
          <w:tcPr>
            <w:tcW w:w="165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0.85 (0.29–1.42)</w:t>
            </w:r>
          </w:p>
        </w:tc>
        <w:tc>
          <w:tcPr>
            <w:tcW w:w="309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Published medians/IQRs; mean/SD inputs derived for meta-analysis</w:t>
            </w:r>
          </w:p>
        </w:tc>
      </w:tr>
      <w:tr w:rsidR="00FF3ECC" w:rsidRPr="005861A6">
        <w:trPr>
          <w:cantSplit/>
          <w:jc w:val="center"/>
        </w:trPr>
        <w:tc>
          <w:tcPr>
            <w:tcW w:w="158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Giuliano 2014</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Sensitivity only</w:t>
            </w:r>
          </w:p>
        </w:tc>
        <w:tc>
          <w:tcPr>
            <w:tcW w:w="79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17</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9,400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8,070</w:t>
            </w:r>
          </w:p>
        </w:tc>
        <w:tc>
          <w:tcPr>
            <w:tcW w:w="86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9</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2,900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1,410</w:t>
            </w:r>
          </w:p>
        </w:tc>
        <w:tc>
          <w:tcPr>
            <w:tcW w:w="165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0.95 (0.09–1.80)</w:t>
            </w:r>
          </w:p>
        </w:tc>
        <w:tc>
          <w:tcPr>
            <w:tcW w:w="309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Graph-derived group estimates; approximate</w:t>
            </w:r>
          </w:p>
        </w:tc>
      </w:tr>
      <w:tr w:rsidR="00FF3ECC" w:rsidRPr="005861A6">
        <w:trPr>
          <w:cantSplit/>
          <w:jc w:val="center"/>
        </w:trPr>
        <w:tc>
          <w:tcPr>
            <w:tcW w:w="158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Mankhambo 2010</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w:t>
            </w:r>
          </w:p>
        </w:tc>
        <w:tc>
          <w:tcPr>
            <w:tcW w:w="79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293</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10,960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8,910</w:t>
            </w:r>
          </w:p>
        </w:tc>
        <w:tc>
          <w:tcPr>
            <w:tcW w:w="86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15</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3,260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3,000</w:t>
            </w:r>
          </w:p>
        </w:tc>
        <w:tc>
          <w:tcPr>
            <w:tcW w:w="165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0.88 (0.36–1.40)</w:t>
            </w:r>
          </w:p>
        </w:tc>
        <w:tc>
          <w:tcPr>
            <w:tcW w:w="309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Source summarizes growth factors as geometric means/IQRs; verify exact conversion lineage in extraction works</w:t>
            </w:r>
            <w:r w:rsidRPr="005861A6">
              <w:rPr>
                <w:rFonts w:ascii="Times New Roman" w:hAnsi="Times New Roman" w:cs="Times New Roman"/>
                <w:sz w:val="14"/>
              </w:rPr>
              <w:t>heet</w:t>
            </w:r>
          </w:p>
        </w:tc>
      </w:tr>
      <w:tr w:rsidR="00FF3ECC" w:rsidRPr="005861A6">
        <w:trPr>
          <w:cantSplit/>
          <w:jc w:val="center"/>
        </w:trPr>
        <w:tc>
          <w:tcPr>
            <w:tcW w:w="158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Sallee 2026</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w:t>
            </w:r>
          </w:p>
        </w:tc>
        <w:tc>
          <w:tcPr>
            <w:tcW w:w="79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4,420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2,270</w:t>
            </w:r>
          </w:p>
        </w:tc>
        <w:tc>
          <w:tcPr>
            <w:tcW w:w="86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540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80</w:t>
            </w:r>
          </w:p>
        </w:tc>
        <w:tc>
          <w:tcPr>
            <w:tcW w:w="165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2.31 (1.13–3.50)</w:t>
            </w:r>
          </w:p>
        </w:tc>
        <w:tc>
          <w:tcPr>
            <w:tcW w:w="309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Reported median/IQR summarized in article; mean/SD inputs derived for meta-analysis</w:t>
            </w:r>
          </w:p>
        </w:tc>
      </w:tr>
      <w:tr w:rsidR="00FF3ECC" w:rsidRPr="005861A6">
        <w:trPr>
          <w:cantSplit/>
          <w:jc w:val="center"/>
        </w:trPr>
        <w:tc>
          <w:tcPr>
            <w:tcW w:w="158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Siavashi 2017</w:t>
            </w:r>
          </w:p>
        </w:tc>
        <w:tc>
          <w:tcPr>
            <w:tcW w:w="122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Sensitivity only</w:t>
            </w:r>
          </w:p>
        </w:tc>
        <w:tc>
          <w:tcPr>
            <w:tcW w:w="79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81</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1,500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80</w:t>
            </w:r>
          </w:p>
        </w:tc>
        <w:tc>
          <w:tcPr>
            <w:tcW w:w="864"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52</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120</w:t>
            </w:r>
          </w:p>
        </w:tc>
        <w:tc>
          <w:tcPr>
            <w:tcW w:w="115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15</w:t>
            </w:r>
          </w:p>
        </w:tc>
        <w:tc>
          <w:tcPr>
            <w:tcW w:w="165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21.71 (19.03–24.38)</w:t>
            </w:r>
          </w:p>
        </w:tc>
        <w:tc>
          <w:tcPr>
            <w:tcW w:w="309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Graph-derived group estimates;</w:t>
            </w:r>
            <w:r w:rsidRPr="005861A6">
              <w:rPr>
                <w:rFonts w:ascii="Times New Roman" w:hAnsi="Times New Roman" w:cs="Times New Roman"/>
                <w:sz w:val="14"/>
              </w:rPr>
              <w:t xml:space="preserve"> approximate</w:t>
            </w:r>
          </w:p>
        </w:tc>
      </w:tr>
      <w:tr w:rsidR="00FF3ECC" w:rsidRPr="005861A6">
        <w:trPr>
          <w:cantSplit/>
          <w:jc w:val="center"/>
        </w:trPr>
        <w:tc>
          <w:tcPr>
            <w:tcW w:w="158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4"/>
              </w:rPr>
              <w:t>Zonneveld 2017</w:t>
            </w:r>
          </w:p>
        </w:tc>
        <w:tc>
          <w:tcPr>
            <w:tcW w:w="122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Primary</w:t>
            </w:r>
          </w:p>
        </w:tc>
        <w:tc>
          <w:tcPr>
            <w:tcW w:w="79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6</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21,100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9,850</w:t>
            </w:r>
          </w:p>
        </w:tc>
        <w:tc>
          <w:tcPr>
            <w:tcW w:w="864"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10,200</w:t>
            </w:r>
          </w:p>
        </w:tc>
        <w:tc>
          <w:tcPr>
            <w:tcW w:w="115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1,410</w:t>
            </w:r>
          </w:p>
        </w:tc>
        <w:tc>
          <w:tcPr>
            <w:tcW w:w="165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2.26 (1.13–3.39)</w:t>
            </w:r>
          </w:p>
        </w:tc>
        <w:tc>
          <w:tcPr>
            <w:tcW w:w="309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4"/>
              </w:rPr>
              <w:t>Published medians/IQRs; mean/SD inputs derived for meta-analysis</w:t>
            </w:r>
          </w:p>
        </w:tc>
      </w:tr>
    </w:tbl>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5"/>
        </w:rPr>
        <w:t xml:space="preserve">Data are transcribed from the RevMan forest plots supplied with the manuscript. Values are shown on the </w:t>
      </w:r>
      <w:r w:rsidRPr="005861A6">
        <w:rPr>
          <w:rFonts w:ascii="Times New Roman" w:hAnsi="Times New Roman" w:cs="Times New Roman"/>
          <w:i/>
          <w:color w:val="666666"/>
          <w:sz w:val="15"/>
        </w:rPr>
        <w:t>analysis input scale (pg/mL as represented in the forest-plot file). Positive SMDs indicate higher Ang-2 concentrations in the sepsis group. Individual SMDs and pooled results are generated by the meta-analysis; slight differences can arise from rounding o</w:t>
      </w:r>
      <w:r w:rsidRPr="005861A6">
        <w:rPr>
          <w:rFonts w:ascii="Times New Roman" w:hAnsi="Times New Roman" w:cs="Times New Roman"/>
          <w:i/>
          <w:color w:val="666666"/>
          <w:sz w:val="15"/>
        </w:rPr>
        <w:t>f displayed means and SDs.</w:t>
      </w:r>
    </w:p>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5"/>
        </w:rPr>
        <w:t>Summary-statistic conversions were described in Methods as using Luo et al. (2018) and Wan et al. (2014). Before submission, cross-check the source statistic and conversion method for each study against the original extraction wo</w:t>
      </w:r>
      <w:r w:rsidRPr="005861A6">
        <w:rPr>
          <w:rFonts w:ascii="Times New Roman" w:hAnsi="Times New Roman" w:cs="Times New Roman"/>
          <w:i/>
          <w:color w:val="666666"/>
          <w:sz w:val="15"/>
        </w:rPr>
        <w:t>rksheet, especially where the original article reports medians, interquartile ranges, ranges, or geometric means. Graph-derived values for Giuliano et al. (2014) and Siavashi et al. (2017) are approximate and were used only in the expanded sensitivity anal</w:t>
      </w:r>
      <w:r w:rsidRPr="005861A6">
        <w:rPr>
          <w:rFonts w:ascii="Times New Roman" w:hAnsi="Times New Roman" w:cs="Times New Roman"/>
          <w:i/>
          <w:color w:val="666666"/>
          <w:sz w:val="15"/>
        </w:rPr>
        <w:t>ysis.</w:t>
      </w:r>
    </w:p>
    <w:p w:rsidR="00FF3ECC" w:rsidRPr="005861A6" w:rsidRDefault="00FF3ECC">
      <w:pPr>
        <w:rPr>
          <w:rFonts w:ascii="Times New Roman" w:hAnsi="Times New Roman" w:cs="Times New Roman"/>
        </w:rPr>
        <w:sectPr w:rsidR="00FF3ECC" w:rsidRPr="005861A6">
          <w:pgSz w:w="15840" w:h="12240" w:orient="landscape"/>
          <w:pgMar w:top="792" w:right="648" w:bottom="792" w:left="648" w:header="403" w:footer="432" w:gutter="0"/>
          <w:cols w:space="720"/>
          <w:docGrid w:linePitch="360"/>
        </w:sectPr>
      </w:pPr>
    </w:p>
    <w:p w:rsidR="00FF3ECC" w:rsidRPr="005861A6" w:rsidRDefault="00765AAB">
      <w:pPr>
        <w:pStyle w:val="Heading1"/>
        <w:rPr>
          <w:rFonts w:ascii="Times New Roman" w:hAnsi="Times New Roman" w:cs="Times New Roman"/>
        </w:rPr>
      </w:pPr>
      <w:r w:rsidRPr="005861A6">
        <w:rPr>
          <w:rFonts w:ascii="Times New Roman" w:hAnsi="Times New Roman" w:cs="Times New Roman"/>
        </w:rPr>
        <w:lastRenderedPageBreak/>
        <w:t>Supplementary Appendix S1. PRISMA 2020 checklist</w:t>
      </w:r>
    </w:p>
    <w:p w:rsidR="00FF3ECC" w:rsidRPr="005861A6" w:rsidRDefault="00765AAB">
      <w:pPr>
        <w:spacing w:before="40" w:after="100"/>
        <w:rPr>
          <w:rFonts w:ascii="Times New Roman" w:hAnsi="Times New Roman" w:cs="Times New Roman"/>
        </w:rPr>
      </w:pPr>
      <w:r w:rsidRPr="005861A6">
        <w:rPr>
          <w:rFonts w:ascii="Times New Roman" w:hAnsi="Times New Roman" w:cs="Times New Roman"/>
          <w:i/>
          <w:color w:val="666666"/>
          <w:sz w:val="16"/>
        </w:rPr>
        <w:t>Page numbers should be updated after the main manuscript is paginated and finalized. Locations below use manuscript section headings or supplementary table labels.</w:t>
      </w:r>
    </w:p>
    <w:tbl>
      <w:tblPr>
        <w:tblW w:w="0" w:type="auto"/>
        <w:jc w:val="center"/>
        <w:tblBorders>
          <w:top w:val="single" w:sz="4" w:space="0" w:color="B4C6D7"/>
          <w:left w:val="single" w:sz="4" w:space="0" w:color="B4C6D7"/>
          <w:bottom w:val="single" w:sz="4" w:space="0" w:color="B4C6D7"/>
          <w:right w:val="single" w:sz="4" w:space="0" w:color="B4C6D7"/>
          <w:insideH w:val="single" w:sz="4" w:space="0" w:color="B4C6D7"/>
          <w:insideV w:val="single" w:sz="4" w:space="0" w:color="B4C6D7"/>
        </w:tblBorders>
        <w:tblLayout w:type="fixed"/>
        <w:tblLook w:val="04A0" w:firstRow="1" w:lastRow="0" w:firstColumn="1" w:lastColumn="0" w:noHBand="0" w:noVBand="1"/>
      </w:tblPr>
      <w:tblGrid>
        <w:gridCol w:w="720"/>
        <w:gridCol w:w="2376"/>
        <w:gridCol w:w="7272"/>
        <w:gridCol w:w="2880"/>
      </w:tblGrid>
      <w:tr w:rsidR="00FF3ECC" w:rsidRPr="005861A6">
        <w:trPr>
          <w:tblHeader/>
          <w:jc w:val="center"/>
        </w:trPr>
        <w:tc>
          <w:tcPr>
            <w:tcW w:w="72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Item</w:t>
            </w:r>
          </w:p>
        </w:tc>
        <w:tc>
          <w:tcPr>
            <w:tcW w:w="2376"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Section/to</w:t>
            </w:r>
            <w:r w:rsidRPr="005861A6">
              <w:rPr>
                <w:rFonts w:ascii="Times New Roman" w:hAnsi="Times New Roman" w:cs="Times New Roman"/>
                <w:b/>
                <w:color w:val="FFFFFF"/>
                <w:sz w:val="14"/>
              </w:rPr>
              <w:t>pic</w:t>
            </w:r>
          </w:p>
        </w:tc>
        <w:tc>
          <w:tcPr>
            <w:tcW w:w="7272"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PRISMA 2020 checklist item</w:t>
            </w:r>
          </w:p>
        </w:tc>
        <w:tc>
          <w:tcPr>
            <w:tcW w:w="2880" w:type="dxa"/>
            <w:shd w:val="clear" w:color="auto" w:fill="17365D"/>
            <w:tcMar>
              <w:top w:w="65" w:type="dxa"/>
              <w:left w:w="70" w:type="dxa"/>
              <w:bottom w:w="65" w:type="dxa"/>
              <w:right w:w="70" w:type="dxa"/>
            </w:tcMar>
            <w:vAlign w:val="center"/>
          </w:tcPr>
          <w:p w:rsidR="00FF3ECC" w:rsidRPr="005861A6" w:rsidRDefault="00765AAB">
            <w:pPr>
              <w:spacing w:after="0"/>
              <w:jc w:val="center"/>
              <w:rPr>
                <w:rFonts w:ascii="Times New Roman" w:hAnsi="Times New Roman" w:cs="Times New Roman"/>
              </w:rPr>
            </w:pPr>
            <w:r w:rsidRPr="005861A6">
              <w:rPr>
                <w:rFonts w:ascii="Times New Roman" w:hAnsi="Times New Roman" w:cs="Times New Roman"/>
                <w:b/>
                <w:color w:val="FFFFFF"/>
                <w:sz w:val="14"/>
              </w:rPr>
              <w:t>Location in manuscript</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Title</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Identify the report as a systematic review.</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Title</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Abstract</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See PRISMA 2020 for Abstracts checklist.</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Structured abstract</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3</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Rationale</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Describe the rationale in the context of existing </w:t>
            </w:r>
            <w:r w:rsidRPr="005861A6">
              <w:rPr>
                <w:rFonts w:ascii="Times New Roman" w:hAnsi="Times New Roman" w:cs="Times New Roman"/>
                <w:sz w:val="13"/>
              </w:rPr>
              <w:t>knowledge.</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Introduction, paragraphs 1–5</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4</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Objectives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Provide an explicit statement of the objective(s) or question(s).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Final paragraph of Introduction</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5</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Eligibility criteria</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Specify inclusion/exclusion criteria and how studies were grouped for syntheses.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§2.2</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6</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Information sources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Specify all databases, registers, websites, organisations, reference lists and other sources, including dates.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§2.3</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7</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Search strategy</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Present the full search strategies for all databases, registers and </w:t>
            </w:r>
            <w:r w:rsidRPr="005861A6">
              <w:rPr>
                <w:rFonts w:ascii="Times New Roman" w:hAnsi="Times New Roman" w:cs="Times New Roman"/>
                <w:sz w:val="13"/>
              </w:rPr>
              <w:t>websites, including filters and limits.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Supplementary Table S1; full execution strings require verification where not retained</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8</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Selection process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Specify methods used to decide whether a study met inclusion criteria, reviewers, independence, and </w:t>
            </w:r>
            <w:r w:rsidRPr="005861A6">
              <w:rPr>
                <w:rFonts w:ascii="Times New Roman" w:hAnsi="Times New Roman" w:cs="Times New Roman"/>
                <w:sz w:val="13"/>
              </w:rPr>
              <w:t>automation tools.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9</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Data collection process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Specify methods used to collect data, number of reviewers, independence, and processes to obtain/confirm data.</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§2.5</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10a</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Data items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List and define all outcomes for which data were sought.</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§§2.5–2.6</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10b</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Data items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List and define other variables sought and assumptions about missing/unclear information.</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§2.5; Supplementary Table S2</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11</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Study risk of bias assessment</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Specify methods for assessing risk of bias, including tool, </w:t>
            </w:r>
            <w:r w:rsidRPr="005861A6">
              <w:rPr>
                <w:rFonts w:ascii="Times New Roman" w:hAnsi="Times New Roman" w:cs="Times New Roman"/>
                <w:sz w:val="13"/>
              </w:rPr>
              <w:t>reviewers and use in synthesis.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§2.7; Supplementary Tables S3–S4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12</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Effect measures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Specify effect measure(s) used for each outcome in the synthesis.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§2.6</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13a</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Synthesis methods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how studies were judged eligible for each synthesis.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§§2.8–2.10</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13b</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Synthesis methods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data preparation methods required to present results.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§2.6; Supplementary Table S8</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13c</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Synthesis methods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methods used to tabulate or visually display results.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§2.8; Figures 2–4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13d</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Synthesis methods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synthesis methods and rationale; identify models and methods to identify heterogeneity.</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§§2.8–2.10</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13e</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Synthesis methods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methods to explore possible causes of heterogeneity.</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§2.9; sensitivity analyse</w:t>
            </w:r>
            <w:r w:rsidRPr="005861A6">
              <w:rPr>
                <w:rFonts w:ascii="Times New Roman" w:hAnsi="Times New Roman" w:cs="Times New Roman"/>
                <w:sz w:val="13"/>
              </w:rPr>
              <w:t>s</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13f</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Synthesis methods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sensitivity analyses conducted to assess robustness of synthesized results.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§2.9; Results §§3.5–3.6</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14</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Reporting bias assessment</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methods used to assess risk of bias due to missing results in a synthesis.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§2.11</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15</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Certainty assessment</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methods used to assess certainty/confidence in the body of evidence.</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§2.11; Supplementary Tables S5–S6</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16a</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Study selection</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results of search and selection, ideally with a flow diagram.</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§3.1; Figure 1</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16b</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Study selection</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Cite apparently eligible studies that were excluded and explain why.</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Supplementary Table S7; add exact citations before submission</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17</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Study characteristics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Cite each included study and present its </w:t>
            </w:r>
            <w:r w:rsidRPr="005861A6">
              <w:rPr>
                <w:rFonts w:ascii="Times New Roman" w:hAnsi="Times New Roman" w:cs="Times New Roman"/>
                <w:sz w:val="13"/>
              </w:rPr>
              <w:t>characteristics.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§3.2; Supplementary Table S2</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18</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Risk of bias in studies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Present risk-of-bias assessments for each included study.</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§3.3; Supplementary Tables S3–S4</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19</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of individual studies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For all outcomes, present group summary </w:t>
            </w:r>
            <w:r w:rsidRPr="005861A6">
              <w:rPr>
                <w:rFonts w:ascii="Times New Roman" w:hAnsi="Times New Roman" w:cs="Times New Roman"/>
                <w:sz w:val="13"/>
              </w:rPr>
              <w:t>data and effect estimates with precision where appropriate.</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Supplementary Table S8; Figures 2–4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20a</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of syntheses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Summarize characteristics and risk of bias among studies contributing to each synthesis.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§§3.2–3.6; Supplementary Tables S2–S4</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20b</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of syntheses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Present results of all statistical syntheses conducted.</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§§3.4–3.6; Figures 2–4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20c</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of syntheses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Present results of investigations of possible causes of heterogeneity.</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§§3.5–3.6</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20d</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of syntheses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Present results of sensitivity analyses conducted.</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§§3.5–3.6; Figures 3–4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21</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Reporting biases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Present assessments of risk of bias due to missing results.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§2.11; not formally assessed (&lt;10 studies)</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lastRenderedPageBreak/>
              <w:t>22</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Certainty of evidence</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Present </w:t>
            </w:r>
            <w:r w:rsidRPr="005861A6">
              <w:rPr>
                <w:rFonts w:ascii="Times New Roman" w:hAnsi="Times New Roman" w:cs="Times New Roman"/>
                <w:sz w:val="13"/>
              </w:rPr>
              <w:t>assessments of certainty for each outcome assessed.</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Results §3.8; Supplementary Tables S5–S6</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23a</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Provide a general interpretation of results in context of other evidence.</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 §§4.1–4.3</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23b</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Discuss limitations of the evidence </w:t>
            </w:r>
            <w:r w:rsidRPr="005861A6">
              <w:rPr>
                <w:rFonts w:ascii="Times New Roman" w:hAnsi="Times New Roman" w:cs="Times New Roman"/>
                <w:sz w:val="13"/>
              </w:rPr>
              <w:t>included in the review.</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 §4.4</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23c</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 limitations of the review processes used.</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 §4.4</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23d</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 implications for practice, policy and future research.</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Discussion §4.5; Conclusion</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24a</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Registration and </w:t>
            </w:r>
            <w:r w:rsidRPr="005861A6">
              <w:rPr>
                <w:rFonts w:ascii="Times New Roman" w:hAnsi="Times New Roman" w:cs="Times New Roman"/>
                <w:sz w:val="13"/>
              </w:rPr>
              <w:t>protocol</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Provide registration information and registration number, or state not registered.</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Methods §2.1; PROSPERO CRD420261519673</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24b</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Registration and protocol</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Indicate where protocol can be accessed, or state if no protocol was prepared.</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Methods §2.1; </w:t>
            </w:r>
            <w:r w:rsidRPr="005861A6">
              <w:rPr>
                <w:rFonts w:ascii="Times New Roman" w:hAnsi="Times New Roman" w:cs="Times New Roman"/>
                <w:sz w:val="13"/>
              </w:rPr>
              <w:t>PROSPERO record</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24c</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Registration and protocol</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Describe and explain amendments to information provided at registration/protocol.</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Not described in current draft; confirm whether amendments occurred</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25</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Support</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 xml:space="preserve">Describe sources of financial or non-financial </w:t>
            </w:r>
            <w:r w:rsidRPr="005861A6">
              <w:rPr>
                <w:rFonts w:ascii="Times New Roman" w:hAnsi="Times New Roman" w:cs="Times New Roman"/>
                <w:sz w:val="13"/>
              </w:rPr>
              <w:t>support and role of funders.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Funding statement</w:t>
            </w:r>
          </w:p>
        </w:tc>
      </w:tr>
      <w:tr w:rsidR="00FF3ECC" w:rsidRPr="005861A6">
        <w:trPr>
          <w:cantSplit/>
          <w:jc w:val="center"/>
        </w:trPr>
        <w:tc>
          <w:tcPr>
            <w:tcW w:w="72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26</w:t>
            </w:r>
          </w:p>
        </w:tc>
        <w:tc>
          <w:tcPr>
            <w:tcW w:w="2376"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Competing interests</w:t>
            </w:r>
          </w:p>
        </w:tc>
        <w:tc>
          <w:tcPr>
            <w:tcW w:w="7272"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Declare competing interests of review authors.</w:t>
            </w:r>
          </w:p>
        </w:tc>
        <w:tc>
          <w:tcPr>
            <w:tcW w:w="2880" w:type="dxa"/>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Declaration of interest</w:t>
            </w:r>
          </w:p>
        </w:tc>
      </w:tr>
      <w:tr w:rsidR="00FF3ECC" w:rsidRPr="005861A6">
        <w:trPr>
          <w:cantSplit/>
          <w:jc w:val="center"/>
        </w:trPr>
        <w:tc>
          <w:tcPr>
            <w:tcW w:w="72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b/>
                <w:sz w:val="13"/>
              </w:rPr>
              <w:t>27</w:t>
            </w:r>
          </w:p>
        </w:tc>
        <w:tc>
          <w:tcPr>
            <w:tcW w:w="2376"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Availability of data, code and other materials</w:t>
            </w:r>
          </w:p>
        </w:tc>
        <w:tc>
          <w:tcPr>
            <w:tcW w:w="7272"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Report which of the following are publicly available and where:</w:t>
            </w:r>
            <w:r w:rsidRPr="005861A6">
              <w:rPr>
                <w:rFonts w:ascii="Times New Roman" w:hAnsi="Times New Roman" w:cs="Times New Roman"/>
                <w:sz w:val="13"/>
              </w:rPr>
              <w:t xml:space="preserve"> forms, extracted data, data used for analyses, analytic code, other materials.</w:t>
            </w:r>
          </w:p>
        </w:tc>
        <w:tc>
          <w:tcPr>
            <w:tcW w:w="2880" w:type="dxa"/>
            <w:shd w:val="clear" w:color="auto" w:fill="F3F7FB"/>
            <w:tcMar>
              <w:top w:w="65" w:type="dxa"/>
              <w:left w:w="70" w:type="dxa"/>
              <w:bottom w:w="65" w:type="dxa"/>
              <w:right w:w="70" w:type="dxa"/>
            </w:tcMar>
            <w:vAlign w:val="center"/>
          </w:tcPr>
          <w:p w:rsidR="00FF3ECC" w:rsidRPr="005861A6" w:rsidRDefault="00765AAB">
            <w:pPr>
              <w:spacing w:after="0"/>
              <w:rPr>
                <w:rFonts w:ascii="Times New Roman" w:hAnsi="Times New Roman" w:cs="Times New Roman"/>
              </w:rPr>
            </w:pPr>
            <w:r w:rsidRPr="005861A6">
              <w:rPr>
                <w:rFonts w:ascii="Times New Roman" w:hAnsi="Times New Roman" w:cs="Times New Roman"/>
                <w:sz w:val="13"/>
              </w:rPr>
              <w:t>Data availability statement; Supplementary Table S8</w:t>
            </w:r>
          </w:p>
        </w:tc>
      </w:tr>
      <w:bookmarkEnd w:id="0"/>
    </w:tbl>
    <w:p w:rsidR="00765AAB" w:rsidRPr="005861A6" w:rsidRDefault="00765AAB">
      <w:pPr>
        <w:rPr>
          <w:rFonts w:ascii="Times New Roman" w:hAnsi="Times New Roman" w:cs="Times New Roman"/>
        </w:rPr>
      </w:pPr>
    </w:p>
    <w:sectPr w:rsidR="00765AAB" w:rsidRPr="005861A6" w:rsidSect="00034616">
      <w:pgSz w:w="15840" w:h="12240" w:orient="landscape"/>
      <w:pgMar w:top="792" w:right="648" w:bottom="792" w:left="648" w:header="403"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AAB" w:rsidRDefault="00765AAB">
      <w:pPr>
        <w:spacing w:after="0"/>
      </w:pPr>
      <w:r>
        <w:separator/>
      </w:r>
    </w:p>
  </w:endnote>
  <w:endnote w:type="continuationSeparator" w:id="0">
    <w:p w:rsidR="00765AAB" w:rsidRDefault="00765A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ECC" w:rsidRDefault="00765AAB">
    <w:pPr>
      <w:pStyle w:val="Footer"/>
      <w:jc w:val="center"/>
    </w:pPr>
    <w:r>
      <w:rPr>
        <w:color w:val="666666"/>
        <w:sz w:val="16"/>
      </w:rPr>
      <w:t xml:space="preserve">Supplementary material  •  Page </w:t>
    </w:r>
    <w:r>
      <w:rPr>
        <w:color w:val="666666"/>
        <w:sz w:val="16"/>
      </w:rPr>
      <w:fldChar w:fldCharType="begin"/>
    </w:r>
    <w:r>
      <w:rPr>
        <w:color w:val="666666"/>
        <w:sz w:val="16"/>
      </w:rPr>
      <w:instrText xml:space="preserve"> PAGE </w:instrText>
    </w:r>
    <w:r w:rsidR="005861A6">
      <w:rPr>
        <w:color w:val="666666"/>
        <w:sz w:val="16"/>
      </w:rPr>
      <w:fldChar w:fldCharType="separate"/>
    </w:r>
    <w:r w:rsidR="005861A6">
      <w:rPr>
        <w:noProof/>
        <w:color w:val="666666"/>
        <w:sz w:val="16"/>
      </w:rPr>
      <w:t>9</w:t>
    </w:r>
    <w:r>
      <w:rPr>
        <w:color w:val="666666"/>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AAB" w:rsidRDefault="00765AAB">
      <w:pPr>
        <w:spacing w:after="0"/>
      </w:pPr>
      <w:r>
        <w:separator/>
      </w:r>
    </w:p>
  </w:footnote>
  <w:footnote w:type="continuationSeparator" w:id="0">
    <w:p w:rsidR="00765AAB" w:rsidRDefault="00765AAB">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861A6"/>
    <w:rsid w:val="00765AAB"/>
    <w:rsid w:val="00AA1D8D"/>
    <w:rsid w:val="00B47730"/>
    <w:rsid w:val="00CB0664"/>
    <w:rsid w:val="00FC693F"/>
    <w:rsid w:val="00FF3E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D5D90D"/>
  <w14:defaultImageDpi w14:val="300"/>
  <w15:docId w15:val="{7F1C220A-A899-4DBD-9AD8-C37C58EE9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7365D"/>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100"/>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ryBlock">
    <w:name w:val="Query Block"/>
    <w:pPr>
      <w:spacing w:before="60" w:after="100" w:line="240" w:lineRule="auto"/>
      <w:ind w:left="115" w:right="115"/>
    </w:pPr>
    <w:rPr>
      <w:rFonts w:ascii="Consolas" w:hAnsi="Consolas"/>
      <w:color w:val="232323"/>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4BE96-8547-4652-9DD5-C787C4A01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3270</Words>
  <Characters>18645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Circulating Angiopoietin-2 in Pediatric Sepsis</dc:title>
  <dc:subject>Supplementary tables and PRISMA checklist for a systematic review and meta-analysis</dc:subject>
  <dc:creator/>
  <cp:keywords>angiopoietin-2, sepsis, pediatrics, systematic review, meta-analysis</cp:keywords>
  <dc:description>generated by python-docx</dc:description>
  <cp:lastModifiedBy>Laptronics.co</cp:lastModifiedBy>
  <cp:revision>3</cp:revision>
  <dcterms:created xsi:type="dcterms:W3CDTF">2013-12-23T23:15:00Z</dcterms:created>
  <dcterms:modified xsi:type="dcterms:W3CDTF">2026-10-10T19:18:00Z</dcterms:modified>
  <cp:category/>
</cp:coreProperties>
</file>