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31852" w14:textId="4993DB02" w:rsidR="00932BA8" w:rsidRPr="003A1843" w:rsidRDefault="00932BA8" w:rsidP="00932BA8">
      <w:pPr>
        <w:rPr>
          <w:rFonts w:eastAsiaTheme="majorEastAsia" w:cstheme="majorBidi"/>
          <w:b/>
          <w:spacing w:val="-10"/>
          <w:kern w:val="28"/>
          <w:sz w:val="24"/>
          <w:szCs w:val="56"/>
          <w:lang w:eastAsia="zh-CN"/>
        </w:rPr>
      </w:pPr>
      <w:r>
        <w:rPr>
          <w:rFonts w:eastAsiaTheme="majorEastAsia" w:cstheme="majorBidi"/>
          <w:b/>
          <w:spacing w:val="-10"/>
          <w:kern w:val="28"/>
          <w:sz w:val="36"/>
          <w:szCs w:val="56"/>
          <w:lang w:eastAsia="zh-CN"/>
        </w:rPr>
        <w:t>Supplementary Information</w:t>
      </w:r>
      <w:r w:rsidR="00BE659B">
        <w:rPr>
          <w:rFonts w:eastAsiaTheme="majorEastAsia" w:cstheme="majorBidi"/>
          <w:b/>
          <w:spacing w:val="-10"/>
          <w:kern w:val="28"/>
          <w:sz w:val="36"/>
          <w:szCs w:val="56"/>
          <w:lang w:eastAsia="zh-CN"/>
        </w:rPr>
        <w:t xml:space="preserve"> for:</w:t>
      </w:r>
    </w:p>
    <w:p w14:paraId="0ABCD351" w14:textId="3564CF2D" w:rsidR="00932BA8" w:rsidRPr="007D2C7B" w:rsidRDefault="00932BA8" w:rsidP="00932BA8">
      <w:pPr>
        <w:rPr>
          <w:rFonts w:eastAsiaTheme="majorEastAsia" w:cstheme="majorBidi"/>
          <w:spacing w:val="-10"/>
          <w:kern w:val="28"/>
          <w:sz w:val="44"/>
          <w:szCs w:val="56"/>
          <w:lang w:eastAsia="zh-CN"/>
        </w:rPr>
      </w:pPr>
      <w:r w:rsidRPr="007D2C7B">
        <w:rPr>
          <w:rFonts w:eastAsiaTheme="majorEastAsia" w:cstheme="majorBidi"/>
          <w:spacing w:val="-10"/>
          <w:kern w:val="28"/>
          <w:sz w:val="44"/>
          <w:szCs w:val="56"/>
          <w:lang w:eastAsia="zh-CN"/>
        </w:rPr>
        <w:t>The energy requirements of providing universal decent living in a ‘fairly’ unequal world</w:t>
      </w:r>
    </w:p>
    <w:p w14:paraId="09F4ADD1" w14:textId="627432DD" w:rsidR="00932BA8" w:rsidRPr="007D2C7B" w:rsidRDefault="007D2C7B" w:rsidP="00932BA8">
      <w:pPr>
        <w:rPr>
          <w:rFonts w:ascii="Calibri" w:hAnsi="Calibri" w:cs="Calibri"/>
          <w:i/>
          <w:sz w:val="24"/>
          <w:szCs w:val="16"/>
        </w:rPr>
      </w:pPr>
      <w:r w:rsidRPr="007D2C7B">
        <w:rPr>
          <w:rFonts w:ascii="Calibri" w:hAnsi="Calibri" w:cs="Calibri"/>
          <w:i/>
          <w:sz w:val="24"/>
          <w:szCs w:val="16"/>
        </w:rPr>
        <w:t>[Author details removed for review]</w:t>
      </w:r>
      <w:bookmarkStart w:id="0" w:name="_GoBack"/>
      <w:bookmarkEnd w:id="0"/>
    </w:p>
    <w:p w14:paraId="78D53A45" w14:textId="27297483" w:rsidR="00932BA8" w:rsidRDefault="00932BA8" w:rsidP="00DA3B38">
      <w:pPr>
        <w:pBdr>
          <w:bottom w:val="single" w:sz="4" w:space="1" w:color="auto"/>
        </w:pBdr>
      </w:pPr>
    </w:p>
    <w:sdt>
      <w:sdtPr>
        <w:rPr>
          <w:rFonts w:asciiTheme="minorHAnsi" w:eastAsiaTheme="minorHAnsi" w:hAnsiTheme="minorHAnsi" w:cstheme="minorBidi"/>
          <w:color w:val="auto"/>
          <w:sz w:val="22"/>
          <w:szCs w:val="22"/>
          <w:lang w:val="en-GB"/>
        </w:rPr>
        <w:id w:val="2087490609"/>
        <w:docPartObj>
          <w:docPartGallery w:val="Table of Contents"/>
          <w:docPartUnique/>
        </w:docPartObj>
      </w:sdtPr>
      <w:sdtEndPr>
        <w:rPr>
          <w:b/>
          <w:bCs/>
          <w:noProof/>
        </w:rPr>
      </w:sdtEndPr>
      <w:sdtContent>
        <w:p w14:paraId="66D7805B" w14:textId="27297483" w:rsidR="00932BA8" w:rsidRPr="00571AA9" w:rsidRDefault="00932BA8" w:rsidP="00571AA9">
          <w:pPr>
            <w:pStyle w:val="TOCHeading"/>
            <w:numPr>
              <w:ilvl w:val="0"/>
              <w:numId w:val="0"/>
            </w:numPr>
            <w:rPr>
              <w:b/>
              <w:color w:val="auto"/>
            </w:rPr>
          </w:pPr>
          <w:r w:rsidRPr="00571AA9">
            <w:rPr>
              <w:b/>
              <w:color w:val="auto"/>
            </w:rPr>
            <w:t>Table of Contents</w:t>
          </w:r>
        </w:p>
        <w:p w14:paraId="662B7BA9" w14:textId="4966B1B0" w:rsidR="007D2C7B" w:rsidRDefault="00932BA8">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91071603" w:history="1">
            <w:r w:rsidR="007D2C7B" w:rsidRPr="005A3F44">
              <w:rPr>
                <w:rStyle w:val="Hyperlink"/>
                <w:noProof/>
              </w:rPr>
              <w:t>1.</w:t>
            </w:r>
            <w:r w:rsidR="007D2C7B">
              <w:rPr>
                <w:rFonts w:eastAsiaTheme="minorEastAsia"/>
                <w:noProof/>
                <w:lang w:eastAsia="en-GB"/>
              </w:rPr>
              <w:tab/>
            </w:r>
            <w:r w:rsidR="007D2C7B" w:rsidRPr="005A3F44">
              <w:rPr>
                <w:rStyle w:val="Hyperlink"/>
                <w:noProof/>
              </w:rPr>
              <w:t>Modelling</w:t>
            </w:r>
            <w:r w:rsidR="007D2C7B" w:rsidRPr="005A3F44">
              <w:rPr>
                <w:rStyle w:val="Hyperlink"/>
                <w:i/>
                <w:noProof/>
              </w:rPr>
              <w:t xml:space="preserve"> Fair</w:t>
            </w:r>
            <w:r w:rsidR="007D2C7B" w:rsidRPr="005A3F44">
              <w:rPr>
                <w:rStyle w:val="Hyperlink"/>
                <w:noProof/>
              </w:rPr>
              <w:t xml:space="preserve"> Inequalities</w:t>
            </w:r>
            <w:r w:rsidR="007D2C7B">
              <w:rPr>
                <w:noProof/>
                <w:webHidden/>
              </w:rPr>
              <w:tab/>
            </w:r>
            <w:r w:rsidR="007D2C7B">
              <w:rPr>
                <w:noProof/>
                <w:webHidden/>
              </w:rPr>
              <w:fldChar w:fldCharType="begin"/>
            </w:r>
            <w:r w:rsidR="007D2C7B">
              <w:rPr>
                <w:noProof/>
                <w:webHidden/>
              </w:rPr>
              <w:instrText xml:space="preserve"> PAGEREF _Toc91071603 \h </w:instrText>
            </w:r>
            <w:r w:rsidR="007D2C7B">
              <w:rPr>
                <w:noProof/>
                <w:webHidden/>
              </w:rPr>
            </w:r>
            <w:r w:rsidR="007D2C7B">
              <w:rPr>
                <w:noProof/>
                <w:webHidden/>
              </w:rPr>
              <w:fldChar w:fldCharType="separate"/>
            </w:r>
            <w:r w:rsidR="007D2C7B">
              <w:rPr>
                <w:noProof/>
                <w:webHidden/>
              </w:rPr>
              <w:t>2</w:t>
            </w:r>
            <w:r w:rsidR="007D2C7B">
              <w:rPr>
                <w:noProof/>
                <w:webHidden/>
              </w:rPr>
              <w:fldChar w:fldCharType="end"/>
            </w:r>
          </w:hyperlink>
        </w:p>
        <w:p w14:paraId="2D33E54D" w14:textId="65B0D917" w:rsidR="007D2C7B" w:rsidRDefault="007D2C7B">
          <w:pPr>
            <w:pStyle w:val="TOC2"/>
            <w:tabs>
              <w:tab w:val="right" w:leader="dot" w:pos="9016"/>
            </w:tabs>
            <w:rPr>
              <w:rFonts w:eastAsiaTheme="minorEastAsia"/>
              <w:noProof/>
              <w:lang w:eastAsia="en-GB"/>
            </w:rPr>
          </w:pPr>
          <w:hyperlink w:anchor="_Toc91071604" w:history="1">
            <w:r w:rsidRPr="005A3F44">
              <w:rPr>
                <w:rStyle w:val="Hyperlink"/>
                <w:noProof/>
              </w:rPr>
              <w:t>Idealised distributions</w:t>
            </w:r>
            <w:r>
              <w:rPr>
                <w:noProof/>
                <w:webHidden/>
              </w:rPr>
              <w:tab/>
            </w:r>
            <w:r>
              <w:rPr>
                <w:noProof/>
                <w:webHidden/>
              </w:rPr>
              <w:fldChar w:fldCharType="begin"/>
            </w:r>
            <w:r>
              <w:rPr>
                <w:noProof/>
                <w:webHidden/>
              </w:rPr>
              <w:instrText xml:space="preserve"> PAGEREF _Toc91071604 \h </w:instrText>
            </w:r>
            <w:r>
              <w:rPr>
                <w:noProof/>
                <w:webHidden/>
              </w:rPr>
            </w:r>
            <w:r>
              <w:rPr>
                <w:noProof/>
                <w:webHidden/>
              </w:rPr>
              <w:fldChar w:fldCharType="separate"/>
            </w:r>
            <w:r>
              <w:rPr>
                <w:noProof/>
                <w:webHidden/>
              </w:rPr>
              <w:t>2</w:t>
            </w:r>
            <w:r>
              <w:rPr>
                <w:noProof/>
                <w:webHidden/>
              </w:rPr>
              <w:fldChar w:fldCharType="end"/>
            </w:r>
          </w:hyperlink>
        </w:p>
        <w:p w14:paraId="3AF08BD2" w14:textId="2231F8AF" w:rsidR="007D2C7B" w:rsidRDefault="007D2C7B">
          <w:pPr>
            <w:pStyle w:val="TOC2"/>
            <w:tabs>
              <w:tab w:val="right" w:leader="dot" w:pos="9016"/>
            </w:tabs>
            <w:rPr>
              <w:rFonts w:eastAsiaTheme="minorEastAsia"/>
              <w:noProof/>
              <w:lang w:eastAsia="en-GB"/>
            </w:rPr>
          </w:pPr>
          <w:hyperlink w:anchor="_Toc91071605" w:history="1">
            <w:r w:rsidRPr="005A3F44">
              <w:rPr>
                <w:rStyle w:val="Hyperlink"/>
                <w:noProof/>
              </w:rPr>
              <w:t>Example plot: Inequality in the United Kingdom</w:t>
            </w:r>
            <w:r>
              <w:rPr>
                <w:noProof/>
                <w:webHidden/>
              </w:rPr>
              <w:tab/>
            </w:r>
            <w:r>
              <w:rPr>
                <w:noProof/>
                <w:webHidden/>
              </w:rPr>
              <w:fldChar w:fldCharType="begin"/>
            </w:r>
            <w:r>
              <w:rPr>
                <w:noProof/>
                <w:webHidden/>
              </w:rPr>
              <w:instrText xml:space="preserve"> PAGEREF _Toc91071605 \h </w:instrText>
            </w:r>
            <w:r>
              <w:rPr>
                <w:noProof/>
                <w:webHidden/>
              </w:rPr>
            </w:r>
            <w:r>
              <w:rPr>
                <w:noProof/>
                <w:webHidden/>
              </w:rPr>
              <w:fldChar w:fldCharType="separate"/>
            </w:r>
            <w:r>
              <w:rPr>
                <w:noProof/>
                <w:webHidden/>
              </w:rPr>
              <w:t>2</w:t>
            </w:r>
            <w:r>
              <w:rPr>
                <w:noProof/>
                <w:webHidden/>
              </w:rPr>
              <w:fldChar w:fldCharType="end"/>
            </w:r>
          </w:hyperlink>
        </w:p>
        <w:p w14:paraId="3930D0C1" w14:textId="33E5EA92" w:rsidR="007D2C7B" w:rsidRDefault="007D2C7B">
          <w:pPr>
            <w:pStyle w:val="TOC2"/>
            <w:tabs>
              <w:tab w:val="right" w:leader="dot" w:pos="9016"/>
            </w:tabs>
            <w:rPr>
              <w:rFonts w:eastAsiaTheme="minorEastAsia"/>
              <w:noProof/>
              <w:lang w:eastAsia="en-GB"/>
            </w:rPr>
          </w:pPr>
          <w:hyperlink w:anchor="_Toc91071606" w:history="1">
            <w:r w:rsidRPr="005A3F44">
              <w:rPr>
                <w:rStyle w:val="Hyperlink"/>
                <w:noProof/>
              </w:rPr>
              <w:t>List of countries studied by inequality category</w:t>
            </w:r>
            <w:r>
              <w:rPr>
                <w:noProof/>
                <w:webHidden/>
              </w:rPr>
              <w:tab/>
            </w:r>
            <w:r>
              <w:rPr>
                <w:noProof/>
                <w:webHidden/>
              </w:rPr>
              <w:fldChar w:fldCharType="begin"/>
            </w:r>
            <w:r>
              <w:rPr>
                <w:noProof/>
                <w:webHidden/>
              </w:rPr>
              <w:instrText xml:space="preserve"> PAGEREF _Toc91071606 \h </w:instrText>
            </w:r>
            <w:r>
              <w:rPr>
                <w:noProof/>
                <w:webHidden/>
              </w:rPr>
            </w:r>
            <w:r>
              <w:rPr>
                <w:noProof/>
                <w:webHidden/>
              </w:rPr>
              <w:fldChar w:fldCharType="separate"/>
            </w:r>
            <w:r>
              <w:rPr>
                <w:noProof/>
                <w:webHidden/>
              </w:rPr>
              <w:t>3</w:t>
            </w:r>
            <w:r>
              <w:rPr>
                <w:noProof/>
                <w:webHidden/>
              </w:rPr>
              <w:fldChar w:fldCharType="end"/>
            </w:r>
          </w:hyperlink>
        </w:p>
        <w:p w14:paraId="20C5514F" w14:textId="0F00FD6D" w:rsidR="007D2C7B" w:rsidRDefault="007D2C7B">
          <w:pPr>
            <w:pStyle w:val="TOC1"/>
            <w:tabs>
              <w:tab w:val="left" w:pos="440"/>
              <w:tab w:val="right" w:leader="dot" w:pos="9016"/>
            </w:tabs>
            <w:rPr>
              <w:rFonts w:eastAsiaTheme="minorEastAsia"/>
              <w:noProof/>
              <w:lang w:eastAsia="en-GB"/>
            </w:rPr>
          </w:pPr>
          <w:hyperlink w:anchor="_Toc91071607" w:history="1">
            <w:r w:rsidRPr="005A3F44">
              <w:rPr>
                <w:rStyle w:val="Hyperlink"/>
                <w:noProof/>
              </w:rPr>
              <w:t>2.</w:t>
            </w:r>
            <w:r>
              <w:rPr>
                <w:rFonts w:eastAsiaTheme="minorEastAsia"/>
                <w:noProof/>
                <w:lang w:eastAsia="en-GB"/>
              </w:rPr>
              <w:tab/>
            </w:r>
            <w:r w:rsidRPr="005A3F44">
              <w:rPr>
                <w:rStyle w:val="Hyperlink"/>
                <w:noProof/>
              </w:rPr>
              <w:t>Implementing inequalities in material consumption</w:t>
            </w:r>
            <w:r>
              <w:rPr>
                <w:noProof/>
                <w:webHidden/>
              </w:rPr>
              <w:tab/>
            </w:r>
            <w:r>
              <w:rPr>
                <w:noProof/>
                <w:webHidden/>
              </w:rPr>
              <w:fldChar w:fldCharType="begin"/>
            </w:r>
            <w:r>
              <w:rPr>
                <w:noProof/>
                <w:webHidden/>
              </w:rPr>
              <w:instrText xml:space="preserve"> PAGEREF _Toc91071607 \h </w:instrText>
            </w:r>
            <w:r>
              <w:rPr>
                <w:noProof/>
                <w:webHidden/>
              </w:rPr>
            </w:r>
            <w:r>
              <w:rPr>
                <w:noProof/>
                <w:webHidden/>
              </w:rPr>
              <w:fldChar w:fldCharType="separate"/>
            </w:r>
            <w:r>
              <w:rPr>
                <w:noProof/>
                <w:webHidden/>
              </w:rPr>
              <w:t>4</w:t>
            </w:r>
            <w:r>
              <w:rPr>
                <w:noProof/>
                <w:webHidden/>
              </w:rPr>
              <w:fldChar w:fldCharType="end"/>
            </w:r>
          </w:hyperlink>
        </w:p>
        <w:p w14:paraId="4CCD0B55" w14:textId="48CFADA3" w:rsidR="007D2C7B" w:rsidRDefault="007D2C7B">
          <w:pPr>
            <w:pStyle w:val="TOC2"/>
            <w:tabs>
              <w:tab w:val="right" w:leader="dot" w:pos="9016"/>
            </w:tabs>
            <w:rPr>
              <w:rFonts w:eastAsiaTheme="minorEastAsia"/>
              <w:noProof/>
              <w:lang w:eastAsia="en-GB"/>
            </w:rPr>
          </w:pPr>
          <w:hyperlink w:anchor="_Toc91071608" w:history="1">
            <w:r w:rsidRPr="005A3F44">
              <w:rPr>
                <w:rStyle w:val="Hyperlink"/>
                <w:noProof/>
              </w:rPr>
              <w:t>Approach for each sector</w:t>
            </w:r>
            <w:r>
              <w:rPr>
                <w:noProof/>
                <w:webHidden/>
              </w:rPr>
              <w:tab/>
            </w:r>
            <w:r>
              <w:rPr>
                <w:noProof/>
                <w:webHidden/>
              </w:rPr>
              <w:fldChar w:fldCharType="begin"/>
            </w:r>
            <w:r>
              <w:rPr>
                <w:noProof/>
                <w:webHidden/>
              </w:rPr>
              <w:instrText xml:space="preserve"> PAGEREF _Toc91071608 \h </w:instrText>
            </w:r>
            <w:r>
              <w:rPr>
                <w:noProof/>
                <w:webHidden/>
              </w:rPr>
            </w:r>
            <w:r>
              <w:rPr>
                <w:noProof/>
                <w:webHidden/>
              </w:rPr>
              <w:fldChar w:fldCharType="separate"/>
            </w:r>
            <w:r>
              <w:rPr>
                <w:noProof/>
                <w:webHidden/>
              </w:rPr>
              <w:t>4</w:t>
            </w:r>
            <w:r>
              <w:rPr>
                <w:noProof/>
                <w:webHidden/>
              </w:rPr>
              <w:fldChar w:fldCharType="end"/>
            </w:r>
          </w:hyperlink>
        </w:p>
        <w:p w14:paraId="7138883A" w14:textId="139C65A9" w:rsidR="007D2C7B" w:rsidRDefault="007D2C7B">
          <w:pPr>
            <w:pStyle w:val="TOC3"/>
            <w:tabs>
              <w:tab w:val="right" w:leader="dot" w:pos="9016"/>
            </w:tabs>
            <w:rPr>
              <w:rFonts w:eastAsiaTheme="minorEastAsia"/>
              <w:noProof/>
              <w:lang w:eastAsia="en-GB"/>
            </w:rPr>
          </w:pPr>
          <w:hyperlink w:anchor="_Toc91071609" w:history="1">
            <w:r w:rsidRPr="005A3F44">
              <w:rPr>
                <w:rStyle w:val="Hyperlink"/>
                <w:noProof/>
              </w:rPr>
              <w:t>Nutrition</w:t>
            </w:r>
            <w:r>
              <w:rPr>
                <w:noProof/>
                <w:webHidden/>
              </w:rPr>
              <w:tab/>
            </w:r>
            <w:r>
              <w:rPr>
                <w:noProof/>
                <w:webHidden/>
              </w:rPr>
              <w:fldChar w:fldCharType="begin"/>
            </w:r>
            <w:r>
              <w:rPr>
                <w:noProof/>
                <w:webHidden/>
              </w:rPr>
              <w:instrText xml:space="preserve"> PAGEREF _Toc91071609 \h </w:instrText>
            </w:r>
            <w:r>
              <w:rPr>
                <w:noProof/>
                <w:webHidden/>
              </w:rPr>
            </w:r>
            <w:r>
              <w:rPr>
                <w:noProof/>
                <w:webHidden/>
              </w:rPr>
              <w:fldChar w:fldCharType="separate"/>
            </w:r>
            <w:r>
              <w:rPr>
                <w:noProof/>
                <w:webHidden/>
              </w:rPr>
              <w:t>4</w:t>
            </w:r>
            <w:r>
              <w:rPr>
                <w:noProof/>
                <w:webHidden/>
              </w:rPr>
              <w:fldChar w:fldCharType="end"/>
            </w:r>
          </w:hyperlink>
        </w:p>
        <w:p w14:paraId="20CF1CCC" w14:textId="1C015E94" w:rsidR="007D2C7B" w:rsidRDefault="007D2C7B">
          <w:pPr>
            <w:pStyle w:val="TOC3"/>
            <w:tabs>
              <w:tab w:val="right" w:leader="dot" w:pos="9016"/>
            </w:tabs>
            <w:rPr>
              <w:rFonts w:eastAsiaTheme="minorEastAsia"/>
              <w:noProof/>
              <w:lang w:eastAsia="en-GB"/>
            </w:rPr>
          </w:pPr>
          <w:hyperlink w:anchor="_Toc91071610" w:history="1">
            <w:r w:rsidRPr="005A3F44">
              <w:rPr>
                <w:rStyle w:val="Hyperlink"/>
                <w:noProof/>
              </w:rPr>
              <w:t>Shelter and living</w:t>
            </w:r>
            <w:r>
              <w:rPr>
                <w:noProof/>
                <w:webHidden/>
              </w:rPr>
              <w:tab/>
            </w:r>
            <w:r>
              <w:rPr>
                <w:noProof/>
                <w:webHidden/>
              </w:rPr>
              <w:fldChar w:fldCharType="begin"/>
            </w:r>
            <w:r>
              <w:rPr>
                <w:noProof/>
                <w:webHidden/>
              </w:rPr>
              <w:instrText xml:space="preserve"> PAGEREF _Toc91071610 \h </w:instrText>
            </w:r>
            <w:r>
              <w:rPr>
                <w:noProof/>
                <w:webHidden/>
              </w:rPr>
            </w:r>
            <w:r>
              <w:rPr>
                <w:noProof/>
                <w:webHidden/>
              </w:rPr>
              <w:fldChar w:fldCharType="separate"/>
            </w:r>
            <w:r>
              <w:rPr>
                <w:noProof/>
                <w:webHidden/>
              </w:rPr>
              <w:t>4</w:t>
            </w:r>
            <w:r>
              <w:rPr>
                <w:noProof/>
                <w:webHidden/>
              </w:rPr>
              <w:fldChar w:fldCharType="end"/>
            </w:r>
          </w:hyperlink>
        </w:p>
        <w:p w14:paraId="44907E2C" w14:textId="593C079A" w:rsidR="007D2C7B" w:rsidRDefault="007D2C7B">
          <w:pPr>
            <w:pStyle w:val="TOC3"/>
            <w:tabs>
              <w:tab w:val="right" w:leader="dot" w:pos="9016"/>
            </w:tabs>
            <w:rPr>
              <w:rFonts w:eastAsiaTheme="minorEastAsia"/>
              <w:noProof/>
              <w:lang w:eastAsia="en-GB"/>
            </w:rPr>
          </w:pPr>
          <w:hyperlink w:anchor="_Toc91071611" w:history="1">
            <w:r w:rsidRPr="005A3F44">
              <w:rPr>
                <w:rStyle w:val="Hyperlink"/>
                <w:noProof/>
              </w:rPr>
              <w:t>Water</w:t>
            </w:r>
            <w:r>
              <w:rPr>
                <w:noProof/>
                <w:webHidden/>
              </w:rPr>
              <w:tab/>
            </w:r>
            <w:r>
              <w:rPr>
                <w:noProof/>
                <w:webHidden/>
              </w:rPr>
              <w:fldChar w:fldCharType="begin"/>
            </w:r>
            <w:r>
              <w:rPr>
                <w:noProof/>
                <w:webHidden/>
              </w:rPr>
              <w:instrText xml:space="preserve"> PAGEREF _Toc91071611 \h </w:instrText>
            </w:r>
            <w:r>
              <w:rPr>
                <w:noProof/>
                <w:webHidden/>
              </w:rPr>
            </w:r>
            <w:r>
              <w:rPr>
                <w:noProof/>
                <w:webHidden/>
              </w:rPr>
              <w:fldChar w:fldCharType="separate"/>
            </w:r>
            <w:r>
              <w:rPr>
                <w:noProof/>
                <w:webHidden/>
              </w:rPr>
              <w:t>4</w:t>
            </w:r>
            <w:r>
              <w:rPr>
                <w:noProof/>
                <w:webHidden/>
              </w:rPr>
              <w:fldChar w:fldCharType="end"/>
            </w:r>
          </w:hyperlink>
        </w:p>
        <w:p w14:paraId="7645436F" w14:textId="39C5A51C" w:rsidR="007D2C7B" w:rsidRDefault="007D2C7B">
          <w:pPr>
            <w:pStyle w:val="TOC3"/>
            <w:tabs>
              <w:tab w:val="right" w:leader="dot" w:pos="9016"/>
            </w:tabs>
            <w:rPr>
              <w:rFonts w:eastAsiaTheme="minorEastAsia"/>
              <w:noProof/>
              <w:lang w:eastAsia="en-GB"/>
            </w:rPr>
          </w:pPr>
          <w:hyperlink w:anchor="_Toc91071612" w:history="1">
            <w:r w:rsidRPr="005A3F44">
              <w:rPr>
                <w:rStyle w:val="Hyperlink"/>
                <w:noProof/>
              </w:rPr>
              <w:t>Mobility</w:t>
            </w:r>
            <w:r>
              <w:rPr>
                <w:noProof/>
                <w:webHidden/>
              </w:rPr>
              <w:tab/>
            </w:r>
            <w:r>
              <w:rPr>
                <w:noProof/>
                <w:webHidden/>
              </w:rPr>
              <w:fldChar w:fldCharType="begin"/>
            </w:r>
            <w:r>
              <w:rPr>
                <w:noProof/>
                <w:webHidden/>
              </w:rPr>
              <w:instrText xml:space="preserve"> PAGEREF _Toc91071612 \h </w:instrText>
            </w:r>
            <w:r>
              <w:rPr>
                <w:noProof/>
                <w:webHidden/>
              </w:rPr>
            </w:r>
            <w:r>
              <w:rPr>
                <w:noProof/>
                <w:webHidden/>
              </w:rPr>
              <w:fldChar w:fldCharType="separate"/>
            </w:r>
            <w:r>
              <w:rPr>
                <w:noProof/>
                <w:webHidden/>
              </w:rPr>
              <w:t>5</w:t>
            </w:r>
            <w:r>
              <w:rPr>
                <w:noProof/>
                <w:webHidden/>
              </w:rPr>
              <w:fldChar w:fldCharType="end"/>
            </w:r>
          </w:hyperlink>
        </w:p>
        <w:p w14:paraId="5A38F747" w14:textId="49B40E5F" w:rsidR="007D2C7B" w:rsidRDefault="007D2C7B">
          <w:pPr>
            <w:pStyle w:val="TOC3"/>
            <w:tabs>
              <w:tab w:val="right" w:leader="dot" w:pos="9016"/>
            </w:tabs>
            <w:rPr>
              <w:rFonts w:eastAsiaTheme="minorEastAsia"/>
              <w:noProof/>
              <w:lang w:eastAsia="en-GB"/>
            </w:rPr>
          </w:pPr>
          <w:hyperlink w:anchor="_Toc91071613" w:history="1">
            <w:r w:rsidRPr="005A3F44">
              <w:rPr>
                <w:rStyle w:val="Hyperlink"/>
                <w:noProof/>
              </w:rPr>
              <w:t>Clothing and Information and Communication</w:t>
            </w:r>
            <w:r>
              <w:rPr>
                <w:noProof/>
                <w:webHidden/>
              </w:rPr>
              <w:tab/>
            </w:r>
            <w:r>
              <w:rPr>
                <w:noProof/>
                <w:webHidden/>
              </w:rPr>
              <w:fldChar w:fldCharType="begin"/>
            </w:r>
            <w:r>
              <w:rPr>
                <w:noProof/>
                <w:webHidden/>
              </w:rPr>
              <w:instrText xml:space="preserve"> PAGEREF _Toc91071613 \h </w:instrText>
            </w:r>
            <w:r>
              <w:rPr>
                <w:noProof/>
                <w:webHidden/>
              </w:rPr>
            </w:r>
            <w:r>
              <w:rPr>
                <w:noProof/>
                <w:webHidden/>
              </w:rPr>
              <w:fldChar w:fldCharType="separate"/>
            </w:r>
            <w:r>
              <w:rPr>
                <w:noProof/>
                <w:webHidden/>
              </w:rPr>
              <w:t>6</w:t>
            </w:r>
            <w:r>
              <w:rPr>
                <w:noProof/>
                <w:webHidden/>
              </w:rPr>
              <w:fldChar w:fldCharType="end"/>
            </w:r>
          </w:hyperlink>
        </w:p>
        <w:p w14:paraId="567345AB" w14:textId="3D103C8A" w:rsidR="007D2C7B" w:rsidRDefault="007D2C7B">
          <w:pPr>
            <w:pStyle w:val="TOC2"/>
            <w:tabs>
              <w:tab w:val="right" w:leader="dot" w:pos="9016"/>
            </w:tabs>
            <w:rPr>
              <w:rFonts w:eastAsiaTheme="minorEastAsia"/>
              <w:noProof/>
              <w:lang w:eastAsia="en-GB"/>
            </w:rPr>
          </w:pPr>
          <w:hyperlink w:anchor="_Toc91071614" w:history="1">
            <w:r w:rsidRPr="005A3F44">
              <w:rPr>
                <w:rStyle w:val="Hyperlink"/>
                <w:noProof/>
              </w:rPr>
              <w:t>Consumption of the super-rich</w:t>
            </w:r>
            <w:r>
              <w:rPr>
                <w:noProof/>
                <w:webHidden/>
              </w:rPr>
              <w:tab/>
            </w:r>
            <w:r>
              <w:rPr>
                <w:noProof/>
                <w:webHidden/>
              </w:rPr>
              <w:fldChar w:fldCharType="begin"/>
            </w:r>
            <w:r>
              <w:rPr>
                <w:noProof/>
                <w:webHidden/>
              </w:rPr>
              <w:instrText xml:space="preserve"> PAGEREF _Toc91071614 \h </w:instrText>
            </w:r>
            <w:r>
              <w:rPr>
                <w:noProof/>
                <w:webHidden/>
              </w:rPr>
            </w:r>
            <w:r>
              <w:rPr>
                <w:noProof/>
                <w:webHidden/>
              </w:rPr>
              <w:fldChar w:fldCharType="separate"/>
            </w:r>
            <w:r>
              <w:rPr>
                <w:noProof/>
                <w:webHidden/>
              </w:rPr>
              <w:t>6</w:t>
            </w:r>
            <w:r>
              <w:rPr>
                <w:noProof/>
                <w:webHidden/>
              </w:rPr>
              <w:fldChar w:fldCharType="end"/>
            </w:r>
          </w:hyperlink>
        </w:p>
        <w:p w14:paraId="1F449A06" w14:textId="1F1A5109" w:rsidR="007D2C7B" w:rsidRDefault="007D2C7B">
          <w:pPr>
            <w:pStyle w:val="TOC1"/>
            <w:tabs>
              <w:tab w:val="left" w:pos="440"/>
              <w:tab w:val="right" w:leader="dot" w:pos="9016"/>
            </w:tabs>
            <w:rPr>
              <w:rFonts w:eastAsiaTheme="minorEastAsia"/>
              <w:noProof/>
              <w:lang w:eastAsia="en-GB"/>
            </w:rPr>
          </w:pPr>
          <w:hyperlink w:anchor="_Toc91071615" w:history="1">
            <w:r w:rsidRPr="005A3F44">
              <w:rPr>
                <w:rStyle w:val="Hyperlink"/>
                <w:noProof/>
              </w:rPr>
              <w:t>3.</w:t>
            </w:r>
            <w:r>
              <w:rPr>
                <w:rFonts w:eastAsiaTheme="minorEastAsia"/>
                <w:noProof/>
                <w:lang w:eastAsia="en-GB"/>
              </w:rPr>
              <w:tab/>
            </w:r>
            <w:r w:rsidRPr="005A3F44">
              <w:rPr>
                <w:rStyle w:val="Hyperlink"/>
                <w:noProof/>
              </w:rPr>
              <w:t>The High Population Scenario</w:t>
            </w:r>
            <w:r>
              <w:rPr>
                <w:noProof/>
                <w:webHidden/>
              </w:rPr>
              <w:tab/>
            </w:r>
            <w:r>
              <w:rPr>
                <w:noProof/>
                <w:webHidden/>
              </w:rPr>
              <w:fldChar w:fldCharType="begin"/>
            </w:r>
            <w:r>
              <w:rPr>
                <w:noProof/>
                <w:webHidden/>
              </w:rPr>
              <w:instrText xml:space="preserve"> PAGEREF _Toc91071615 \h </w:instrText>
            </w:r>
            <w:r>
              <w:rPr>
                <w:noProof/>
                <w:webHidden/>
              </w:rPr>
            </w:r>
            <w:r>
              <w:rPr>
                <w:noProof/>
                <w:webHidden/>
              </w:rPr>
              <w:fldChar w:fldCharType="separate"/>
            </w:r>
            <w:r>
              <w:rPr>
                <w:noProof/>
                <w:webHidden/>
              </w:rPr>
              <w:t>6</w:t>
            </w:r>
            <w:r>
              <w:rPr>
                <w:noProof/>
                <w:webHidden/>
              </w:rPr>
              <w:fldChar w:fldCharType="end"/>
            </w:r>
          </w:hyperlink>
        </w:p>
        <w:p w14:paraId="25D5970C" w14:textId="0F6AC975" w:rsidR="007D2C7B" w:rsidRDefault="007D2C7B">
          <w:pPr>
            <w:pStyle w:val="TOC1"/>
            <w:tabs>
              <w:tab w:val="left" w:pos="440"/>
              <w:tab w:val="right" w:leader="dot" w:pos="9016"/>
            </w:tabs>
            <w:rPr>
              <w:rFonts w:eastAsiaTheme="minorEastAsia"/>
              <w:noProof/>
              <w:lang w:eastAsia="en-GB"/>
            </w:rPr>
          </w:pPr>
          <w:hyperlink w:anchor="_Toc91071616" w:history="1">
            <w:r w:rsidRPr="005A3F44">
              <w:rPr>
                <w:rStyle w:val="Hyperlink"/>
                <w:noProof/>
              </w:rPr>
              <w:t>4.</w:t>
            </w:r>
            <w:r>
              <w:rPr>
                <w:rFonts w:eastAsiaTheme="minorEastAsia"/>
                <w:noProof/>
                <w:lang w:eastAsia="en-GB"/>
              </w:rPr>
              <w:tab/>
            </w:r>
            <w:r w:rsidRPr="005A3F44">
              <w:rPr>
                <w:rStyle w:val="Hyperlink"/>
                <w:noProof/>
              </w:rPr>
              <w:t>The Current Technology Scenario</w:t>
            </w:r>
            <w:r>
              <w:rPr>
                <w:noProof/>
                <w:webHidden/>
              </w:rPr>
              <w:tab/>
            </w:r>
            <w:r>
              <w:rPr>
                <w:noProof/>
                <w:webHidden/>
              </w:rPr>
              <w:fldChar w:fldCharType="begin"/>
            </w:r>
            <w:r>
              <w:rPr>
                <w:noProof/>
                <w:webHidden/>
              </w:rPr>
              <w:instrText xml:space="preserve"> PAGEREF _Toc91071616 \h </w:instrText>
            </w:r>
            <w:r>
              <w:rPr>
                <w:noProof/>
                <w:webHidden/>
              </w:rPr>
            </w:r>
            <w:r>
              <w:rPr>
                <w:noProof/>
                <w:webHidden/>
              </w:rPr>
              <w:fldChar w:fldCharType="separate"/>
            </w:r>
            <w:r>
              <w:rPr>
                <w:noProof/>
                <w:webHidden/>
              </w:rPr>
              <w:t>7</w:t>
            </w:r>
            <w:r>
              <w:rPr>
                <w:noProof/>
                <w:webHidden/>
              </w:rPr>
              <w:fldChar w:fldCharType="end"/>
            </w:r>
          </w:hyperlink>
        </w:p>
        <w:p w14:paraId="0E106A0D" w14:textId="209B81FD" w:rsidR="007D2C7B" w:rsidRDefault="007D2C7B">
          <w:pPr>
            <w:pStyle w:val="TOC2"/>
            <w:tabs>
              <w:tab w:val="right" w:leader="dot" w:pos="9016"/>
            </w:tabs>
            <w:rPr>
              <w:rFonts w:eastAsiaTheme="minorEastAsia"/>
              <w:noProof/>
              <w:lang w:eastAsia="en-GB"/>
            </w:rPr>
          </w:pPr>
          <w:hyperlink w:anchor="_Toc91071617" w:history="1">
            <w:r w:rsidRPr="005A3F44">
              <w:rPr>
                <w:rStyle w:val="Hyperlink"/>
                <w:noProof/>
              </w:rPr>
              <w:t>Comparison with the DLE scenario</w:t>
            </w:r>
            <w:r>
              <w:rPr>
                <w:noProof/>
                <w:webHidden/>
              </w:rPr>
              <w:tab/>
            </w:r>
            <w:r>
              <w:rPr>
                <w:noProof/>
                <w:webHidden/>
              </w:rPr>
              <w:fldChar w:fldCharType="begin"/>
            </w:r>
            <w:r>
              <w:rPr>
                <w:noProof/>
                <w:webHidden/>
              </w:rPr>
              <w:instrText xml:space="preserve"> PAGEREF _Toc91071617 \h </w:instrText>
            </w:r>
            <w:r>
              <w:rPr>
                <w:noProof/>
                <w:webHidden/>
              </w:rPr>
            </w:r>
            <w:r>
              <w:rPr>
                <w:noProof/>
                <w:webHidden/>
              </w:rPr>
              <w:fldChar w:fldCharType="separate"/>
            </w:r>
            <w:r>
              <w:rPr>
                <w:noProof/>
                <w:webHidden/>
              </w:rPr>
              <w:t>7</w:t>
            </w:r>
            <w:r>
              <w:rPr>
                <w:noProof/>
                <w:webHidden/>
              </w:rPr>
              <w:fldChar w:fldCharType="end"/>
            </w:r>
          </w:hyperlink>
        </w:p>
        <w:p w14:paraId="26C11B2A" w14:textId="2F89409D" w:rsidR="007D2C7B" w:rsidRDefault="007D2C7B">
          <w:pPr>
            <w:pStyle w:val="TOC2"/>
            <w:tabs>
              <w:tab w:val="right" w:leader="dot" w:pos="9016"/>
            </w:tabs>
            <w:rPr>
              <w:rFonts w:eastAsiaTheme="minorEastAsia"/>
              <w:noProof/>
              <w:lang w:eastAsia="en-GB"/>
            </w:rPr>
          </w:pPr>
          <w:hyperlink w:anchor="_Toc91071618" w:history="1">
            <w:r w:rsidRPr="005A3F44">
              <w:rPr>
                <w:rStyle w:val="Hyperlink"/>
                <w:noProof/>
              </w:rPr>
              <w:t>Nutrition</w:t>
            </w:r>
            <w:r>
              <w:rPr>
                <w:noProof/>
                <w:webHidden/>
              </w:rPr>
              <w:tab/>
            </w:r>
            <w:r>
              <w:rPr>
                <w:noProof/>
                <w:webHidden/>
              </w:rPr>
              <w:fldChar w:fldCharType="begin"/>
            </w:r>
            <w:r>
              <w:rPr>
                <w:noProof/>
                <w:webHidden/>
              </w:rPr>
              <w:instrText xml:space="preserve"> PAGEREF _Toc91071618 \h </w:instrText>
            </w:r>
            <w:r>
              <w:rPr>
                <w:noProof/>
                <w:webHidden/>
              </w:rPr>
            </w:r>
            <w:r>
              <w:rPr>
                <w:noProof/>
                <w:webHidden/>
              </w:rPr>
              <w:fldChar w:fldCharType="separate"/>
            </w:r>
            <w:r>
              <w:rPr>
                <w:noProof/>
                <w:webHidden/>
              </w:rPr>
              <w:t>7</w:t>
            </w:r>
            <w:r>
              <w:rPr>
                <w:noProof/>
                <w:webHidden/>
              </w:rPr>
              <w:fldChar w:fldCharType="end"/>
            </w:r>
          </w:hyperlink>
        </w:p>
        <w:p w14:paraId="593BD4B3" w14:textId="785552EA" w:rsidR="007D2C7B" w:rsidRDefault="007D2C7B">
          <w:pPr>
            <w:pStyle w:val="TOC2"/>
            <w:tabs>
              <w:tab w:val="right" w:leader="dot" w:pos="9016"/>
            </w:tabs>
            <w:rPr>
              <w:rFonts w:eastAsiaTheme="minorEastAsia"/>
              <w:noProof/>
              <w:lang w:eastAsia="en-GB"/>
            </w:rPr>
          </w:pPr>
          <w:hyperlink w:anchor="_Toc91071619" w:history="1">
            <w:r w:rsidRPr="005A3F44">
              <w:rPr>
                <w:rStyle w:val="Hyperlink"/>
                <w:noProof/>
              </w:rPr>
              <w:t>Shelter and living conditions</w:t>
            </w:r>
            <w:r>
              <w:rPr>
                <w:noProof/>
                <w:webHidden/>
              </w:rPr>
              <w:tab/>
            </w:r>
            <w:r>
              <w:rPr>
                <w:noProof/>
                <w:webHidden/>
              </w:rPr>
              <w:fldChar w:fldCharType="begin"/>
            </w:r>
            <w:r>
              <w:rPr>
                <w:noProof/>
                <w:webHidden/>
              </w:rPr>
              <w:instrText xml:space="preserve"> PAGEREF _Toc91071619 \h </w:instrText>
            </w:r>
            <w:r>
              <w:rPr>
                <w:noProof/>
                <w:webHidden/>
              </w:rPr>
            </w:r>
            <w:r>
              <w:rPr>
                <w:noProof/>
                <w:webHidden/>
              </w:rPr>
              <w:fldChar w:fldCharType="separate"/>
            </w:r>
            <w:r>
              <w:rPr>
                <w:noProof/>
                <w:webHidden/>
              </w:rPr>
              <w:t>8</w:t>
            </w:r>
            <w:r>
              <w:rPr>
                <w:noProof/>
                <w:webHidden/>
              </w:rPr>
              <w:fldChar w:fldCharType="end"/>
            </w:r>
          </w:hyperlink>
        </w:p>
        <w:p w14:paraId="675BCAF0" w14:textId="159E01DC" w:rsidR="007D2C7B" w:rsidRDefault="007D2C7B">
          <w:pPr>
            <w:pStyle w:val="TOC2"/>
            <w:tabs>
              <w:tab w:val="right" w:leader="dot" w:pos="9016"/>
            </w:tabs>
            <w:rPr>
              <w:rFonts w:eastAsiaTheme="minorEastAsia"/>
              <w:noProof/>
              <w:lang w:eastAsia="en-GB"/>
            </w:rPr>
          </w:pPr>
          <w:hyperlink w:anchor="_Toc91071620" w:history="1">
            <w:r w:rsidRPr="005A3F44">
              <w:rPr>
                <w:rStyle w:val="Hyperlink"/>
                <w:noProof/>
              </w:rPr>
              <w:t>Mobility</w:t>
            </w:r>
            <w:r>
              <w:rPr>
                <w:noProof/>
                <w:webHidden/>
              </w:rPr>
              <w:tab/>
            </w:r>
            <w:r>
              <w:rPr>
                <w:noProof/>
                <w:webHidden/>
              </w:rPr>
              <w:fldChar w:fldCharType="begin"/>
            </w:r>
            <w:r>
              <w:rPr>
                <w:noProof/>
                <w:webHidden/>
              </w:rPr>
              <w:instrText xml:space="preserve"> PAGEREF _Toc91071620 \h </w:instrText>
            </w:r>
            <w:r>
              <w:rPr>
                <w:noProof/>
                <w:webHidden/>
              </w:rPr>
            </w:r>
            <w:r>
              <w:rPr>
                <w:noProof/>
                <w:webHidden/>
              </w:rPr>
              <w:fldChar w:fldCharType="separate"/>
            </w:r>
            <w:r>
              <w:rPr>
                <w:noProof/>
                <w:webHidden/>
              </w:rPr>
              <w:t>8</w:t>
            </w:r>
            <w:r>
              <w:rPr>
                <w:noProof/>
                <w:webHidden/>
              </w:rPr>
              <w:fldChar w:fldCharType="end"/>
            </w:r>
          </w:hyperlink>
        </w:p>
        <w:p w14:paraId="47855951" w14:textId="3468C60C" w:rsidR="007D2C7B" w:rsidRDefault="007D2C7B">
          <w:pPr>
            <w:pStyle w:val="TOC2"/>
            <w:tabs>
              <w:tab w:val="right" w:leader="dot" w:pos="9016"/>
            </w:tabs>
            <w:rPr>
              <w:rFonts w:eastAsiaTheme="minorEastAsia"/>
              <w:noProof/>
              <w:lang w:eastAsia="en-GB"/>
            </w:rPr>
          </w:pPr>
          <w:hyperlink w:anchor="_Toc91071621" w:history="1">
            <w:r w:rsidRPr="005A3F44">
              <w:rPr>
                <w:rStyle w:val="Hyperlink"/>
                <w:noProof/>
              </w:rPr>
              <w:t>Power</w:t>
            </w:r>
            <w:r>
              <w:rPr>
                <w:noProof/>
                <w:webHidden/>
              </w:rPr>
              <w:tab/>
            </w:r>
            <w:r>
              <w:rPr>
                <w:noProof/>
                <w:webHidden/>
              </w:rPr>
              <w:fldChar w:fldCharType="begin"/>
            </w:r>
            <w:r>
              <w:rPr>
                <w:noProof/>
                <w:webHidden/>
              </w:rPr>
              <w:instrText xml:space="preserve"> PAGEREF _Toc91071621 \h </w:instrText>
            </w:r>
            <w:r>
              <w:rPr>
                <w:noProof/>
                <w:webHidden/>
              </w:rPr>
            </w:r>
            <w:r>
              <w:rPr>
                <w:noProof/>
                <w:webHidden/>
              </w:rPr>
              <w:fldChar w:fldCharType="separate"/>
            </w:r>
            <w:r>
              <w:rPr>
                <w:noProof/>
                <w:webHidden/>
              </w:rPr>
              <w:t>9</w:t>
            </w:r>
            <w:r>
              <w:rPr>
                <w:noProof/>
                <w:webHidden/>
              </w:rPr>
              <w:fldChar w:fldCharType="end"/>
            </w:r>
          </w:hyperlink>
        </w:p>
        <w:p w14:paraId="61C04321" w14:textId="1175DCD0" w:rsidR="007D2C7B" w:rsidRDefault="007D2C7B">
          <w:pPr>
            <w:pStyle w:val="TOC2"/>
            <w:tabs>
              <w:tab w:val="right" w:leader="dot" w:pos="9016"/>
            </w:tabs>
            <w:rPr>
              <w:rFonts w:eastAsiaTheme="minorEastAsia"/>
              <w:noProof/>
              <w:lang w:eastAsia="en-GB"/>
            </w:rPr>
          </w:pPr>
          <w:hyperlink w:anchor="_Toc91071622" w:history="1">
            <w:r w:rsidRPr="005A3F44">
              <w:rPr>
                <w:rStyle w:val="Hyperlink"/>
                <w:noProof/>
              </w:rPr>
              <w:t>Fixed sectors</w:t>
            </w:r>
            <w:r>
              <w:rPr>
                <w:noProof/>
                <w:webHidden/>
              </w:rPr>
              <w:tab/>
            </w:r>
            <w:r>
              <w:rPr>
                <w:noProof/>
                <w:webHidden/>
              </w:rPr>
              <w:fldChar w:fldCharType="begin"/>
            </w:r>
            <w:r>
              <w:rPr>
                <w:noProof/>
                <w:webHidden/>
              </w:rPr>
              <w:instrText xml:space="preserve"> PAGEREF _Toc91071622 \h </w:instrText>
            </w:r>
            <w:r>
              <w:rPr>
                <w:noProof/>
                <w:webHidden/>
              </w:rPr>
            </w:r>
            <w:r>
              <w:rPr>
                <w:noProof/>
                <w:webHidden/>
              </w:rPr>
              <w:fldChar w:fldCharType="separate"/>
            </w:r>
            <w:r>
              <w:rPr>
                <w:noProof/>
                <w:webHidden/>
              </w:rPr>
              <w:t>9</w:t>
            </w:r>
            <w:r>
              <w:rPr>
                <w:noProof/>
                <w:webHidden/>
              </w:rPr>
              <w:fldChar w:fldCharType="end"/>
            </w:r>
          </w:hyperlink>
        </w:p>
        <w:p w14:paraId="27DC2680" w14:textId="79BDA25B" w:rsidR="007D2C7B" w:rsidRDefault="007D2C7B">
          <w:pPr>
            <w:pStyle w:val="TOC1"/>
            <w:tabs>
              <w:tab w:val="right" w:leader="dot" w:pos="9016"/>
            </w:tabs>
            <w:rPr>
              <w:rFonts w:eastAsiaTheme="minorEastAsia"/>
              <w:noProof/>
              <w:lang w:eastAsia="en-GB"/>
            </w:rPr>
          </w:pPr>
          <w:hyperlink w:anchor="_Toc91071623" w:history="1">
            <w:r w:rsidRPr="005A3F44">
              <w:rPr>
                <w:rStyle w:val="Hyperlink"/>
                <w:noProof/>
              </w:rPr>
              <w:t>References</w:t>
            </w:r>
            <w:r>
              <w:rPr>
                <w:noProof/>
                <w:webHidden/>
              </w:rPr>
              <w:tab/>
            </w:r>
            <w:r>
              <w:rPr>
                <w:noProof/>
                <w:webHidden/>
              </w:rPr>
              <w:fldChar w:fldCharType="begin"/>
            </w:r>
            <w:r>
              <w:rPr>
                <w:noProof/>
                <w:webHidden/>
              </w:rPr>
              <w:instrText xml:space="preserve"> PAGEREF _Toc91071623 \h </w:instrText>
            </w:r>
            <w:r>
              <w:rPr>
                <w:noProof/>
                <w:webHidden/>
              </w:rPr>
            </w:r>
            <w:r>
              <w:rPr>
                <w:noProof/>
                <w:webHidden/>
              </w:rPr>
              <w:fldChar w:fldCharType="separate"/>
            </w:r>
            <w:r>
              <w:rPr>
                <w:noProof/>
                <w:webHidden/>
              </w:rPr>
              <w:t>10</w:t>
            </w:r>
            <w:r>
              <w:rPr>
                <w:noProof/>
                <w:webHidden/>
              </w:rPr>
              <w:fldChar w:fldCharType="end"/>
            </w:r>
          </w:hyperlink>
        </w:p>
        <w:p w14:paraId="746400B7" w14:textId="3D439EAF" w:rsidR="00932BA8" w:rsidRDefault="00932BA8">
          <w:r>
            <w:rPr>
              <w:b/>
              <w:bCs/>
              <w:noProof/>
            </w:rPr>
            <w:fldChar w:fldCharType="end"/>
          </w:r>
        </w:p>
      </w:sdtContent>
    </w:sdt>
    <w:p w14:paraId="761FA85D" w14:textId="77777777" w:rsidR="00932BA8" w:rsidRPr="00932BA8" w:rsidRDefault="00932BA8" w:rsidP="00932BA8">
      <w:pPr>
        <w:rPr>
          <w:b/>
        </w:rPr>
      </w:pPr>
    </w:p>
    <w:p w14:paraId="460A25D0" w14:textId="77777777" w:rsidR="00571AA9" w:rsidRDefault="00571AA9">
      <w:pPr>
        <w:spacing w:after="160"/>
        <w:rPr>
          <w:rFonts w:eastAsiaTheme="majorEastAsia" w:cstheme="majorBidi"/>
          <w:b/>
          <w:sz w:val="36"/>
          <w:szCs w:val="32"/>
        </w:rPr>
      </w:pPr>
      <w:r>
        <w:br w:type="page"/>
      </w:r>
    </w:p>
    <w:p w14:paraId="4AD8F66B" w14:textId="44BA9C47" w:rsidR="00E87C79" w:rsidRDefault="008715CE" w:rsidP="00571AA9">
      <w:pPr>
        <w:pStyle w:val="Heading1"/>
      </w:pPr>
      <w:bookmarkStart w:id="1" w:name="_Toc91071603"/>
      <w:r w:rsidRPr="00571AA9">
        <w:lastRenderedPageBreak/>
        <w:t>Modelling</w:t>
      </w:r>
      <w:r>
        <w:rPr>
          <w:i/>
        </w:rPr>
        <w:t xml:space="preserve"> </w:t>
      </w:r>
      <w:r w:rsidR="00232183" w:rsidRPr="00094CC6">
        <w:rPr>
          <w:i/>
        </w:rPr>
        <w:t>Fair</w:t>
      </w:r>
      <w:r w:rsidR="00232183">
        <w:t xml:space="preserve"> Inequalities</w:t>
      </w:r>
      <w:bookmarkEnd w:id="1"/>
    </w:p>
    <w:p w14:paraId="3F68B8E3" w14:textId="1DDA4368" w:rsidR="005E748D" w:rsidRPr="003E7572" w:rsidRDefault="00814417" w:rsidP="00814417">
      <w:pPr>
        <w:pStyle w:val="Heading2"/>
        <w:spacing w:before="120"/>
      </w:pPr>
      <w:bookmarkStart w:id="2" w:name="_Toc91071604"/>
      <w:r>
        <w:t>Idealised distributions</w:t>
      </w:r>
      <w:bookmarkEnd w:id="2"/>
    </w:p>
    <w:p w14:paraId="68D695EA" w14:textId="6B27C153" w:rsidR="00E87C79" w:rsidRDefault="005E748D" w:rsidP="00F73F47">
      <w:pPr>
        <w:jc w:val="center"/>
      </w:pPr>
      <w:r w:rsidRPr="005E748D">
        <w:rPr>
          <w:noProof/>
          <w:lang w:eastAsia="en-GB"/>
        </w:rPr>
        <w:drawing>
          <wp:inline distT="0" distB="0" distL="0" distR="0" wp14:anchorId="562104CE" wp14:editId="6F3081F7">
            <wp:extent cx="5619750"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0" cy="2514600"/>
                    </a:xfrm>
                    <a:prstGeom prst="rect">
                      <a:avLst/>
                    </a:prstGeom>
                    <a:noFill/>
                    <a:ln>
                      <a:noFill/>
                    </a:ln>
                  </pic:spPr>
                </pic:pic>
              </a:graphicData>
            </a:graphic>
          </wp:inline>
        </w:drawing>
      </w:r>
    </w:p>
    <w:p w14:paraId="393CC63A" w14:textId="1F49459B" w:rsidR="00232183" w:rsidRPr="002561B8" w:rsidRDefault="003F0CBA" w:rsidP="00E87C79">
      <w:r>
        <w:rPr>
          <w:b/>
        </w:rPr>
        <w:t>Figure SI</w:t>
      </w:r>
      <w:r w:rsidR="00232183">
        <w:rPr>
          <w:b/>
        </w:rPr>
        <w:t xml:space="preserve">1:  </w:t>
      </w:r>
      <w:r w:rsidR="00232183" w:rsidRPr="00232183">
        <w:t xml:space="preserve">Idealised distributions of relative consumption for </w:t>
      </w:r>
      <w:r w:rsidR="00814417" w:rsidRPr="003E7572">
        <w:rPr>
          <w:i/>
        </w:rPr>
        <w:t>egalitarian</w:t>
      </w:r>
      <w:r w:rsidR="00814417">
        <w:t xml:space="preserve">, </w:t>
      </w:r>
      <w:r w:rsidR="00814417" w:rsidRPr="003E7572">
        <w:rPr>
          <w:i/>
        </w:rPr>
        <w:t>moderate</w:t>
      </w:r>
      <w:r w:rsidR="00814417">
        <w:t xml:space="preserve"> and </w:t>
      </w:r>
      <w:r w:rsidR="00814417" w:rsidRPr="003E7572">
        <w:rPr>
          <w:i/>
        </w:rPr>
        <w:t>meritocratic</w:t>
      </w:r>
      <w:r w:rsidR="00814417">
        <w:t xml:space="preserve"> </w:t>
      </w:r>
      <w:r w:rsidR="00232183" w:rsidRPr="00232183">
        <w:t>countr</w:t>
      </w:r>
      <w:r w:rsidR="00814417">
        <w:t>i</w:t>
      </w:r>
      <w:r w:rsidR="00232183" w:rsidRPr="00232183">
        <w:t>es</w:t>
      </w:r>
      <w:r w:rsidR="007957C1">
        <w:t xml:space="preserve"> in the </w:t>
      </w:r>
      <w:r w:rsidR="007957C1">
        <w:rPr>
          <w:i/>
        </w:rPr>
        <w:t>fair inequality</w:t>
      </w:r>
      <w:r w:rsidR="007957C1">
        <w:t xml:space="preserve"> scenario</w:t>
      </w:r>
      <w:r w:rsidR="00DB6D58">
        <w:t xml:space="preserve"> (left) and </w:t>
      </w:r>
      <w:r w:rsidR="00DB6D58">
        <w:rPr>
          <w:i/>
        </w:rPr>
        <w:t>fairly large</w:t>
      </w:r>
      <w:r w:rsidR="00DB6D58">
        <w:t xml:space="preserve"> inequality scenario (right).</w:t>
      </w:r>
      <w:r w:rsidR="002561B8">
        <w:t xml:space="preserve"> The </w:t>
      </w:r>
      <w:r w:rsidR="00293592">
        <w:t xml:space="preserve">ranges of </w:t>
      </w:r>
      <w:r w:rsidR="002561B8">
        <w:rPr>
          <w:i/>
        </w:rPr>
        <w:t>ideal income ratio</w:t>
      </w:r>
      <w:r w:rsidR="002561B8">
        <w:t xml:space="preserve"> in the legend refers to th</w:t>
      </w:r>
      <w:r w:rsidR="00293592">
        <w:t>ose</w:t>
      </w:r>
      <w:r w:rsidR="002561B8">
        <w:t xml:space="preserve"> reported by Kiatpongsan and Norton</w:t>
      </w:r>
      <w:r w:rsidR="002561B8">
        <w:fldChar w:fldCharType="begin"/>
      </w:r>
      <w:r w:rsidR="002561B8">
        <w:instrText xml:space="preserve"> ADDIN EN.CITE &lt;EndNote&gt;&lt;Cite&gt;&lt;Author&gt;Kiatpongsan&lt;/Author&gt;&lt;Year&gt;2014&lt;/Year&gt;&lt;RecNum&gt;851&lt;/RecNum&gt;&lt;DisplayText&gt;[1]&lt;/DisplayText&gt;&lt;record&gt;&lt;rec-number&gt;851&lt;/rec-number&gt;&lt;foreign-keys&gt;&lt;key app="EN" db-id="trp9sxavnrpwwyeprv75wfdvdzzdv5x20asz" timestamp="1549360907"&gt;851&lt;/key&gt;&lt;/foreign-keys&gt;&lt;ref-type name="Journal Article"&gt;17&lt;/ref-type&gt;&lt;contributors&gt;&lt;authors&gt;&lt;author&gt;Kiatpongsan, Sorapop&lt;/author&gt;&lt;author&gt;Norton, Michael I.&lt;/author&gt;&lt;/authors&gt;&lt;/contributors&gt;&lt;titles&gt;&lt;title&gt;How Much (More) Should CEOs Make? A Universal Desire for More Equal Pay&lt;/title&gt;&lt;secondary-title&gt;Perspectives on Psychological Science&lt;/secondary-title&gt;&lt;/titles&gt;&lt;periodical&gt;&lt;full-title&gt;Perspectives on Psychological Science&lt;/full-title&gt;&lt;/periodical&gt;&lt;pages&gt;587-593&lt;/pages&gt;&lt;volume&gt;9&lt;/volume&gt;&lt;number&gt;6&lt;/number&gt;&lt;keywords&gt;&lt;keyword&gt;inequality, fairness, justice, income, pay, cross-cultural&lt;/keyword&gt;&lt;/keywords&gt;&lt;dates&gt;&lt;year&gt;2014&lt;/year&gt;&lt;/dates&gt;&lt;accession-num&gt;26186109&lt;/accession-num&gt;&lt;urls&gt;&lt;related-urls&gt;&lt;url&gt;&lt;style face="underline" font="default" size="100%"&gt;https://journals.sagepub.com/doi/abs/10.1177/1745691614549773&lt;/style&gt;&lt;/url&gt;&lt;/related-urls&gt;&lt;/urls&gt;&lt;electronic-resource-num&gt;10.1177/1745691614549773&lt;/electronic-resource-num&gt;&lt;/record&gt;&lt;/Cite&gt;&lt;/EndNote&gt;</w:instrText>
      </w:r>
      <w:r w:rsidR="002561B8">
        <w:fldChar w:fldCharType="separate"/>
      </w:r>
      <w:r w:rsidR="002561B8">
        <w:rPr>
          <w:noProof/>
        </w:rPr>
        <w:t>[1]</w:t>
      </w:r>
      <w:r w:rsidR="002561B8">
        <w:fldChar w:fldCharType="end"/>
      </w:r>
      <w:r w:rsidR="002561B8">
        <w:t>.</w:t>
      </w:r>
    </w:p>
    <w:p w14:paraId="5A2C53F3" w14:textId="5A91A018" w:rsidR="00571AA9" w:rsidRDefault="00571AA9" w:rsidP="00E87C79"/>
    <w:p w14:paraId="1FB79B67" w14:textId="77777777" w:rsidR="00814417" w:rsidRDefault="00814417" w:rsidP="00E87C79"/>
    <w:p w14:paraId="437B9D85" w14:textId="1B16894F" w:rsidR="00571AA9" w:rsidRDefault="00902D32" w:rsidP="00814417">
      <w:pPr>
        <w:pStyle w:val="Heading2"/>
      </w:pPr>
      <w:bookmarkStart w:id="3" w:name="_Toc91071605"/>
      <w:r>
        <w:t xml:space="preserve">Example plot: </w:t>
      </w:r>
      <w:r w:rsidR="00814417">
        <w:t>Inequality in the United Kingdom</w:t>
      </w:r>
      <w:bookmarkEnd w:id="3"/>
    </w:p>
    <w:p w14:paraId="0B4230DD" w14:textId="758C2B5F" w:rsidR="00E87C79" w:rsidRDefault="00571AA9" w:rsidP="00571AA9">
      <w:pPr>
        <w:jc w:val="center"/>
      </w:pPr>
      <w:r w:rsidRPr="00571AA9">
        <w:rPr>
          <w:noProof/>
          <w:lang w:eastAsia="en-GB"/>
        </w:rPr>
        <w:drawing>
          <wp:inline distT="0" distB="0" distL="0" distR="0" wp14:anchorId="0AEB652D" wp14:editId="1E4E56B5">
            <wp:extent cx="5731510" cy="251783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517836"/>
                    </a:xfrm>
                    <a:prstGeom prst="rect">
                      <a:avLst/>
                    </a:prstGeom>
                    <a:noFill/>
                    <a:ln>
                      <a:noFill/>
                    </a:ln>
                  </pic:spPr>
                </pic:pic>
              </a:graphicData>
            </a:graphic>
          </wp:inline>
        </w:drawing>
      </w:r>
    </w:p>
    <w:p w14:paraId="330776D1" w14:textId="4B5E3A53" w:rsidR="00232183" w:rsidRDefault="003F0CBA" w:rsidP="00E87C79">
      <w:r>
        <w:rPr>
          <w:b/>
        </w:rPr>
        <w:t>Figure SI</w:t>
      </w:r>
      <w:r w:rsidR="002D7273">
        <w:rPr>
          <w:b/>
        </w:rPr>
        <w:t>2</w:t>
      </w:r>
      <w:r w:rsidR="00232183">
        <w:rPr>
          <w:b/>
        </w:rPr>
        <w:t xml:space="preserve">: </w:t>
      </w:r>
      <w:r w:rsidR="00692625">
        <w:rPr>
          <w:b/>
        </w:rPr>
        <w:t xml:space="preserve"> </w:t>
      </w:r>
      <w:r w:rsidR="00D83D2E">
        <w:t>Final e</w:t>
      </w:r>
      <w:r w:rsidR="004B27CC">
        <w:t xml:space="preserve">nergy footprint inequality across quantiles for </w:t>
      </w:r>
      <w:r w:rsidR="004B27CC" w:rsidRPr="00692625">
        <w:t xml:space="preserve">the United Kingdom (a </w:t>
      </w:r>
      <w:r w:rsidR="004B27CC" w:rsidRPr="00D83D2E">
        <w:rPr>
          <w:i/>
        </w:rPr>
        <w:t>meritocratic</w:t>
      </w:r>
      <w:r w:rsidR="004B27CC" w:rsidRPr="00692625">
        <w:t xml:space="preserve"> country)</w:t>
      </w:r>
      <w:r w:rsidR="002C169B">
        <w:t xml:space="preserve"> in the </w:t>
      </w:r>
      <w:r w:rsidR="002C169B">
        <w:rPr>
          <w:i/>
        </w:rPr>
        <w:t>fa</w:t>
      </w:r>
      <w:r w:rsidR="004B27CC">
        <w:rPr>
          <w:i/>
        </w:rPr>
        <w:t>ir inequality</w:t>
      </w:r>
      <w:r w:rsidR="004B27CC">
        <w:t xml:space="preserve"> scenario (left),</w:t>
      </w:r>
      <w:r w:rsidR="00232183">
        <w:rPr>
          <w:b/>
        </w:rPr>
        <w:t xml:space="preserve"> </w:t>
      </w:r>
      <w:r w:rsidR="004B27CC">
        <w:t>and associated</w:t>
      </w:r>
      <w:r w:rsidR="00692625" w:rsidRPr="00692625">
        <w:t xml:space="preserve"> inequalities in </w:t>
      </w:r>
      <w:r w:rsidR="004B27CC">
        <w:t>residential floor-space</w:t>
      </w:r>
      <w:r w:rsidR="00692625" w:rsidRPr="00692625">
        <w:t xml:space="preserve"> and mobility</w:t>
      </w:r>
      <w:r w:rsidR="004B27CC">
        <w:t xml:space="preserve"> (right)</w:t>
      </w:r>
      <w:r w:rsidR="00692625" w:rsidRPr="00692625">
        <w:t xml:space="preserve">. Curves for floor space and </w:t>
      </w:r>
      <w:r w:rsidR="004B27CC">
        <w:t xml:space="preserve">private </w:t>
      </w:r>
      <w:r w:rsidR="00692625" w:rsidRPr="00692625">
        <w:t xml:space="preserve">road transport </w:t>
      </w:r>
      <w:r w:rsidR="004B27CC">
        <w:t>mirror</w:t>
      </w:r>
      <w:r w:rsidR="00692625" w:rsidRPr="00692625">
        <w:t xml:space="preserve"> the shape of the curve </w:t>
      </w:r>
      <w:r w:rsidR="004B27CC">
        <w:t>for total energy use on the left</w:t>
      </w:r>
      <w:r w:rsidR="00692625" w:rsidRPr="00692625">
        <w:t>, but total mobility is less unequally distributed due to the equalit</w:t>
      </w:r>
      <w:r w:rsidR="004B27CC">
        <w:t>y assumed for public transport.</w:t>
      </w:r>
    </w:p>
    <w:p w14:paraId="12078403" w14:textId="2853E523" w:rsidR="00814417" w:rsidRPr="00232183" w:rsidRDefault="00435574" w:rsidP="00814417">
      <w:pPr>
        <w:pStyle w:val="Heading2"/>
      </w:pPr>
      <w:bookmarkStart w:id="4" w:name="_Toc91071606"/>
      <w:r>
        <w:lastRenderedPageBreak/>
        <w:t>List</w:t>
      </w:r>
      <w:r w:rsidR="00814417">
        <w:t xml:space="preserve"> of countries </w:t>
      </w:r>
      <w:r>
        <w:t>studied by inequality category</w:t>
      </w:r>
      <w:bookmarkEnd w:id="4"/>
    </w:p>
    <w:p w14:paraId="7C88A975" w14:textId="4030F8BD" w:rsidR="00215128" w:rsidRDefault="003F0CBA" w:rsidP="007C22EE">
      <w:pPr>
        <w:spacing w:after="0"/>
      </w:pPr>
      <w:r>
        <w:rPr>
          <w:b/>
        </w:rPr>
        <w:t>Table SI</w:t>
      </w:r>
      <w:r w:rsidR="00215128" w:rsidRPr="00215128">
        <w:rPr>
          <w:b/>
        </w:rPr>
        <w:t>1:</w:t>
      </w:r>
      <w:r w:rsidR="00215128">
        <w:t xml:space="preserve"> </w:t>
      </w:r>
      <w:r w:rsidR="00D73E82">
        <w:t xml:space="preserve"> I</w:t>
      </w:r>
      <w:r w:rsidR="00BD411F">
        <w:t>nequality category of the 39 for which data exist</w:t>
      </w:r>
      <w:r w:rsidR="003E7572">
        <w:t>, with the categorisation based upon data from</w:t>
      </w:r>
      <w:r w:rsidR="003E7572" w:rsidRPr="003E7572">
        <w:t xml:space="preserve"> </w:t>
      </w:r>
      <w:r w:rsidR="003E7572">
        <w:t>Kiatpongsan and Norton</w:t>
      </w:r>
      <w:r w:rsidR="003E7572">
        <w:fldChar w:fldCharType="begin"/>
      </w:r>
      <w:r w:rsidR="003E7572">
        <w:instrText xml:space="preserve"> ADDIN EN.CITE &lt;EndNote&gt;&lt;Cite&gt;&lt;Author&gt;Kiatpongsan&lt;/Author&gt;&lt;Year&gt;2014&lt;/Year&gt;&lt;RecNum&gt;851&lt;/RecNum&gt;&lt;DisplayText&gt;[1]&lt;/DisplayText&gt;&lt;record&gt;&lt;rec-number&gt;851&lt;/rec-number&gt;&lt;foreign-keys&gt;&lt;key app="EN" db-id="trp9sxavnrpwwyeprv75wfdvdzzdv5x20asz" timestamp="1549360907"&gt;851&lt;/key&gt;&lt;/foreign-keys&gt;&lt;ref-type name="Journal Article"&gt;17&lt;/ref-type&gt;&lt;contributors&gt;&lt;authors&gt;&lt;author&gt;Kiatpongsan, Sorapop&lt;/author&gt;&lt;author&gt;Norton, Michael I.&lt;/author&gt;&lt;/authors&gt;&lt;/contributors&gt;&lt;titles&gt;&lt;title&gt;How Much (More) Should CEOs Make? A Universal Desire for More Equal Pay&lt;/title&gt;&lt;secondary-title&gt;Perspectives on Psychological Science&lt;/secondary-title&gt;&lt;/titles&gt;&lt;periodical&gt;&lt;full-title&gt;Perspectives on Psychological Science&lt;/full-title&gt;&lt;/periodical&gt;&lt;pages&gt;587-593&lt;/pages&gt;&lt;volume&gt;9&lt;/volume&gt;&lt;number&gt;6&lt;/number&gt;&lt;keywords&gt;&lt;keyword&gt;inequality, fairness, justice, income, pay, cross-cultural&lt;/keyword&gt;&lt;/keywords&gt;&lt;dates&gt;&lt;year&gt;2014&lt;/year&gt;&lt;/dates&gt;&lt;accession-num&gt;26186109&lt;/accession-num&gt;&lt;urls&gt;&lt;related-urls&gt;&lt;url&gt;&lt;style face="underline" font="default" size="100%"&gt;https://journals.sagepub.com/doi/abs/10.1177/1745691614549773&lt;/style&gt;&lt;/url&gt;&lt;/related-urls&gt;&lt;/urls&gt;&lt;electronic-resource-num&gt;10.1177/1745691614549773&lt;/electronic-resource-num&gt;&lt;/record&gt;&lt;/Cite&gt;&lt;/EndNote&gt;</w:instrText>
      </w:r>
      <w:r w:rsidR="003E7572">
        <w:fldChar w:fldCharType="separate"/>
      </w:r>
      <w:r w:rsidR="003E7572">
        <w:rPr>
          <w:noProof/>
        </w:rPr>
        <w:t>[1]</w:t>
      </w:r>
      <w:r w:rsidR="003E7572">
        <w:fldChar w:fldCharType="end"/>
      </w:r>
      <w:r w:rsidR="003E7572">
        <w:t>.</w:t>
      </w:r>
    </w:p>
    <w:tbl>
      <w:tblPr>
        <w:tblStyle w:val="TableGrid"/>
        <w:tblW w:w="9015" w:type="dxa"/>
        <w:tblInd w:w="5" w:type="dxa"/>
        <w:tblCellMar>
          <w:top w:w="28" w:type="dxa"/>
          <w:bottom w:w="28" w:type="dxa"/>
        </w:tblCellMar>
        <w:tblLook w:val="04A0" w:firstRow="1" w:lastRow="0" w:firstColumn="1" w:lastColumn="0" w:noHBand="0" w:noVBand="1"/>
      </w:tblPr>
      <w:tblGrid>
        <w:gridCol w:w="3005"/>
        <w:gridCol w:w="3005"/>
        <w:gridCol w:w="3005"/>
      </w:tblGrid>
      <w:tr w:rsidR="00D65C24" w14:paraId="36F4F49C" w14:textId="79977018" w:rsidTr="00CA229D">
        <w:tc>
          <w:tcPr>
            <w:tcW w:w="3005" w:type="dxa"/>
            <w:tcBorders>
              <w:top w:val="single" w:sz="2" w:space="0" w:color="auto"/>
            </w:tcBorders>
          </w:tcPr>
          <w:p w14:paraId="2E26C399" w14:textId="77777777" w:rsidR="00945CA2" w:rsidRPr="000F58B6" w:rsidRDefault="00945CA2" w:rsidP="00945CA2">
            <w:pPr>
              <w:pStyle w:val="NoSpacing"/>
              <w:rPr>
                <w:sz w:val="24"/>
              </w:rPr>
            </w:pPr>
            <w:r w:rsidRPr="000F58B6">
              <w:rPr>
                <w:b/>
                <w:sz w:val="24"/>
              </w:rPr>
              <w:t>Egalitarians</w:t>
            </w:r>
            <w:r w:rsidRPr="000F58B6">
              <w:rPr>
                <w:sz w:val="24"/>
              </w:rPr>
              <w:t xml:space="preserve"> </w:t>
            </w:r>
          </w:p>
          <w:p w14:paraId="1AD2D6FB" w14:textId="3CDABA38" w:rsidR="00D65C24" w:rsidRPr="00435574" w:rsidRDefault="00D65C24" w:rsidP="009E49A8">
            <w:pPr>
              <w:pStyle w:val="NoSpacing"/>
              <w:numPr>
                <w:ilvl w:val="0"/>
                <w:numId w:val="2"/>
              </w:numPr>
              <w:rPr>
                <w:sz w:val="21"/>
                <w:szCs w:val="21"/>
              </w:rPr>
            </w:pPr>
            <w:r w:rsidRPr="00435574">
              <w:rPr>
                <w:sz w:val="21"/>
                <w:szCs w:val="21"/>
              </w:rPr>
              <w:t>Philippines</w:t>
            </w:r>
          </w:p>
          <w:p w14:paraId="258E1029" w14:textId="0BEDD055" w:rsidR="00D65C24" w:rsidRPr="00435574" w:rsidRDefault="00D65C24" w:rsidP="009E49A8">
            <w:pPr>
              <w:pStyle w:val="NoSpacing"/>
              <w:numPr>
                <w:ilvl w:val="0"/>
                <w:numId w:val="2"/>
              </w:numPr>
              <w:rPr>
                <w:sz w:val="21"/>
                <w:szCs w:val="21"/>
              </w:rPr>
            </w:pPr>
            <w:r w:rsidRPr="00435574">
              <w:rPr>
                <w:sz w:val="21"/>
                <w:szCs w:val="21"/>
              </w:rPr>
              <w:t>Argentina</w:t>
            </w:r>
          </w:p>
          <w:p w14:paraId="560EB87B" w14:textId="24B70B34" w:rsidR="00D65C24" w:rsidRPr="00435574" w:rsidRDefault="00D65C24" w:rsidP="009E49A8">
            <w:pPr>
              <w:pStyle w:val="NoSpacing"/>
              <w:numPr>
                <w:ilvl w:val="0"/>
                <w:numId w:val="2"/>
              </w:numPr>
              <w:rPr>
                <w:sz w:val="21"/>
                <w:szCs w:val="21"/>
              </w:rPr>
            </w:pPr>
            <w:r w:rsidRPr="00435574">
              <w:rPr>
                <w:sz w:val="21"/>
                <w:szCs w:val="21"/>
              </w:rPr>
              <w:t>Venezuela</w:t>
            </w:r>
          </w:p>
          <w:p w14:paraId="0DC81A62" w14:textId="51EF70FD" w:rsidR="00D65C24" w:rsidRPr="00435574" w:rsidRDefault="00D65C24" w:rsidP="009E49A8">
            <w:pPr>
              <w:pStyle w:val="NoSpacing"/>
              <w:numPr>
                <w:ilvl w:val="0"/>
                <w:numId w:val="2"/>
              </w:numPr>
              <w:rPr>
                <w:sz w:val="21"/>
                <w:szCs w:val="21"/>
              </w:rPr>
            </w:pPr>
            <w:r w:rsidRPr="00435574">
              <w:rPr>
                <w:sz w:val="21"/>
                <w:szCs w:val="21"/>
              </w:rPr>
              <w:t>Belgium</w:t>
            </w:r>
          </w:p>
          <w:p w14:paraId="50A8D0F5" w14:textId="33EFF3BF" w:rsidR="00D65C24" w:rsidRPr="00435574" w:rsidRDefault="00D65C24" w:rsidP="009E49A8">
            <w:pPr>
              <w:pStyle w:val="NoSpacing"/>
              <w:numPr>
                <w:ilvl w:val="0"/>
                <w:numId w:val="2"/>
              </w:numPr>
              <w:rPr>
                <w:sz w:val="21"/>
                <w:szCs w:val="21"/>
              </w:rPr>
            </w:pPr>
            <w:r w:rsidRPr="00435574">
              <w:rPr>
                <w:sz w:val="21"/>
                <w:szCs w:val="21"/>
              </w:rPr>
              <w:t>Denmark</w:t>
            </w:r>
          </w:p>
          <w:p w14:paraId="7765190C" w14:textId="5942E143" w:rsidR="00D65C24" w:rsidRPr="00435574" w:rsidRDefault="00D65C24" w:rsidP="009E49A8">
            <w:pPr>
              <w:pStyle w:val="NoSpacing"/>
              <w:numPr>
                <w:ilvl w:val="0"/>
                <w:numId w:val="2"/>
              </w:numPr>
              <w:rPr>
                <w:sz w:val="21"/>
                <w:szCs w:val="21"/>
              </w:rPr>
            </w:pPr>
            <w:r w:rsidRPr="00435574">
              <w:rPr>
                <w:sz w:val="21"/>
                <w:szCs w:val="21"/>
              </w:rPr>
              <w:t>Latvia</w:t>
            </w:r>
          </w:p>
          <w:p w14:paraId="7C7EDD96" w14:textId="2ED05CE2" w:rsidR="00D65C24" w:rsidRPr="00435574" w:rsidRDefault="00D65C24" w:rsidP="009E49A8">
            <w:pPr>
              <w:pStyle w:val="NoSpacing"/>
              <w:numPr>
                <w:ilvl w:val="0"/>
                <w:numId w:val="2"/>
              </w:numPr>
              <w:rPr>
                <w:sz w:val="21"/>
                <w:szCs w:val="21"/>
              </w:rPr>
            </w:pPr>
            <w:r w:rsidRPr="00435574">
              <w:rPr>
                <w:sz w:val="21"/>
                <w:szCs w:val="21"/>
              </w:rPr>
              <w:t>Sweden</w:t>
            </w:r>
          </w:p>
          <w:p w14:paraId="2A07C9FD" w14:textId="1FCCD4C8" w:rsidR="00D65C24" w:rsidRPr="00435574" w:rsidRDefault="00D65C24" w:rsidP="009E49A8">
            <w:pPr>
              <w:pStyle w:val="NoSpacing"/>
              <w:numPr>
                <w:ilvl w:val="0"/>
                <w:numId w:val="2"/>
              </w:numPr>
              <w:rPr>
                <w:sz w:val="21"/>
                <w:szCs w:val="21"/>
              </w:rPr>
            </w:pPr>
            <w:r w:rsidRPr="00435574">
              <w:rPr>
                <w:sz w:val="21"/>
                <w:szCs w:val="21"/>
              </w:rPr>
              <w:t>Norway</w:t>
            </w:r>
          </w:p>
          <w:p w14:paraId="07DCCA8D" w14:textId="2F3C6E50" w:rsidR="00D65C24" w:rsidRPr="00435574" w:rsidRDefault="00D65C24" w:rsidP="009E49A8">
            <w:pPr>
              <w:pStyle w:val="NoSpacing"/>
              <w:numPr>
                <w:ilvl w:val="0"/>
                <w:numId w:val="2"/>
              </w:numPr>
              <w:rPr>
                <w:sz w:val="21"/>
                <w:szCs w:val="21"/>
              </w:rPr>
            </w:pPr>
            <w:r w:rsidRPr="00435574">
              <w:rPr>
                <w:sz w:val="21"/>
                <w:szCs w:val="21"/>
              </w:rPr>
              <w:t>Bulgaria</w:t>
            </w:r>
          </w:p>
          <w:p w14:paraId="3C533C52" w14:textId="66CA20CC" w:rsidR="00D65C24" w:rsidRPr="00435574" w:rsidRDefault="00D65C24" w:rsidP="009E49A8">
            <w:pPr>
              <w:pStyle w:val="NoSpacing"/>
              <w:numPr>
                <w:ilvl w:val="0"/>
                <w:numId w:val="2"/>
              </w:numPr>
              <w:rPr>
                <w:sz w:val="21"/>
                <w:szCs w:val="21"/>
              </w:rPr>
            </w:pPr>
            <w:r w:rsidRPr="00435574">
              <w:rPr>
                <w:sz w:val="21"/>
                <w:szCs w:val="21"/>
              </w:rPr>
              <w:t>Ukraine</w:t>
            </w:r>
          </w:p>
          <w:p w14:paraId="603DD900" w14:textId="3DA752DC" w:rsidR="00D65C24" w:rsidRPr="00435574" w:rsidRDefault="00D65C24" w:rsidP="009E49A8">
            <w:pPr>
              <w:pStyle w:val="NoSpacing"/>
              <w:numPr>
                <w:ilvl w:val="0"/>
                <w:numId w:val="2"/>
              </w:numPr>
              <w:rPr>
                <w:sz w:val="21"/>
                <w:szCs w:val="21"/>
              </w:rPr>
            </w:pPr>
            <w:r w:rsidRPr="00435574">
              <w:rPr>
                <w:sz w:val="21"/>
                <w:szCs w:val="21"/>
              </w:rPr>
              <w:t>Israel</w:t>
            </w:r>
          </w:p>
          <w:p w14:paraId="20F842C8" w14:textId="63F26E34" w:rsidR="00D65C24" w:rsidRDefault="00D65C24" w:rsidP="009E49A8">
            <w:pPr>
              <w:pStyle w:val="NoSpacing"/>
              <w:numPr>
                <w:ilvl w:val="0"/>
                <w:numId w:val="2"/>
              </w:numPr>
            </w:pPr>
            <w:r w:rsidRPr="00435574">
              <w:rPr>
                <w:sz w:val="21"/>
                <w:szCs w:val="21"/>
              </w:rPr>
              <w:t>Turkey</w:t>
            </w:r>
          </w:p>
        </w:tc>
        <w:tc>
          <w:tcPr>
            <w:tcW w:w="3005" w:type="dxa"/>
            <w:tcBorders>
              <w:top w:val="single" w:sz="2" w:space="0" w:color="auto"/>
            </w:tcBorders>
          </w:tcPr>
          <w:p w14:paraId="240F56AB" w14:textId="77777777" w:rsidR="00945CA2" w:rsidRPr="000F58B6" w:rsidRDefault="00945CA2" w:rsidP="00945CA2">
            <w:pPr>
              <w:pStyle w:val="NoSpacing"/>
              <w:rPr>
                <w:sz w:val="24"/>
              </w:rPr>
            </w:pPr>
            <w:r w:rsidRPr="000F58B6">
              <w:rPr>
                <w:b/>
                <w:sz w:val="24"/>
              </w:rPr>
              <w:t>Moderates</w:t>
            </w:r>
            <w:r w:rsidRPr="000F58B6">
              <w:rPr>
                <w:sz w:val="24"/>
              </w:rPr>
              <w:t xml:space="preserve"> </w:t>
            </w:r>
          </w:p>
          <w:p w14:paraId="0F485CEC" w14:textId="1CE54EDE" w:rsidR="00D65C24" w:rsidRPr="00435574" w:rsidRDefault="00D65C24" w:rsidP="009E49A8">
            <w:pPr>
              <w:pStyle w:val="NoSpacing"/>
              <w:numPr>
                <w:ilvl w:val="0"/>
                <w:numId w:val="3"/>
              </w:numPr>
              <w:rPr>
                <w:sz w:val="21"/>
                <w:szCs w:val="21"/>
              </w:rPr>
            </w:pPr>
            <w:r w:rsidRPr="00435574">
              <w:rPr>
                <w:sz w:val="21"/>
                <w:szCs w:val="21"/>
              </w:rPr>
              <w:t>New Zealand</w:t>
            </w:r>
          </w:p>
          <w:p w14:paraId="66218560" w14:textId="14698B81" w:rsidR="00D65C24" w:rsidRPr="00435574" w:rsidRDefault="00D65C24" w:rsidP="009E49A8">
            <w:pPr>
              <w:pStyle w:val="NoSpacing"/>
              <w:numPr>
                <w:ilvl w:val="0"/>
                <w:numId w:val="3"/>
              </w:numPr>
              <w:rPr>
                <w:sz w:val="21"/>
                <w:szCs w:val="21"/>
              </w:rPr>
            </w:pPr>
            <w:r w:rsidRPr="00435574">
              <w:rPr>
                <w:sz w:val="21"/>
                <w:szCs w:val="21"/>
              </w:rPr>
              <w:t>Austria</w:t>
            </w:r>
          </w:p>
          <w:p w14:paraId="2F06A432" w14:textId="608C0DB4" w:rsidR="00D65C24" w:rsidRPr="00435574" w:rsidRDefault="00D65C24" w:rsidP="009E49A8">
            <w:pPr>
              <w:pStyle w:val="NoSpacing"/>
              <w:numPr>
                <w:ilvl w:val="0"/>
                <w:numId w:val="3"/>
              </w:numPr>
              <w:rPr>
                <w:sz w:val="21"/>
                <w:szCs w:val="21"/>
              </w:rPr>
            </w:pPr>
            <w:r w:rsidRPr="00435574">
              <w:rPr>
                <w:sz w:val="21"/>
                <w:szCs w:val="21"/>
              </w:rPr>
              <w:t>Cyprus</w:t>
            </w:r>
          </w:p>
          <w:p w14:paraId="2CD5D05B" w14:textId="4BC15ED3" w:rsidR="00D65C24" w:rsidRPr="00435574" w:rsidRDefault="00D65C24" w:rsidP="009E49A8">
            <w:pPr>
              <w:pStyle w:val="NoSpacing"/>
              <w:numPr>
                <w:ilvl w:val="0"/>
                <w:numId w:val="3"/>
              </w:numPr>
              <w:rPr>
                <w:sz w:val="21"/>
                <w:szCs w:val="21"/>
              </w:rPr>
            </w:pPr>
            <w:r w:rsidRPr="00435574">
              <w:rPr>
                <w:sz w:val="21"/>
                <w:szCs w:val="21"/>
              </w:rPr>
              <w:t>Czech Republic</w:t>
            </w:r>
          </w:p>
          <w:p w14:paraId="21A703C2" w14:textId="746F8C83" w:rsidR="00D65C24" w:rsidRPr="00435574" w:rsidRDefault="00D65C24" w:rsidP="009E49A8">
            <w:pPr>
              <w:pStyle w:val="NoSpacing"/>
              <w:numPr>
                <w:ilvl w:val="0"/>
                <w:numId w:val="3"/>
              </w:numPr>
              <w:rPr>
                <w:sz w:val="21"/>
                <w:szCs w:val="21"/>
              </w:rPr>
            </w:pPr>
            <w:r w:rsidRPr="00435574">
              <w:rPr>
                <w:sz w:val="21"/>
                <w:szCs w:val="21"/>
              </w:rPr>
              <w:t>Estonia</w:t>
            </w:r>
          </w:p>
          <w:p w14:paraId="1F47F502" w14:textId="0387186B" w:rsidR="00D65C24" w:rsidRPr="00435574" w:rsidRDefault="00D65C24" w:rsidP="009E49A8">
            <w:pPr>
              <w:pStyle w:val="NoSpacing"/>
              <w:numPr>
                <w:ilvl w:val="0"/>
                <w:numId w:val="3"/>
              </w:numPr>
              <w:rPr>
                <w:sz w:val="21"/>
                <w:szCs w:val="21"/>
              </w:rPr>
            </w:pPr>
            <w:r w:rsidRPr="00435574">
              <w:rPr>
                <w:sz w:val="21"/>
                <w:szCs w:val="21"/>
              </w:rPr>
              <w:t>Finland</w:t>
            </w:r>
          </w:p>
          <w:p w14:paraId="268F04CD" w14:textId="2025A410" w:rsidR="00D65C24" w:rsidRPr="00435574" w:rsidRDefault="00D65C24" w:rsidP="009E49A8">
            <w:pPr>
              <w:pStyle w:val="NoSpacing"/>
              <w:numPr>
                <w:ilvl w:val="0"/>
                <w:numId w:val="3"/>
              </w:numPr>
              <w:rPr>
                <w:sz w:val="21"/>
                <w:szCs w:val="21"/>
              </w:rPr>
            </w:pPr>
            <w:r w:rsidRPr="00435574">
              <w:rPr>
                <w:sz w:val="21"/>
                <w:szCs w:val="21"/>
              </w:rPr>
              <w:t>Hungary</w:t>
            </w:r>
          </w:p>
          <w:p w14:paraId="57B7F35B" w14:textId="10BDC3A1" w:rsidR="00D65C24" w:rsidRPr="00435574" w:rsidRDefault="00D65C24" w:rsidP="009E49A8">
            <w:pPr>
              <w:pStyle w:val="NoSpacing"/>
              <w:numPr>
                <w:ilvl w:val="0"/>
                <w:numId w:val="3"/>
              </w:numPr>
              <w:rPr>
                <w:sz w:val="21"/>
                <w:szCs w:val="21"/>
              </w:rPr>
            </w:pPr>
            <w:r w:rsidRPr="00435574">
              <w:rPr>
                <w:sz w:val="21"/>
                <w:szCs w:val="21"/>
              </w:rPr>
              <w:t>Italy</w:t>
            </w:r>
          </w:p>
          <w:p w14:paraId="46FFBD74" w14:textId="282A6ACE" w:rsidR="00D65C24" w:rsidRPr="00435574" w:rsidRDefault="00D65C24" w:rsidP="009E49A8">
            <w:pPr>
              <w:pStyle w:val="NoSpacing"/>
              <w:numPr>
                <w:ilvl w:val="0"/>
                <w:numId w:val="3"/>
              </w:numPr>
              <w:rPr>
                <w:sz w:val="21"/>
                <w:szCs w:val="21"/>
              </w:rPr>
            </w:pPr>
            <w:r w:rsidRPr="00435574">
              <w:rPr>
                <w:sz w:val="21"/>
                <w:szCs w:val="21"/>
              </w:rPr>
              <w:t>Poland</w:t>
            </w:r>
          </w:p>
          <w:p w14:paraId="5C13EB59" w14:textId="61BD8C02" w:rsidR="00D65C24" w:rsidRPr="00435574" w:rsidRDefault="00D65C24" w:rsidP="009E49A8">
            <w:pPr>
              <w:pStyle w:val="NoSpacing"/>
              <w:numPr>
                <w:ilvl w:val="0"/>
                <w:numId w:val="3"/>
              </w:numPr>
              <w:rPr>
                <w:sz w:val="21"/>
                <w:szCs w:val="21"/>
              </w:rPr>
            </w:pPr>
            <w:r w:rsidRPr="00435574">
              <w:rPr>
                <w:sz w:val="21"/>
                <w:szCs w:val="21"/>
              </w:rPr>
              <w:t>Portugal</w:t>
            </w:r>
          </w:p>
          <w:p w14:paraId="033897DE" w14:textId="07122B74" w:rsidR="00D65C24" w:rsidRPr="00435574" w:rsidRDefault="00D65C24" w:rsidP="009E49A8">
            <w:pPr>
              <w:pStyle w:val="NoSpacing"/>
              <w:numPr>
                <w:ilvl w:val="0"/>
                <w:numId w:val="3"/>
              </w:numPr>
              <w:rPr>
                <w:sz w:val="21"/>
                <w:szCs w:val="21"/>
              </w:rPr>
            </w:pPr>
            <w:r w:rsidRPr="00435574">
              <w:rPr>
                <w:sz w:val="21"/>
                <w:szCs w:val="21"/>
              </w:rPr>
              <w:t>Slovakia</w:t>
            </w:r>
          </w:p>
          <w:p w14:paraId="2D26CDA8" w14:textId="7627BA9B" w:rsidR="00D65C24" w:rsidRPr="00435574" w:rsidRDefault="00D65C24" w:rsidP="009E49A8">
            <w:pPr>
              <w:pStyle w:val="NoSpacing"/>
              <w:numPr>
                <w:ilvl w:val="0"/>
                <w:numId w:val="3"/>
              </w:numPr>
              <w:rPr>
                <w:sz w:val="21"/>
                <w:szCs w:val="21"/>
              </w:rPr>
            </w:pPr>
            <w:r w:rsidRPr="00435574">
              <w:rPr>
                <w:sz w:val="21"/>
                <w:szCs w:val="21"/>
              </w:rPr>
              <w:t>Slovenia</w:t>
            </w:r>
          </w:p>
          <w:p w14:paraId="44AC6DBD" w14:textId="34C22DDC" w:rsidR="00D65C24" w:rsidRPr="00435574" w:rsidRDefault="00D65C24" w:rsidP="009E49A8">
            <w:pPr>
              <w:pStyle w:val="NoSpacing"/>
              <w:numPr>
                <w:ilvl w:val="0"/>
                <w:numId w:val="3"/>
              </w:numPr>
              <w:rPr>
                <w:sz w:val="21"/>
                <w:szCs w:val="21"/>
              </w:rPr>
            </w:pPr>
            <w:r w:rsidRPr="00435574">
              <w:rPr>
                <w:sz w:val="21"/>
                <w:szCs w:val="21"/>
              </w:rPr>
              <w:t>Spain</w:t>
            </w:r>
          </w:p>
          <w:p w14:paraId="25FAD5FC" w14:textId="1FC5EC12" w:rsidR="00D65C24" w:rsidRPr="00435574" w:rsidRDefault="00D65C24" w:rsidP="009E49A8">
            <w:pPr>
              <w:pStyle w:val="NoSpacing"/>
              <w:numPr>
                <w:ilvl w:val="0"/>
                <w:numId w:val="3"/>
              </w:numPr>
              <w:rPr>
                <w:sz w:val="21"/>
                <w:szCs w:val="21"/>
              </w:rPr>
            </w:pPr>
            <w:r w:rsidRPr="00435574">
              <w:rPr>
                <w:sz w:val="21"/>
                <w:szCs w:val="21"/>
              </w:rPr>
              <w:t>Switzerland</w:t>
            </w:r>
          </w:p>
          <w:p w14:paraId="22EFF4B9" w14:textId="5F90F7EF" w:rsidR="00D65C24" w:rsidRPr="00435574" w:rsidRDefault="00D65C24" w:rsidP="009E49A8">
            <w:pPr>
              <w:pStyle w:val="NoSpacing"/>
              <w:numPr>
                <w:ilvl w:val="0"/>
                <w:numId w:val="3"/>
              </w:numPr>
              <w:rPr>
                <w:sz w:val="21"/>
                <w:szCs w:val="21"/>
              </w:rPr>
            </w:pPr>
            <w:r w:rsidRPr="00435574">
              <w:rPr>
                <w:sz w:val="21"/>
                <w:szCs w:val="21"/>
              </w:rPr>
              <w:t>Croatia</w:t>
            </w:r>
          </w:p>
          <w:p w14:paraId="6F26B5DD" w14:textId="0D6AFA5D" w:rsidR="00D65C24" w:rsidRDefault="00D65C24" w:rsidP="009E49A8">
            <w:pPr>
              <w:pStyle w:val="NoSpacing"/>
              <w:numPr>
                <w:ilvl w:val="0"/>
                <w:numId w:val="3"/>
              </w:numPr>
            </w:pPr>
            <w:r w:rsidRPr="00435574">
              <w:rPr>
                <w:sz w:val="21"/>
                <w:szCs w:val="21"/>
              </w:rPr>
              <w:t>Russian Federation</w:t>
            </w:r>
          </w:p>
        </w:tc>
        <w:tc>
          <w:tcPr>
            <w:tcW w:w="3005" w:type="dxa"/>
            <w:tcBorders>
              <w:top w:val="single" w:sz="2" w:space="0" w:color="auto"/>
            </w:tcBorders>
          </w:tcPr>
          <w:p w14:paraId="16AD5B78" w14:textId="77777777" w:rsidR="00945CA2" w:rsidRPr="000F58B6" w:rsidRDefault="00945CA2" w:rsidP="00945CA2">
            <w:pPr>
              <w:pStyle w:val="NoSpacing"/>
              <w:rPr>
                <w:sz w:val="24"/>
              </w:rPr>
            </w:pPr>
            <w:r w:rsidRPr="000F58B6">
              <w:rPr>
                <w:b/>
                <w:sz w:val="24"/>
              </w:rPr>
              <w:t>Meritocrats</w:t>
            </w:r>
          </w:p>
          <w:p w14:paraId="791F3353" w14:textId="65E82A58" w:rsidR="00D65C24" w:rsidRPr="00435574" w:rsidRDefault="00D65C24" w:rsidP="009E49A8">
            <w:pPr>
              <w:pStyle w:val="NoSpacing"/>
              <w:numPr>
                <w:ilvl w:val="0"/>
                <w:numId w:val="4"/>
              </w:numPr>
              <w:rPr>
                <w:sz w:val="21"/>
                <w:szCs w:val="21"/>
              </w:rPr>
            </w:pPr>
            <w:r w:rsidRPr="00435574">
              <w:rPr>
                <w:sz w:val="21"/>
                <w:szCs w:val="21"/>
              </w:rPr>
              <w:t>Australia</w:t>
            </w:r>
          </w:p>
          <w:p w14:paraId="3D00E05A" w14:textId="678719F7" w:rsidR="00D65C24" w:rsidRPr="00435574" w:rsidRDefault="00D65C24" w:rsidP="009E49A8">
            <w:pPr>
              <w:pStyle w:val="NoSpacing"/>
              <w:numPr>
                <w:ilvl w:val="0"/>
                <w:numId w:val="4"/>
              </w:numPr>
              <w:rPr>
                <w:sz w:val="21"/>
                <w:szCs w:val="21"/>
              </w:rPr>
            </w:pPr>
            <w:r w:rsidRPr="00435574">
              <w:rPr>
                <w:sz w:val="21"/>
                <w:szCs w:val="21"/>
              </w:rPr>
              <w:t>China</w:t>
            </w:r>
          </w:p>
          <w:p w14:paraId="65ABB76E" w14:textId="116D3304" w:rsidR="00D65C24" w:rsidRPr="00435574" w:rsidRDefault="00D65C24" w:rsidP="009E49A8">
            <w:pPr>
              <w:pStyle w:val="NoSpacing"/>
              <w:numPr>
                <w:ilvl w:val="0"/>
                <w:numId w:val="4"/>
              </w:numPr>
              <w:rPr>
                <w:sz w:val="21"/>
                <w:szCs w:val="21"/>
              </w:rPr>
            </w:pPr>
            <w:r w:rsidRPr="00435574">
              <w:rPr>
                <w:sz w:val="21"/>
                <w:szCs w:val="21"/>
              </w:rPr>
              <w:t>Japan</w:t>
            </w:r>
          </w:p>
          <w:p w14:paraId="07A8F5E5" w14:textId="680070A5" w:rsidR="00D65C24" w:rsidRPr="00435574" w:rsidRDefault="00D65C24" w:rsidP="009E49A8">
            <w:pPr>
              <w:pStyle w:val="NoSpacing"/>
              <w:numPr>
                <w:ilvl w:val="0"/>
                <w:numId w:val="4"/>
              </w:numPr>
              <w:rPr>
                <w:sz w:val="21"/>
                <w:szCs w:val="21"/>
              </w:rPr>
            </w:pPr>
            <w:r w:rsidRPr="00435574">
              <w:rPr>
                <w:sz w:val="21"/>
                <w:szCs w:val="21"/>
              </w:rPr>
              <w:t>Republic of Korea</w:t>
            </w:r>
          </w:p>
          <w:p w14:paraId="77EDFA20" w14:textId="67F05826" w:rsidR="00D65C24" w:rsidRPr="00435574" w:rsidRDefault="00D65C24" w:rsidP="009E49A8">
            <w:pPr>
              <w:pStyle w:val="NoSpacing"/>
              <w:numPr>
                <w:ilvl w:val="0"/>
                <w:numId w:val="4"/>
              </w:numPr>
              <w:rPr>
                <w:sz w:val="21"/>
                <w:szCs w:val="21"/>
              </w:rPr>
            </w:pPr>
            <w:r w:rsidRPr="00435574">
              <w:rPr>
                <w:sz w:val="21"/>
                <w:szCs w:val="21"/>
              </w:rPr>
              <w:t>Taiwan</w:t>
            </w:r>
          </w:p>
          <w:p w14:paraId="7FA196B5" w14:textId="6B0DCA9D" w:rsidR="00D65C24" w:rsidRPr="00435574" w:rsidRDefault="00D65C24" w:rsidP="009E49A8">
            <w:pPr>
              <w:pStyle w:val="NoSpacing"/>
              <w:numPr>
                <w:ilvl w:val="0"/>
                <w:numId w:val="4"/>
              </w:numPr>
              <w:rPr>
                <w:sz w:val="21"/>
                <w:szCs w:val="21"/>
              </w:rPr>
            </w:pPr>
            <w:r w:rsidRPr="00435574">
              <w:rPr>
                <w:sz w:val="21"/>
                <w:szCs w:val="21"/>
              </w:rPr>
              <w:t>United States of America</w:t>
            </w:r>
          </w:p>
          <w:p w14:paraId="751F8BF8" w14:textId="52555DC5" w:rsidR="00D65C24" w:rsidRPr="00435574" w:rsidRDefault="00D65C24" w:rsidP="009E49A8">
            <w:pPr>
              <w:pStyle w:val="NoSpacing"/>
              <w:numPr>
                <w:ilvl w:val="0"/>
                <w:numId w:val="4"/>
              </w:numPr>
              <w:rPr>
                <w:sz w:val="21"/>
                <w:szCs w:val="21"/>
              </w:rPr>
            </w:pPr>
            <w:r w:rsidRPr="00435574">
              <w:rPr>
                <w:sz w:val="21"/>
                <w:szCs w:val="21"/>
              </w:rPr>
              <w:t>Chile</w:t>
            </w:r>
          </w:p>
          <w:p w14:paraId="5649B0CA" w14:textId="52B6FF07" w:rsidR="00D65C24" w:rsidRPr="00435574" w:rsidRDefault="00D65C24" w:rsidP="009E49A8">
            <w:pPr>
              <w:pStyle w:val="NoSpacing"/>
              <w:numPr>
                <w:ilvl w:val="0"/>
                <w:numId w:val="4"/>
              </w:numPr>
              <w:rPr>
                <w:sz w:val="21"/>
                <w:szCs w:val="21"/>
              </w:rPr>
            </w:pPr>
            <w:r w:rsidRPr="00435574">
              <w:rPr>
                <w:sz w:val="21"/>
                <w:szCs w:val="21"/>
              </w:rPr>
              <w:t>France</w:t>
            </w:r>
          </w:p>
          <w:p w14:paraId="64100D6C" w14:textId="4E3A0F62" w:rsidR="00D65C24" w:rsidRPr="00435574" w:rsidRDefault="00D65C24" w:rsidP="009E49A8">
            <w:pPr>
              <w:pStyle w:val="NoSpacing"/>
              <w:numPr>
                <w:ilvl w:val="0"/>
                <w:numId w:val="4"/>
              </w:numPr>
              <w:rPr>
                <w:sz w:val="21"/>
                <w:szCs w:val="21"/>
              </w:rPr>
            </w:pPr>
            <w:r w:rsidRPr="00435574">
              <w:rPr>
                <w:sz w:val="21"/>
                <w:szCs w:val="21"/>
              </w:rPr>
              <w:t>Germany</w:t>
            </w:r>
          </w:p>
          <w:p w14:paraId="56DFD27B" w14:textId="03F7EE68" w:rsidR="00D65C24" w:rsidRPr="00435574" w:rsidRDefault="00D65C24" w:rsidP="009E49A8">
            <w:pPr>
              <w:pStyle w:val="NoSpacing"/>
              <w:numPr>
                <w:ilvl w:val="0"/>
                <w:numId w:val="4"/>
              </w:numPr>
              <w:rPr>
                <w:sz w:val="21"/>
                <w:szCs w:val="21"/>
              </w:rPr>
            </w:pPr>
            <w:r w:rsidRPr="00435574">
              <w:rPr>
                <w:sz w:val="21"/>
                <w:szCs w:val="21"/>
              </w:rPr>
              <w:t>United Kingdom</w:t>
            </w:r>
          </w:p>
          <w:p w14:paraId="3B1BDCDE" w14:textId="63C95F2B" w:rsidR="00D65C24" w:rsidRDefault="00D65C24" w:rsidP="009E49A8">
            <w:pPr>
              <w:pStyle w:val="NoSpacing"/>
              <w:numPr>
                <w:ilvl w:val="0"/>
                <w:numId w:val="4"/>
              </w:numPr>
            </w:pPr>
            <w:r w:rsidRPr="00435574">
              <w:rPr>
                <w:sz w:val="21"/>
                <w:szCs w:val="21"/>
              </w:rPr>
              <w:t>South Africa</w:t>
            </w:r>
          </w:p>
        </w:tc>
      </w:tr>
    </w:tbl>
    <w:p w14:paraId="20814DBD" w14:textId="139ADAD8" w:rsidR="002A0BCD" w:rsidRPr="007C22EE" w:rsidRDefault="002A0BCD" w:rsidP="00BD411F">
      <w:pPr>
        <w:rPr>
          <w:b/>
          <w:sz w:val="4"/>
        </w:rPr>
      </w:pPr>
    </w:p>
    <w:p w14:paraId="04B262A6" w14:textId="48E7DFE6" w:rsidR="00BD411F" w:rsidRPr="003E7572" w:rsidRDefault="003F0CBA" w:rsidP="00435574">
      <w:pPr>
        <w:spacing w:before="360" w:after="0"/>
        <w:rPr>
          <w:i/>
        </w:rPr>
      </w:pPr>
      <w:r>
        <w:rPr>
          <w:b/>
        </w:rPr>
        <w:t>Table SI</w:t>
      </w:r>
      <w:r w:rsidR="00BD411F">
        <w:rPr>
          <w:b/>
        </w:rPr>
        <w:t>2</w:t>
      </w:r>
      <w:r w:rsidR="00BD411F" w:rsidRPr="00215128">
        <w:rPr>
          <w:b/>
        </w:rPr>
        <w:t>:</w:t>
      </w:r>
      <w:r w:rsidR="00BD411F">
        <w:t xml:space="preserve">  List of the </w:t>
      </w:r>
      <w:r w:rsidR="00814417">
        <w:t>remaining</w:t>
      </w:r>
      <w:r w:rsidR="00BD411F">
        <w:t xml:space="preserve"> 81 countries modelled</w:t>
      </w:r>
      <w:r w:rsidR="003E7572">
        <w:t xml:space="preserve">, which are assumed to be </w:t>
      </w:r>
      <w:r w:rsidR="003E7572">
        <w:rPr>
          <w:i/>
        </w:rPr>
        <w:t>moderates</w:t>
      </w:r>
    </w:p>
    <w:tbl>
      <w:tblPr>
        <w:tblStyle w:val="TableGrid"/>
        <w:tblW w:w="0" w:type="auto"/>
        <w:tblLook w:val="04A0" w:firstRow="1" w:lastRow="0" w:firstColumn="1" w:lastColumn="0" w:noHBand="0" w:noVBand="1"/>
      </w:tblPr>
      <w:tblGrid>
        <w:gridCol w:w="2547"/>
        <w:gridCol w:w="2126"/>
        <w:gridCol w:w="2552"/>
        <w:gridCol w:w="1791"/>
      </w:tblGrid>
      <w:tr w:rsidR="002A0BCD" w14:paraId="537BF629" w14:textId="2DDB060A" w:rsidTr="00605162">
        <w:tc>
          <w:tcPr>
            <w:tcW w:w="2547" w:type="dxa"/>
            <w:tcBorders>
              <w:right w:val="nil"/>
            </w:tcBorders>
          </w:tcPr>
          <w:p w14:paraId="701AB1C0" w14:textId="1A370C36" w:rsidR="002A0BCD" w:rsidRPr="000F58B6" w:rsidRDefault="002A0BCD" w:rsidP="00BD411F">
            <w:pPr>
              <w:pStyle w:val="NoSpacing"/>
              <w:rPr>
                <w:b/>
                <w:sz w:val="24"/>
              </w:rPr>
            </w:pPr>
            <w:r w:rsidRPr="000F58B6">
              <w:rPr>
                <w:b/>
                <w:sz w:val="24"/>
              </w:rPr>
              <w:t>Asia:</w:t>
            </w:r>
          </w:p>
          <w:p w14:paraId="559F564A" w14:textId="14432CCF" w:rsidR="002A0BCD" w:rsidRPr="00435574" w:rsidRDefault="002A0BCD" w:rsidP="00605162">
            <w:pPr>
              <w:pStyle w:val="NoSpacing"/>
              <w:numPr>
                <w:ilvl w:val="0"/>
                <w:numId w:val="7"/>
              </w:numPr>
              <w:rPr>
                <w:sz w:val="21"/>
                <w:szCs w:val="21"/>
              </w:rPr>
            </w:pPr>
            <w:r w:rsidRPr="00435574">
              <w:rPr>
                <w:sz w:val="21"/>
                <w:szCs w:val="21"/>
              </w:rPr>
              <w:t>Hong Kong</w:t>
            </w:r>
          </w:p>
          <w:p w14:paraId="5CBE3517" w14:textId="77777777" w:rsidR="002A0BCD" w:rsidRPr="00435574" w:rsidRDefault="002A0BCD" w:rsidP="00605162">
            <w:pPr>
              <w:pStyle w:val="NoSpacing"/>
              <w:numPr>
                <w:ilvl w:val="0"/>
                <w:numId w:val="7"/>
              </w:numPr>
              <w:rPr>
                <w:sz w:val="21"/>
                <w:szCs w:val="21"/>
              </w:rPr>
            </w:pPr>
            <w:r w:rsidRPr="00435574">
              <w:rPr>
                <w:sz w:val="21"/>
                <w:szCs w:val="21"/>
              </w:rPr>
              <w:t>Mongolia</w:t>
            </w:r>
          </w:p>
          <w:p w14:paraId="080795E4" w14:textId="77777777" w:rsidR="002A0BCD" w:rsidRPr="00435574" w:rsidRDefault="002A0BCD" w:rsidP="00605162">
            <w:pPr>
              <w:pStyle w:val="NoSpacing"/>
              <w:numPr>
                <w:ilvl w:val="0"/>
                <w:numId w:val="7"/>
              </w:numPr>
              <w:rPr>
                <w:sz w:val="21"/>
                <w:szCs w:val="21"/>
              </w:rPr>
            </w:pPr>
            <w:r w:rsidRPr="00435574">
              <w:rPr>
                <w:sz w:val="21"/>
                <w:szCs w:val="21"/>
              </w:rPr>
              <w:t>Brunei Darussalam</w:t>
            </w:r>
          </w:p>
          <w:p w14:paraId="260DF9D6" w14:textId="77777777" w:rsidR="002A0BCD" w:rsidRPr="00435574" w:rsidRDefault="002A0BCD" w:rsidP="00605162">
            <w:pPr>
              <w:pStyle w:val="NoSpacing"/>
              <w:numPr>
                <w:ilvl w:val="0"/>
                <w:numId w:val="7"/>
              </w:numPr>
              <w:rPr>
                <w:sz w:val="21"/>
                <w:szCs w:val="21"/>
              </w:rPr>
            </w:pPr>
            <w:r w:rsidRPr="00435574">
              <w:rPr>
                <w:sz w:val="21"/>
                <w:szCs w:val="21"/>
              </w:rPr>
              <w:t>Cambodia</w:t>
            </w:r>
          </w:p>
          <w:p w14:paraId="01364E74" w14:textId="77777777" w:rsidR="002A0BCD" w:rsidRPr="00435574" w:rsidRDefault="002A0BCD" w:rsidP="00605162">
            <w:pPr>
              <w:pStyle w:val="NoSpacing"/>
              <w:numPr>
                <w:ilvl w:val="0"/>
                <w:numId w:val="7"/>
              </w:numPr>
              <w:rPr>
                <w:sz w:val="21"/>
                <w:szCs w:val="21"/>
              </w:rPr>
            </w:pPr>
            <w:r w:rsidRPr="00435574">
              <w:rPr>
                <w:sz w:val="21"/>
                <w:szCs w:val="21"/>
              </w:rPr>
              <w:t>Indonesia</w:t>
            </w:r>
          </w:p>
          <w:p w14:paraId="1B6C651A" w14:textId="77777777" w:rsidR="002A0BCD" w:rsidRPr="00435574" w:rsidRDefault="002A0BCD" w:rsidP="00605162">
            <w:pPr>
              <w:pStyle w:val="NoSpacing"/>
              <w:numPr>
                <w:ilvl w:val="0"/>
                <w:numId w:val="7"/>
              </w:numPr>
              <w:rPr>
                <w:sz w:val="21"/>
                <w:szCs w:val="21"/>
              </w:rPr>
            </w:pPr>
            <w:r w:rsidRPr="00435574">
              <w:rPr>
                <w:sz w:val="21"/>
                <w:szCs w:val="21"/>
              </w:rPr>
              <w:t>Lao PDR</w:t>
            </w:r>
          </w:p>
          <w:p w14:paraId="286F4953" w14:textId="77777777" w:rsidR="002A0BCD" w:rsidRPr="00435574" w:rsidRDefault="002A0BCD" w:rsidP="00605162">
            <w:pPr>
              <w:pStyle w:val="NoSpacing"/>
              <w:numPr>
                <w:ilvl w:val="0"/>
                <w:numId w:val="7"/>
              </w:numPr>
              <w:rPr>
                <w:sz w:val="21"/>
                <w:szCs w:val="21"/>
              </w:rPr>
            </w:pPr>
            <w:r w:rsidRPr="00435574">
              <w:rPr>
                <w:sz w:val="21"/>
                <w:szCs w:val="21"/>
              </w:rPr>
              <w:t>Malaysia</w:t>
            </w:r>
          </w:p>
          <w:p w14:paraId="505CC0F1" w14:textId="77777777" w:rsidR="002A0BCD" w:rsidRPr="00435574" w:rsidRDefault="002A0BCD" w:rsidP="00605162">
            <w:pPr>
              <w:pStyle w:val="NoSpacing"/>
              <w:numPr>
                <w:ilvl w:val="0"/>
                <w:numId w:val="7"/>
              </w:numPr>
              <w:rPr>
                <w:sz w:val="21"/>
                <w:szCs w:val="21"/>
              </w:rPr>
            </w:pPr>
            <w:r w:rsidRPr="00435574">
              <w:rPr>
                <w:sz w:val="21"/>
                <w:szCs w:val="21"/>
              </w:rPr>
              <w:t>Singapore</w:t>
            </w:r>
          </w:p>
          <w:p w14:paraId="1162C032" w14:textId="77777777" w:rsidR="002A0BCD" w:rsidRPr="00435574" w:rsidRDefault="002A0BCD" w:rsidP="00605162">
            <w:pPr>
              <w:pStyle w:val="NoSpacing"/>
              <w:numPr>
                <w:ilvl w:val="0"/>
                <w:numId w:val="7"/>
              </w:numPr>
              <w:rPr>
                <w:sz w:val="21"/>
                <w:szCs w:val="21"/>
              </w:rPr>
            </w:pPr>
            <w:r w:rsidRPr="00435574">
              <w:rPr>
                <w:sz w:val="21"/>
                <w:szCs w:val="21"/>
              </w:rPr>
              <w:t>Thailand</w:t>
            </w:r>
          </w:p>
          <w:p w14:paraId="147409D8" w14:textId="77777777" w:rsidR="002A0BCD" w:rsidRPr="00435574" w:rsidRDefault="002A0BCD" w:rsidP="00605162">
            <w:pPr>
              <w:pStyle w:val="NoSpacing"/>
              <w:numPr>
                <w:ilvl w:val="0"/>
                <w:numId w:val="7"/>
              </w:numPr>
              <w:rPr>
                <w:sz w:val="21"/>
                <w:szCs w:val="21"/>
              </w:rPr>
            </w:pPr>
            <w:r w:rsidRPr="00435574">
              <w:rPr>
                <w:sz w:val="21"/>
                <w:szCs w:val="21"/>
              </w:rPr>
              <w:t>Viet Nam</w:t>
            </w:r>
          </w:p>
          <w:p w14:paraId="42AA687A" w14:textId="77777777" w:rsidR="002A0BCD" w:rsidRPr="00435574" w:rsidRDefault="002A0BCD" w:rsidP="00605162">
            <w:pPr>
              <w:pStyle w:val="NoSpacing"/>
              <w:numPr>
                <w:ilvl w:val="0"/>
                <w:numId w:val="7"/>
              </w:numPr>
              <w:rPr>
                <w:sz w:val="21"/>
                <w:szCs w:val="21"/>
              </w:rPr>
            </w:pPr>
            <w:r w:rsidRPr="00435574">
              <w:rPr>
                <w:sz w:val="21"/>
                <w:szCs w:val="21"/>
              </w:rPr>
              <w:t>Bangladesh</w:t>
            </w:r>
          </w:p>
          <w:p w14:paraId="1E76F553" w14:textId="77777777" w:rsidR="002A0BCD" w:rsidRPr="00435574" w:rsidRDefault="002A0BCD" w:rsidP="00605162">
            <w:pPr>
              <w:pStyle w:val="NoSpacing"/>
              <w:numPr>
                <w:ilvl w:val="0"/>
                <w:numId w:val="7"/>
              </w:numPr>
              <w:rPr>
                <w:sz w:val="21"/>
                <w:szCs w:val="21"/>
              </w:rPr>
            </w:pPr>
            <w:r w:rsidRPr="00435574">
              <w:rPr>
                <w:sz w:val="21"/>
                <w:szCs w:val="21"/>
              </w:rPr>
              <w:t>India</w:t>
            </w:r>
          </w:p>
          <w:p w14:paraId="54AE454C" w14:textId="77777777" w:rsidR="002A0BCD" w:rsidRPr="00435574" w:rsidRDefault="002A0BCD" w:rsidP="00605162">
            <w:pPr>
              <w:pStyle w:val="NoSpacing"/>
              <w:numPr>
                <w:ilvl w:val="0"/>
                <w:numId w:val="7"/>
              </w:numPr>
              <w:rPr>
                <w:sz w:val="21"/>
                <w:szCs w:val="21"/>
              </w:rPr>
            </w:pPr>
            <w:r w:rsidRPr="00435574">
              <w:rPr>
                <w:sz w:val="21"/>
                <w:szCs w:val="21"/>
              </w:rPr>
              <w:t>Nepal</w:t>
            </w:r>
          </w:p>
          <w:p w14:paraId="3CA54DC6" w14:textId="77777777" w:rsidR="002A0BCD" w:rsidRPr="00435574" w:rsidRDefault="002A0BCD" w:rsidP="00605162">
            <w:pPr>
              <w:pStyle w:val="NoSpacing"/>
              <w:numPr>
                <w:ilvl w:val="0"/>
                <w:numId w:val="7"/>
              </w:numPr>
              <w:rPr>
                <w:sz w:val="21"/>
                <w:szCs w:val="21"/>
              </w:rPr>
            </w:pPr>
            <w:r w:rsidRPr="00435574">
              <w:rPr>
                <w:sz w:val="21"/>
                <w:szCs w:val="21"/>
              </w:rPr>
              <w:t>Pakistan</w:t>
            </w:r>
          </w:p>
          <w:p w14:paraId="2CA5849D" w14:textId="4CDC3721" w:rsidR="002A0BCD" w:rsidRPr="00435574" w:rsidRDefault="002A0BCD" w:rsidP="00605162">
            <w:pPr>
              <w:pStyle w:val="NoSpacing"/>
              <w:numPr>
                <w:ilvl w:val="0"/>
                <w:numId w:val="7"/>
              </w:numPr>
              <w:rPr>
                <w:sz w:val="21"/>
                <w:szCs w:val="21"/>
              </w:rPr>
            </w:pPr>
            <w:r w:rsidRPr="00435574">
              <w:rPr>
                <w:sz w:val="21"/>
                <w:szCs w:val="21"/>
              </w:rPr>
              <w:t>Sri Lanka</w:t>
            </w:r>
          </w:p>
          <w:p w14:paraId="57592CAF" w14:textId="77777777" w:rsidR="002A0BCD" w:rsidRPr="00435574" w:rsidRDefault="002A0BCD" w:rsidP="00605162">
            <w:pPr>
              <w:pStyle w:val="NoSpacing"/>
              <w:numPr>
                <w:ilvl w:val="0"/>
                <w:numId w:val="7"/>
              </w:numPr>
              <w:rPr>
                <w:sz w:val="21"/>
                <w:szCs w:val="21"/>
              </w:rPr>
            </w:pPr>
            <w:r w:rsidRPr="00435574">
              <w:rPr>
                <w:sz w:val="21"/>
                <w:szCs w:val="21"/>
              </w:rPr>
              <w:t>Kazakhstan</w:t>
            </w:r>
          </w:p>
          <w:p w14:paraId="13141F27" w14:textId="77777777" w:rsidR="002A0BCD" w:rsidRPr="00435574" w:rsidRDefault="002A0BCD" w:rsidP="00605162">
            <w:pPr>
              <w:pStyle w:val="NoSpacing"/>
              <w:numPr>
                <w:ilvl w:val="0"/>
                <w:numId w:val="7"/>
              </w:numPr>
              <w:rPr>
                <w:sz w:val="21"/>
                <w:szCs w:val="21"/>
              </w:rPr>
            </w:pPr>
            <w:r w:rsidRPr="00435574">
              <w:rPr>
                <w:sz w:val="21"/>
                <w:szCs w:val="21"/>
              </w:rPr>
              <w:t>Kyrgyztan</w:t>
            </w:r>
          </w:p>
          <w:p w14:paraId="05FBCC06" w14:textId="77777777" w:rsidR="002A0BCD" w:rsidRPr="00435574" w:rsidRDefault="002A0BCD" w:rsidP="00605162">
            <w:pPr>
              <w:pStyle w:val="NoSpacing"/>
              <w:numPr>
                <w:ilvl w:val="0"/>
                <w:numId w:val="7"/>
              </w:numPr>
              <w:rPr>
                <w:sz w:val="21"/>
                <w:szCs w:val="21"/>
              </w:rPr>
            </w:pPr>
            <w:r w:rsidRPr="00435574">
              <w:rPr>
                <w:sz w:val="21"/>
                <w:szCs w:val="21"/>
              </w:rPr>
              <w:t>Armenia</w:t>
            </w:r>
          </w:p>
          <w:p w14:paraId="27CEC624" w14:textId="77777777" w:rsidR="002A0BCD" w:rsidRPr="00435574" w:rsidRDefault="002A0BCD" w:rsidP="00605162">
            <w:pPr>
              <w:pStyle w:val="NoSpacing"/>
              <w:numPr>
                <w:ilvl w:val="0"/>
                <w:numId w:val="7"/>
              </w:numPr>
              <w:rPr>
                <w:sz w:val="21"/>
                <w:szCs w:val="21"/>
              </w:rPr>
            </w:pPr>
            <w:r w:rsidRPr="00435574">
              <w:rPr>
                <w:sz w:val="21"/>
                <w:szCs w:val="21"/>
              </w:rPr>
              <w:t>Azerbaijan</w:t>
            </w:r>
          </w:p>
          <w:p w14:paraId="42942340" w14:textId="77777777" w:rsidR="002A0BCD" w:rsidRPr="00435574" w:rsidRDefault="002A0BCD" w:rsidP="00605162">
            <w:pPr>
              <w:pStyle w:val="NoSpacing"/>
              <w:numPr>
                <w:ilvl w:val="0"/>
                <w:numId w:val="7"/>
              </w:numPr>
              <w:rPr>
                <w:sz w:val="21"/>
                <w:szCs w:val="21"/>
              </w:rPr>
            </w:pPr>
            <w:r w:rsidRPr="00435574">
              <w:rPr>
                <w:sz w:val="21"/>
                <w:szCs w:val="21"/>
              </w:rPr>
              <w:t>Georgia</w:t>
            </w:r>
          </w:p>
          <w:p w14:paraId="481935BA" w14:textId="77777777" w:rsidR="002A0BCD" w:rsidRPr="00435574" w:rsidRDefault="002A0BCD" w:rsidP="00605162">
            <w:pPr>
              <w:pStyle w:val="NoSpacing"/>
              <w:numPr>
                <w:ilvl w:val="0"/>
                <w:numId w:val="7"/>
              </w:numPr>
              <w:rPr>
                <w:sz w:val="21"/>
                <w:szCs w:val="21"/>
              </w:rPr>
            </w:pPr>
            <w:r w:rsidRPr="00435574">
              <w:rPr>
                <w:sz w:val="21"/>
                <w:szCs w:val="21"/>
              </w:rPr>
              <w:t>Bahrain</w:t>
            </w:r>
          </w:p>
          <w:p w14:paraId="0A2EF47E" w14:textId="77777777" w:rsidR="002A0BCD" w:rsidRPr="00435574" w:rsidRDefault="002A0BCD" w:rsidP="00605162">
            <w:pPr>
              <w:pStyle w:val="NoSpacing"/>
              <w:numPr>
                <w:ilvl w:val="0"/>
                <w:numId w:val="7"/>
              </w:numPr>
              <w:rPr>
                <w:sz w:val="21"/>
                <w:szCs w:val="21"/>
              </w:rPr>
            </w:pPr>
            <w:r w:rsidRPr="00435574">
              <w:rPr>
                <w:sz w:val="21"/>
                <w:szCs w:val="21"/>
              </w:rPr>
              <w:t>Iran</w:t>
            </w:r>
          </w:p>
          <w:p w14:paraId="46664A08" w14:textId="77777777" w:rsidR="002A0BCD" w:rsidRPr="00435574" w:rsidRDefault="002A0BCD" w:rsidP="00605162">
            <w:pPr>
              <w:pStyle w:val="NoSpacing"/>
              <w:numPr>
                <w:ilvl w:val="0"/>
                <w:numId w:val="7"/>
              </w:numPr>
              <w:rPr>
                <w:sz w:val="21"/>
                <w:szCs w:val="21"/>
              </w:rPr>
            </w:pPr>
            <w:r w:rsidRPr="00435574">
              <w:rPr>
                <w:sz w:val="21"/>
                <w:szCs w:val="21"/>
              </w:rPr>
              <w:t>Jordan</w:t>
            </w:r>
          </w:p>
          <w:p w14:paraId="5D3300F4" w14:textId="77777777" w:rsidR="002A0BCD" w:rsidRPr="00435574" w:rsidRDefault="002A0BCD" w:rsidP="00605162">
            <w:pPr>
              <w:pStyle w:val="NoSpacing"/>
              <w:numPr>
                <w:ilvl w:val="0"/>
                <w:numId w:val="7"/>
              </w:numPr>
              <w:rPr>
                <w:sz w:val="21"/>
                <w:szCs w:val="21"/>
              </w:rPr>
            </w:pPr>
            <w:r w:rsidRPr="00435574">
              <w:rPr>
                <w:sz w:val="21"/>
                <w:szCs w:val="21"/>
              </w:rPr>
              <w:t>Kuwait</w:t>
            </w:r>
          </w:p>
          <w:p w14:paraId="08B867A3" w14:textId="77777777" w:rsidR="002A0BCD" w:rsidRPr="00435574" w:rsidRDefault="002A0BCD" w:rsidP="00605162">
            <w:pPr>
              <w:pStyle w:val="NoSpacing"/>
              <w:numPr>
                <w:ilvl w:val="0"/>
                <w:numId w:val="7"/>
              </w:numPr>
              <w:rPr>
                <w:sz w:val="21"/>
                <w:szCs w:val="21"/>
              </w:rPr>
            </w:pPr>
            <w:r w:rsidRPr="00435574">
              <w:rPr>
                <w:sz w:val="21"/>
                <w:szCs w:val="21"/>
              </w:rPr>
              <w:t>Oman</w:t>
            </w:r>
          </w:p>
          <w:p w14:paraId="2BF59DD1" w14:textId="77777777" w:rsidR="002A0BCD" w:rsidRPr="00435574" w:rsidRDefault="002A0BCD" w:rsidP="00605162">
            <w:pPr>
              <w:pStyle w:val="NoSpacing"/>
              <w:numPr>
                <w:ilvl w:val="0"/>
                <w:numId w:val="7"/>
              </w:numPr>
              <w:rPr>
                <w:sz w:val="21"/>
                <w:szCs w:val="21"/>
              </w:rPr>
            </w:pPr>
            <w:r w:rsidRPr="00435574">
              <w:rPr>
                <w:sz w:val="21"/>
                <w:szCs w:val="21"/>
              </w:rPr>
              <w:t>Qatar</w:t>
            </w:r>
          </w:p>
          <w:p w14:paraId="2E3C86F9" w14:textId="49C8807A" w:rsidR="002A0BCD" w:rsidRPr="00435574" w:rsidRDefault="002A0BCD" w:rsidP="00605162">
            <w:pPr>
              <w:pStyle w:val="NoSpacing"/>
              <w:numPr>
                <w:ilvl w:val="0"/>
                <w:numId w:val="7"/>
              </w:numPr>
              <w:rPr>
                <w:sz w:val="21"/>
                <w:szCs w:val="21"/>
              </w:rPr>
            </w:pPr>
            <w:r w:rsidRPr="00435574">
              <w:rPr>
                <w:sz w:val="21"/>
                <w:szCs w:val="21"/>
              </w:rPr>
              <w:t>Saudi Arabia</w:t>
            </w:r>
          </w:p>
          <w:p w14:paraId="1022D9D6" w14:textId="2BF9745E" w:rsidR="002A0BCD" w:rsidRDefault="002A0BCD" w:rsidP="00605162">
            <w:pPr>
              <w:pStyle w:val="NoSpacing"/>
              <w:numPr>
                <w:ilvl w:val="0"/>
                <w:numId w:val="7"/>
              </w:numPr>
            </w:pPr>
            <w:r w:rsidRPr="00435574">
              <w:rPr>
                <w:sz w:val="21"/>
                <w:szCs w:val="21"/>
              </w:rPr>
              <w:t>United Arab Emirates</w:t>
            </w:r>
          </w:p>
        </w:tc>
        <w:tc>
          <w:tcPr>
            <w:tcW w:w="2126" w:type="dxa"/>
            <w:tcBorders>
              <w:left w:val="nil"/>
              <w:right w:val="nil"/>
            </w:tcBorders>
          </w:tcPr>
          <w:p w14:paraId="10768137" w14:textId="77777777" w:rsidR="002A0BCD" w:rsidRPr="000F58B6" w:rsidRDefault="002A0BCD" w:rsidP="002A0BCD">
            <w:pPr>
              <w:pStyle w:val="NoSpacing"/>
              <w:rPr>
                <w:b/>
                <w:sz w:val="24"/>
              </w:rPr>
            </w:pPr>
            <w:r w:rsidRPr="000F58B6">
              <w:rPr>
                <w:b/>
                <w:sz w:val="24"/>
              </w:rPr>
              <w:t>Africa:</w:t>
            </w:r>
          </w:p>
          <w:p w14:paraId="2D47E4DC" w14:textId="77777777" w:rsidR="002A0BCD" w:rsidRPr="00435574" w:rsidRDefault="002A0BCD" w:rsidP="00605162">
            <w:pPr>
              <w:pStyle w:val="NoSpacing"/>
              <w:numPr>
                <w:ilvl w:val="0"/>
                <w:numId w:val="8"/>
              </w:numPr>
              <w:rPr>
                <w:sz w:val="21"/>
                <w:szCs w:val="21"/>
              </w:rPr>
            </w:pPr>
            <w:r w:rsidRPr="00435574">
              <w:rPr>
                <w:sz w:val="21"/>
                <w:szCs w:val="21"/>
              </w:rPr>
              <w:t>Egypt</w:t>
            </w:r>
          </w:p>
          <w:p w14:paraId="3A23A982" w14:textId="77777777" w:rsidR="002A0BCD" w:rsidRPr="00435574" w:rsidRDefault="002A0BCD" w:rsidP="00605162">
            <w:pPr>
              <w:pStyle w:val="NoSpacing"/>
              <w:numPr>
                <w:ilvl w:val="0"/>
                <w:numId w:val="8"/>
              </w:numPr>
              <w:rPr>
                <w:sz w:val="21"/>
                <w:szCs w:val="21"/>
              </w:rPr>
            </w:pPr>
            <w:r w:rsidRPr="00435574">
              <w:rPr>
                <w:sz w:val="21"/>
                <w:szCs w:val="21"/>
              </w:rPr>
              <w:t>Morocco</w:t>
            </w:r>
          </w:p>
          <w:p w14:paraId="052AB50D" w14:textId="77777777" w:rsidR="002A0BCD" w:rsidRPr="00435574" w:rsidRDefault="002A0BCD" w:rsidP="00605162">
            <w:pPr>
              <w:pStyle w:val="NoSpacing"/>
              <w:numPr>
                <w:ilvl w:val="0"/>
                <w:numId w:val="8"/>
              </w:numPr>
              <w:rPr>
                <w:sz w:val="21"/>
                <w:szCs w:val="21"/>
              </w:rPr>
            </w:pPr>
            <w:r w:rsidRPr="00435574">
              <w:rPr>
                <w:sz w:val="21"/>
                <w:szCs w:val="21"/>
              </w:rPr>
              <w:t>Tunisia</w:t>
            </w:r>
          </w:p>
          <w:p w14:paraId="52705883" w14:textId="77777777" w:rsidR="002A0BCD" w:rsidRPr="00435574" w:rsidRDefault="002A0BCD" w:rsidP="00605162">
            <w:pPr>
              <w:pStyle w:val="NoSpacing"/>
              <w:numPr>
                <w:ilvl w:val="0"/>
                <w:numId w:val="8"/>
              </w:numPr>
              <w:rPr>
                <w:sz w:val="21"/>
                <w:szCs w:val="21"/>
              </w:rPr>
            </w:pPr>
            <w:r w:rsidRPr="00435574">
              <w:rPr>
                <w:sz w:val="21"/>
                <w:szCs w:val="21"/>
              </w:rPr>
              <w:t>Benin</w:t>
            </w:r>
          </w:p>
          <w:p w14:paraId="3B007A8C" w14:textId="77777777" w:rsidR="002A0BCD" w:rsidRPr="00435574" w:rsidRDefault="002A0BCD" w:rsidP="00605162">
            <w:pPr>
              <w:pStyle w:val="NoSpacing"/>
              <w:numPr>
                <w:ilvl w:val="0"/>
                <w:numId w:val="8"/>
              </w:numPr>
              <w:rPr>
                <w:sz w:val="21"/>
                <w:szCs w:val="21"/>
              </w:rPr>
            </w:pPr>
            <w:r w:rsidRPr="00435574">
              <w:rPr>
                <w:sz w:val="21"/>
                <w:szCs w:val="21"/>
              </w:rPr>
              <w:t>Burkina Faso</w:t>
            </w:r>
          </w:p>
          <w:p w14:paraId="1C6A2859" w14:textId="77777777" w:rsidR="002A0BCD" w:rsidRPr="00435574" w:rsidRDefault="002A0BCD" w:rsidP="00605162">
            <w:pPr>
              <w:pStyle w:val="NoSpacing"/>
              <w:numPr>
                <w:ilvl w:val="0"/>
                <w:numId w:val="8"/>
              </w:numPr>
              <w:rPr>
                <w:sz w:val="21"/>
                <w:szCs w:val="21"/>
              </w:rPr>
            </w:pPr>
            <w:r w:rsidRPr="00435574">
              <w:rPr>
                <w:sz w:val="21"/>
                <w:szCs w:val="21"/>
              </w:rPr>
              <w:t>Cameroon</w:t>
            </w:r>
          </w:p>
          <w:p w14:paraId="2F9AAFDB" w14:textId="77777777" w:rsidR="002A0BCD" w:rsidRPr="00435574" w:rsidRDefault="002A0BCD" w:rsidP="00605162">
            <w:pPr>
              <w:pStyle w:val="NoSpacing"/>
              <w:numPr>
                <w:ilvl w:val="0"/>
                <w:numId w:val="8"/>
              </w:numPr>
              <w:rPr>
                <w:sz w:val="21"/>
                <w:szCs w:val="21"/>
              </w:rPr>
            </w:pPr>
            <w:r w:rsidRPr="00435574">
              <w:rPr>
                <w:sz w:val="21"/>
                <w:szCs w:val="21"/>
              </w:rPr>
              <w:t>Côte d’Ivoire</w:t>
            </w:r>
          </w:p>
          <w:p w14:paraId="5C593003" w14:textId="77777777" w:rsidR="002A0BCD" w:rsidRPr="00435574" w:rsidRDefault="002A0BCD" w:rsidP="00605162">
            <w:pPr>
              <w:pStyle w:val="NoSpacing"/>
              <w:numPr>
                <w:ilvl w:val="0"/>
                <w:numId w:val="8"/>
              </w:numPr>
              <w:rPr>
                <w:sz w:val="21"/>
                <w:szCs w:val="21"/>
              </w:rPr>
            </w:pPr>
            <w:r w:rsidRPr="00435574">
              <w:rPr>
                <w:sz w:val="21"/>
                <w:szCs w:val="21"/>
              </w:rPr>
              <w:t>Ghana</w:t>
            </w:r>
          </w:p>
          <w:p w14:paraId="6493B98E" w14:textId="77777777" w:rsidR="002A0BCD" w:rsidRPr="00435574" w:rsidRDefault="002A0BCD" w:rsidP="00605162">
            <w:pPr>
              <w:pStyle w:val="NoSpacing"/>
              <w:numPr>
                <w:ilvl w:val="0"/>
                <w:numId w:val="8"/>
              </w:numPr>
              <w:rPr>
                <w:sz w:val="21"/>
                <w:szCs w:val="21"/>
              </w:rPr>
            </w:pPr>
            <w:r w:rsidRPr="00435574">
              <w:rPr>
                <w:sz w:val="21"/>
                <w:szCs w:val="21"/>
              </w:rPr>
              <w:t>Guinea</w:t>
            </w:r>
          </w:p>
          <w:p w14:paraId="12426DF5" w14:textId="77777777" w:rsidR="002A0BCD" w:rsidRPr="00435574" w:rsidRDefault="002A0BCD" w:rsidP="00605162">
            <w:pPr>
              <w:pStyle w:val="NoSpacing"/>
              <w:numPr>
                <w:ilvl w:val="0"/>
                <w:numId w:val="8"/>
              </w:numPr>
              <w:rPr>
                <w:sz w:val="21"/>
                <w:szCs w:val="21"/>
              </w:rPr>
            </w:pPr>
            <w:r w:rsidRPr="00435574">
              <w:rPr>
                <w:sz w:val="21"/>
                <w:szCs w:val="21"/>
              </w:rPr>
              <w:t>Nigeria</w:t>
            </w:r>
          </w:p>
          <w:p w14:paraId="1980FCAA" w14:textId="77777777" w:rsidR="002A0BCD" w:rsidRPr="00435574" w:rsidRDefault="002A0BCD" w:rsidP="00605162">
            <w:pPr>
              <w:pStyle w:val="NoSpacing"/>
              <w:numPr>
                <w:ilvl w:val="0"/>
                <w:numId w:val="8"/>
              </w:numPr>
              <w:rPr>
                <w:sz w:val="21"/>
                <w:szCs w:val="21"/>
              </w:rPr>
            </w:pPr>
            <w:r w:rsidRPr="00435574">
              <w:rPr>
                <w:sz w:val="21"/>
                <w:szCs w:val="21"/>
              </w:rPr>
              <w:t>Senegal</w:t>
            </w:r>
          </w:p>
          <w:p w14:paraId="0469C321" w14:textId="77777777" w:rsidR="002A0BCD" w:rsidRPr="00435574" w:rsidRDefault="002A0BCD" w:rsidP="00605162">
            <w:pPr>
              <w:pStyle w:val="NoSpacing"/>
              <w:numPr>
                <w:ilvl w:val="0"/>
                <w:numId w:val="8"/>
              </w:numPr>
              <w:rPr>
                <w:sz w:val="21"/>
                <w:szCs w:val="21"/>
              </w:rPr>
            </w:pPr>
            <w:r w:rsidRPr="00435574">
              <w:rPr>
                <w:sz w:val="21"/>
                <w:szCs w:val="21"/>
              </w:rPr>
              <w:t>Togo</w:t>
            </w:r>
          </w:p>
          <w:p w14:paraId="686F7365" w14:textId="77777777" w:rsidR="002A0BCD" w:rsidRPr="00435574" w:rsidRDefault="002A0BCD" w:rsidP="00605162">
            <w:pPr>
              <w:pStyle w:val="NoSpacing"/>
              <w:numPr>
                <w:ilvl w:val="0"/>
                <w:numId w:val="8"/>
              </w:numPr>
              <w:rPr>
                <w:sz w:val="21"/>
                <w:szCs w:val="21"/>
              </w:rPr>
            </w:pPr>
            <w:r w:rsidRPr="00435574">
              <w:rPr>
                <w:sz w:val="21"/>
                <w:szCs w:val="21"/>
              </w:rPr>
              <w:t>Ethiopia</w:t>
            </w:r>
          </w:p>
          <w:p w14:paraId="16AAE28E" w14:textId="77777777" w:rsidR="002A0BCD" w:rsidRPr="00435574" w:rsidRDefault="002A0BCD" w:rsidP="00605162">
            <w:pPr>
              <w:pStyle w:val="NoSpacing"/>
              <w:numPr>
                <w:ilvl w:val="0"/>
                <w:numId w:val="8"/>
              </w:numPr>
              <w:rPr>
                <w:sz w:val="21"/>
                <w:szCs w:val="21"/>
              </w:rPr>
            </w:pPr>
            <w:r w:rsidRPr="00435574">
              <w:rPr>
                <w:sz w:val="21"/>
                <w:szCs w:val="21"/>
              </w:rPr>
              <w:t>Kenya</w:t>
            </w:r>
          </w:p>
          <w:p w14:paraId="34C2148A" w14:textId="77777777" w:rsidR="002A0BCD" w:rsidRPr="00435574" w:rsidRDefault="002A0BCD" w:rsidP="00605162">
            <w:pPr>
              <w:pStyle w:val="NoSpacing"/>
              <w:numPr>
                <w:ilvl w:val="0"/>
                <w:numId w:val="8"/>
              </w:numPr>
              <w:rPr>
                <w:sz w:val="21"/>
                <w:szCs w:val="21"/>
              </w:rPr>
            </w:pPr>
            <w:r w:rsidRPr="00435574">
              <w:rPr>
                <w:sz w:val="21"/>
                <w:szCs w:val="21"/>
              </w:rPr>
              <w:t>Madagascar</w:t>
            </w:r>
          </w:p>
          <w:p w14:paraId="149AB965" w14:textId="77777777" w:rsidR="002A0BCD" w:rsidRPr="00435574" w:rsidRDefault="002A0BCD" w:rsidP="00605162">
            <w:pPr>
              <w:pStyle w:val="NoSpacing"/>
              <w:numPr>
                <w:ilvl w:val="0"/>
                <w:numId w:val="8"/>
              </w:numPr>
              <w:rPr>
                <w:sz w:val="21"/>
                <w:szCs w:val="21"/>
              </w:rPr>
            </w:pPr>
            <w:r w:rsidRPr="00435574">
              <w:rPr>
                <w:sz w:val="21"/>
                <w:szCs w:val="21"/>
              </w:rPr>
              <w:t>Malawi</w:t>
            </w:r>
          </w:p>
          <w:p w14:paraId="0EC70134" w14:textId="77777777" w:rsidR="002A0BCD" w:rsidRPr="00435574" w:rsidRDefault="002A0BCD" w:rsidP="00605162">
            <w:pPr>
              <w:pStyle w:val="NoSpacing"/>
              <w:numPr>
                <w:ilvl w:val="0"/>
                <w:numId w:val="8"/>
              </w:numPr>
              <w:rPr>
                <w:sz w:val="21"/>
                <w:szCs w:val="21"/>
              </w:rPr>
            </w:pPr>
            <w:r w:rsidRPr="00435574">
              <w:rPr>
                <w:sz w:val="21"/>
                <w:szCs w:val="21"/>
              </w:rPr>
              <w:t>Mauritius</w:t>
            </w:r>
          </w:p>
          <w:p w14:paraId="0385F37F" w14:textId="77777777" w:rsidR="002A0BCD" w:rsidRPr="00435574" w:rsidRDefault="002A0BCD" w:rsidP="00605162">
            <w:pPr>
              <w:pStyle w:val="NoSpacing"/>
              <w:numPr>
                <w:ilvl w:val="0"/>
                <w:numId w:val="8"/>
              </w:numPr>
              <w:rPr>
                <w:sz w:val="21"/>
                <w:szCs w:val="21"/>
              </w:rPr>
            </w:pPr>
            <w:r w:rsidRPr="00435574">
              <w:rPr>
                <w:sz w:val="21"/>
                <w:szCs w:val="21"/>
              </w:rPr>
              <w:t>Mozambique</w:t>
            </w:r>
          </w:p>
          <w:p w14:paraId="44DB0D2D" w14:textId="77777777" w:rsidR="002A0BCD" w:rsidRPr="00435574" w:rsidRDefault="002A0BCD" w:rsidP="00605162">
            <w:pPr>
              <w:pStyle w:val="NoSpacing"/>
              <w:numPr>
                <w:ilvl w:val="0"/>
                <w:numId w:val="8"/>
              </w:numPr>
              <w:rPr>
                <w:sz w:val="21"/>
                <w:szCs w:val="21"/>
              </w:rPr>
            </w:pPr>
            <w:r w:rsidRPr="00435574">
              <w:rPr>
                <w:sz w:val="21"/>
                <w:szCs w:val="21"/>
              </w:rPr>
              <w:t>Rwanda</w:t>
            </w:r>
          </w:p>
          <w:p w14:paraId="22956079" w14:textId="77777777" w:rsidR="002A0BCD" w:rsidRPr="00435574" w:rsidRDefault="002A0BCD" w:rsidP="00605162">
            <w:pPr>
              <w:pStyle w:val="NoSpacing"/>
              <w:numPr>
                <w:ilvl w:val="0"/>
                <w:numId w:val="8"/>
              </w:numPr>
              <w:rPr>
                <w:sz w:val="21"/>
                <w:szCs w:val="21"/>
              </w:rPr>
            </w:pPr>
            <w:r w:rsidRPr="00435574">
              <w:rPr>
                <w:sz w:val="21"/>
                <w:szCs w:val="21"/>
              </w:rPr>
              <w:t>Tanzania</w:t>
            </w:r>
          </w:p>
          <w:p w14:paraId="57A2D5BA" w14:textId="77777777" w:rsidR="002A0BCD" w:rsidRPr="00435574" w:rsidRDefault="002A0BCD" w:rsidP="00605162">
            <w:pPr>
              <w:pStyle w:val="NoSpacing"/>
              <w:numPr>
                <w:ilvl w:val="0"/>
                <w:numId w:val="8"/>
              </w:numPr>
              <w:rPr>
                <w:sz w:val="21"/>
                <w:szCs w:val="21"/>
              </w:rPr>
            </w:pPr>
            <w:r w:rsidRPr="00435574">
              <w:rPr>
                <w:sz w:val="21"/>
                <w:szCs w:val="21"/>
              </w:rPr>
              <w:t>Uganda</w:t>
            </w:r>
          </w:p>
          <w:p w14:paraId="1CEE1D42" w14:textId="77777777" w:rsidR="002A0BCD" w:rsidRPr="00435574" w:rsidRDefault="002A0BCD" w:rsidP="00605162">
            <w:pPr>
              <w:pStyle w:val="NoSpacing"/>
              <w:numPr>
                <w:ilvl w:val="0"/>
                <w:numId w:val="8"/>
              </w:numPr>
              <w:rPr>
                <w:sz w:val="21"/>
                <w:szCs w:val="21"/>
              </w:rPr>
            </w:pPr>
            <w:r w:rsidRPr="00435574">
              <w:rPr>
                <w:sz w:val="21"/>
                <w:szCs w:val="21"/>
              </w:rPr>
              <w:t>Zambia</w:t>
            </w:r>
          </w:p>
          <w:p w14:paraId="75E53AE6" w14:textId="77777777" w:rsidR="002A0BCD" w:rsidRPr="00435574" w:rsidRDefault="002A0BCD" w:rsidP="00605162">
            <w:pPr>
              <w:pStyle w:val="NoSpacing"/>
              <w:numPr>
                <w:ilvl w:val="0"/>
                <w:numId w:val="8"/>
              </w:numPr>
              <w:rPr>
                <w:sz w:val="21"/>
                <w:szCs w:val="21"/>
              </w:rPr>
            </w:pPr>
            <w:r w:rsidRPr="00435574">
              <w:rPr>
                <w:sz w:val="21"/>
                <w:szCs w:val="21"/>
              </w:rPr>
              <w:t>Zimbabwe</w:t>
            </w:r>
          </w:p>
          <w:p w14:paraId="76118628" w14:textId="77777777" w:rsidR="002A0BCD" w:rsidRPr="00435574" w:rsidRDefault="002A0BCD" w:rsidP="00605162">
            <w:pPr>
              <w:pStyle w:val="NoSpacing"/>
              <w:numPr>
                <w:ilvl w:val="0"/>
                <w:numId w:val="8"/>
              </w:numPr>
              <w:rPr>
                <w:sz w:val="21"/>
                <w:szCs w:val="21"/>
              </w:rPr>
            </w:pPr>
            <w:r w:rsidRPr="00435574">
              <w:rPr>
                <w:sz w:val="21"/>
                <w:szCs w:val="21"/>
              </w:rPr>
              <w:t>Botswana</w:t>
            </w:r>
          </w:p>
          <w:p w14:paraId="240BA2E9" w14:textId="1954AF6F" w:rsidR="002A0BCD" w:rsidRDefault="002A0BCD" w:rsidP="00605162">
            <w:pPr>
              <w:pStyle w:val="NoSpacing"/>
              <w:numPr>
                <w:ilvl w:val="0"/>
                <w:numId w:val="8"/>
              </w:numPr>
            </w:pPr>
            <w:r w:rsidRPr="00435574">
              <w:rPr>
                <w:sz w:val="21"/>
                <w:szCs w:val="21"/>
              </w:rPr>
              <w:t>Namibia</w:t>
            </w:r>
          </w:p>
        </w:tc>
        <w:tc>
          <w:tcPr>
            <w:tcW w:w="2552" w:type="dxa"/>
            <w:tcBorders>
              <w:left w:val="nil"/>
              <w:right w:val="nil"/>
            </w:tcBorders>
          </w:tcPr>
          <w:p w14:paraId="512C757F" w14:textId="05F12DCB" w:rsidR="002A0BCD" w:rsidRPr="000F58B6" w:rsidRDefault="002A0BCD" w:rsidP="002A0BCD">
            <w:pPr>
              <w:pStyle w:val="NoSpacing"/>
              <w:rPr>
                <w:b/>
                <w:sz w:val="24"/>
              </w:rPr>
            </w:pPr>
            <w:r w:rsidRPr="000F58B6">
              <w:rPr>
                <w:b/>
                <w:sz w:val="24"/>
              </w:rPr>
              <w:t>Americas:</w:t>
            </w:r>
          </w:p>
          <w:p w14:paraId="31A477CF" w14:textId="77777777" w:rsidR="002A0BCD" w:rsidRPr="00435574" w:rsidRDefault="002A0BCD" w:rsidP="00605162">
            <w:pPr>
              <w:pStyle w:val="NoSpacing"/>
              <w:numPr>
                <w:ilvl w:val="0"/>
                <w:numId w:val="9"/>
              </w:numPr>
              <w:rPr>
                <w:sz w:val="21"/>
                <w:szCs w:val="21"/>
              </w:rPr>
            </w:pPr>
            <w:r w:rsidRPr="00435574">
              <w:rPr>
                <w:sz w:val="21"/>
                <w:szCs w:val="21"/>
              </w:rPr>
              <w:t>Canada</w:t>
            </w:r>
          </w:p>
          <w:p w14:paraId="0D94FE8B" w14:textId="77777777" w:rsidR="002A0BCD" w:rsidRPr="00435574" w:rsidRDefault="002A0BCD" w:rsidP="00605162">
            <w:pPr>
              <w:pStyle w:val="NoSpacing"/>
              <w:numPr>
                <w:ilvl w:val="0"/>
                <w:numId w:val="9"/>
              </w:numPr>
              <w:rPr>
                <w:sz w:val="21"/>
                <w:szCs w:val="21"/>
              </w:rPr>
            </w:pPr>
            <w:r w:rsidRPr="00435574">
              <w:rPr>
                <w:sz w:val="21"/>
                <w:szCs w:val="21"/>
              </w:rPr>
              <w:t>Mexico</w:t>
            </w:r>
          </w:p>
          <w:p w14:paraId="27F5D2C5" w14:textId="77777777" w:rsidR="002A0BCD" w:rsidRPr="00435574" w:rsidRDefault="002A0BCD" w:rsidP="00605162">
            <w:pPr>
              <w:pStyle w:val="NoSpacing"/>
              <w:numPr>
                <w:ilvl w:val="0"/>
                <w:numId w:val="9"/>
              </w:numPr>
              <w:rPr>
                <w:sz w:val="21"/>
                <w:szCs w:val="21"/>
              </w:rPr>
            </w:pPr>
            <w:r w:rsidRPr="00435574">
              <w:rPr>
                <w:sz w:val="21"/>
                <w:szCs w:val="21"/>
              </w:rPr>
              <w:t>Bolivia</w:t>
            </w:r>
          </w:p>
          <w:p w14:paraId="1CA392DB" w14:textId="77777777" w:rsidR="002A0BCD" w:rsidRPr="00435574" w:rsidRDefault="002A0BCD" w:rsidP="00605162">
            <w:pPr>
              <w:pStyle w:val="NoSpacing"/>
              <w:numPr>
                <w:ilvl w:val="0"/>
                <w:numId w:val="9"/>
              </w:numPr>
              <w:rPr>
                <w:sz w:val="21"/>
                <w:szCs w:val="21"/>
              </w:rPr>
            </w:pPr>
            <w:r w:rsidRPr="00435574">
              <w:rPr>
                <w:sz w:val="21"/>
                <w:szCs w:val="21"/>
              </w:rPr>
              <w:t>Brazil</w:t>
            </w:r>
          </w:p>
          <w:p w14:paraId="4A459361" w14:textId="77777777" w:rsidR="002A0BCD" w:rsidRPr="00435574" w:rsidRDefault="002A0BCD" w:rsidP="00605162">
            <w:pPr>
              <w:pStyle w:val="NoSpacing"/>
              <w:numPr>
                <w:ilvl w:val="0"/>
                <w:numId w:val="9"/>
              </w:numPr>
              <w:rPr>
                <w:sz w:val="21"/>
                <w:szCs w:val="21"/>
              </w:rPr>
            </w:pPr>
            <w:r w:rsidRPr="00435574">
              <w:rPr>
                <w:sz w:val="21"/>
                <w:szCs w:val="21"/>
              </w:rPr>
              <w:t>Colombia</w:t>
            </w:r>
          </w:p>
          <w:p w14:paraId="6A33D670" w14:textId="77777777" w:rsidR="002A0BCD" w:rsidRPr="00435574" w:rsidRDefault="002A0BCD" w:rsidP="00605162">
            <w:pPr>
              <w:pStyle w:val="NoSpacing"/>
              <w:numPr>
                <w:ilvl w:val="0"/>
                <w:numId w:val="9"/>
              </w:numPr>
              <w:rPr>
                <w:sz w:val="21"/>
                <w:szCs w:val="21"/>
              </w:rPr>
            </w:pPr>
            <w:r w:rsidRPr="00435574">
              <w:rPr>
                <w:sz w:val="21"/>
                <w:szCs w:val="21"/>
              </w:rPr>
              <w:t>Ecuador</w:t>
            </w:r>
          </w:p>
          <w:p w14:paraId="61B67D99" w14:textId="77777777" w:rsidR="002A0BCD" w:rsidRPr="00435574" w:rsidRDefault="002A0BCD" w:rsidP="00605162">
            <w:pPr>
              <w:pStyle w:val="NoSpacing"/>
              <w:numPr>
                <w:ilvl w:val="0"/>
                <w:numId w:val="9"/>
              </w:numPr>
              <w:rPr>
                <w:sz w:val="21"/>
                <w:szCs w:val="21"/>
              </w:rPr>
            </w:pPr>
            <w:r w:rsidRPr="00435574">
              <w:rPr>
                <w:sz w:val="21"/>
                <w:szCs w:val="21"/>
              </w:rPr>
              <w:t>Paraguay</w:t>
            </w:r>
          </w:p>
          <w:p w14:paraId="30FD3A8A" w14:textId="77777777" w:rsidR="002A0BCD" w:rsidRPr="00435574" w:rsidRDefault="002A0BCD" w:rsidP="00605162">
            <w:pPr>
              <w:pStyle w:val="NoSpacing"/>
              <w:numPr>
                <w:ilvl w:val="0"/>
                <w:numId w:val="9"/>
              </w:numPr>
              <w:rPr>
                <w:sz w:val="21"/>
                <w:szCs w:val="21"/>
              </w:rPr>
            </w:pPr>
            <w:r w:rsidRPr="00435574">
              <w:rPr>
                <w:sz w:val="21"/>
                <w:szCs w:val="21"/>
              </w:rPr>
              <w:t>Peru</w:t>
            </w:r>
          </w:p>
          <w:p w14:paraId="7DBB7F72" w14:textId="77777777" w:rsidR="002A0BCD" w:rsidRPr="00435574" w:rsidRDefault="002A0BCD" w:rsidP="00605162">
            <w:pPr>
              <w:pStyle w:val="NoSpacing"/>
              <w:numPr>
                <w:ilvl w:val="0"/>
                <w:numId w:val="9"/>
              </w:numPr>
              <w:rPr>
                <w:sz w:val="21"/>
                <w:szCs w:val="21"/>
              </w:rPr>
            </w:pPr>
            <w:r w:rsidRPr="00435574">
              <w:rPr>
                <w:sz w:val="21"/>
                <w:szCs w:val="21"/>
              </w:rPr>
              <w:t>Uruguay</w:t>
            </w:r>
          </w:p>
          <w:p w14:paraId="1D1524EA" w14:textId="77777777" w:rsidR="002A0BCD" w:rsidRPr="00435574" w:rsidRDefault="002A0BCD" w:rsidP="00605162">
            <w:pPr>
              <w:pStyle w:val="NoSpacing"/>
              <w:numPr>
                <w:ilvl w:val="0"/>
                <w:numId w:val="9"/>
              </w:numPr>
              <w:rPr>
                <w:sz w:val="21"/>
                <w:szCs w:val="21"/>
              </w:rPr>
            </w:pPr>
            <w:r w:rsidRPr="00435574">
              <w:rPr>
                <w:sz w:val="21"/>
                <w:szCs w:val="21"/>
              </w:rPr>
              <w:t>Costa Rica</w:t>
            </w:r>
          </w:p>
          <w:p w14:paraId="4F35D915" w14:textId="77777777" w:rsidR="002A0BCD" w:rsidRPr="00435574" w:rsidRDefault="002A0BCD" w:rsidP="00605162">
            <w:pPr>
              <w:pStyle w:val="NoSpacing"/>
              <w:numPr>
                <w:ilvl w:val="0"/>
                <w:numId w:val="9"/>
              </w:numPr>
              <w:rPr>
                <w:sz w:val="21"/>
                <w:szCs w:val="21"/>
              </w:rPr>
            </w:pPr>
            <w:r w:rsidRPr="00435574">
              <w:rPr>
                <w:sz w:val="21"/>
                <w:szCs w:val="21"/>
              </w:rPr>
              <w:t>Guatemala</w:t>
            </w:r>
          </w:p>
          <w:p w14:paraId="5FD5DDAF" w14:textId="77777777" w:rsidR="002A0BCD" w:rsidRPr="00435574" w:rsidRDefault="002A0BCD" w:rsidP="00605162">
            <w:pPr>
              <w:pStyle w:val="NoSpacing"/>
              <w:numPr>
                <w:ilvl w:val="0"/>
                <w:numId w:val="9"/>
              </w:numPr>
              <w:rPr>
                <w:sz w:val="21"/>
                <w:szCs w:val="21"/>
              </w:rPr>
            </w:pPr>
            <w:r w:rsidRPr="00435574">
              <w:rPr>
                <w:sz w:val="21"/>
                <w:szCs w:val="21"/>
              </w:rPr>
              <w:t>Honduras</w:t>
            </w:r>
          </w:p>
          <w:p w14:paraId="2AA6615C" w14:textId="77777777" w:rsidR="002A0BCD" w:rsidRPr="00435574" w:rsidRDefault="002A0BCD" w:rsidP="00605162">
            <w:pPr>
              <w:pStyle w:val="NoSpacing"/>
              <w:numPr>
                <w:ilvl w:val="0"/>
                <w:numId w:val="9"/>
              </w:numPr>
              <w:rPr>
                <w:sz w:val="21"/>
                <w:szCs w:val="21"/>
              </w:rPr>
            </w:pPr>
            <w:r w:rsidRPr="00435574">
              <w:rPr>
                <w:sz w:val="21"/>
                <w:szCs w:val="21"/>
              </w:rPr>
              <w:t>Nicaragua</w:t>
            </w:r>
          </w:p>
          <w:p w14:paraId="4BF1D7A5" w14:textId="77777777" w:rsidR="002A0BCD" w:rsidRPr="00435574" w:rsidRDefault="002A0BCD" w:rsidP="00605162">
            <w:pPr>
              <w:pStyle w:val="NoSpacing"/>
              <w:numPr>
                <w:ilvl w:val="0"/>
                <w:numId w:val="9"/>
              </w:numPr>
              <w:rPr>
                <w:sz w:val="21"/>
                <w:szCs w:val="21"/>
              </w:rPr>
            </w:pPr>
            <w:r w:rsidRPr="00435574">
              <w:rPr>
                <w:sz w:val="21"/>
                <w:szCs w:val="21"/>
              </w:rPr>
              <w:t>Panama</w:t>
            </w:r>
          </w:p>
          <w:p w14:paraId="17EAAAE3" w14:textId="77777777" w:rsidR="002A0BCD" w:rsidRPr="00435574" w:rsidRDefault="002A0BCD" w:rsidP="00605162">
            <w:pPr>
              <w:pStyle w:val="NoSpacing"/>
              <w:numPr>
                <w:ilvl w:val="0"/>
                <w:numId w:val="9"/>
              </w:numPr>
              <w:rPr>
                <w:sz w:val="21"/>
                <w:szCs w:val="21"/>
              </w:rPr>
            </w:pPr>
            <w:r w:rsidRPr="00435574">
              <w:rPr>
                <w:sz w:val="21"/>
                <w:szCs w:val="21"/>
              </w:rPr>
              <w:t>El Salvador</w:t>
            </w:r>
          </w:p>
          <w:p w14:paraId="20AA870E" w14:textId="77777777" w:rsidR="002A0BCD" w:rsidRPr="00435574" w:rsidRDefault="002A0BCD" w:rsidP="00605162">
            <w:pPr>
              <w:pStyle w:val="NoSpacing"/>
              <w:numPr>
                <w:ilvl w:val="0"/>
                <w:numId w:val="9"/>
              </w:numPr>
              <w:rPr>
                <w:sz w:val="21"/>
                <w:szCs w:val="21"/>
              </w:rPr>
            </w:pPr>
            <w:r w:rsidRPr="00435574">
              <w:rPr>
                <w:sz w:val="21"/>
                <w:szCs w:val="21"/>
              </w:rPr>
              <w:t>Dominican Republic</w:t>
            </w:r>
          </w:p>
          <w:p w14:paraId="490BED97" w14:textId="77777777" w:rsidR="002A0BCD" w:rsidRPr="00435574" w:rsidRDefault="002A0BCD" w:rsidP="00605162">
            <w:pPr>
              <w:pStyle w:val="NoSpacing"/>
              <w:numPr>
                <w:ilvl w:val="0"/>
                <w:numId w:val="9"/>
              </w:numPr>
              <w:rPr>
                <w:sz w:val="21"/>
                <w:szCs w:val="21"/>
              </w:rPr>
            </w:pPr>
            <w:r w:rsidRPr="00435574">
              <w:rPr>
                <w:sz w:val="21"/>
                <w:szCs w:val="21"/>
              </w:rPr>
              <w:t>Jamaica</w:t>
            </w:r>
          </w:p>
          <w:p w14:paraId="69A69AF6" w14:textId="77777777" w:rsidR="002A0BCD" w:rsidRPr="00435574" w:rsidRDefault="002A0BCD" w:rsidP="00605162">
            <w:pPr>
              <w:pStyle w:val="NoSpacing"/>
              <w:numPr>
                <w:ilvl w:val="0"/>
                <w:numId w:val="9"/>
              </w:numPr>
              <w:rPr>
                <w:sz w:val="21"/>
                <w:szCs w:val="21"/>
              </w:rPr>
            </w:pPr>
            <w:r w:rsidRPr="00435574">
              <w:rPr>
                <w:sz w:val="21"/>
                <w:szCs w:val="21"/>
              </w:rPr>
              <w:t>Puerto Rico</w:t>
            </w:r>
          </w:p>
          <w:p w14:paraId="3793B8CB" w14:textId="77777777" w:rsidR="002A0BCD" w:rsidRPr="00435574" w:rsidRDefault="002A0BCD" w:rsidP="00605162">
            <w:pPr>
              <w:pStyle w:val="NoSpacing"/>
              <w:numPr>
                <w:ilvl w:val="0"/>
                <w:numId w:val="9"/>
              </w:numPr>
              <w:rPr>
                <w:sz w:val="21"/>
                <w:szCs w:val="21"/>
              </w:rPr>
            </w:pPr>
            <w:r w:rsidRPr="00435574">
              <w:rPr>
                <w:sz w:val="21"/>
                <w:szCs w:val="21"/>
              </w:rPr>
              <w:t>Trinidad and Tobago</w:t>
            </w:r>
          </w:p>
          <w:p w14:paraId="6D759903" w14:textId="140A45C2" w:rsidR="002A0BCD" w:rsidRDefault="002A0BCD" w:rsidP="00BD411F">
            <w:pPr>
              <w:pStyle w:val="NoSpacing"/>
            </w:pPr>
          </w:p>
        </w:tc>
        <w:tc>
          <w:tcPr>
            <w:tcW w:w="1791" w:type="dxa"/>
            <w:tcBorders>
              <w:left w:val="nil"/>
            </w:tcBorders>
          </w:tcPr>
          <w:p w14:paraId="1FF5902A" w14:textId="77777777" w:rsidR="002A0BCD" w:rsidRPr="000F58B6" w:rsidRDefault="002A0BCD" w:rsidP="002A0BCD">
            <w:pPr>
              <w:pStyle w:val="NoSpacing"/>
              <w:rPr>
                <w:b/>
                <w:sz w:val="24"/>
              </w:rPr>
            </w:pPr>
            <w:r w:rsidRPr="000F58B6">
              <w:rPr>
                <w:b/>
                <w:sz w:val="24"/>
              </w:rPr>
              <w:t>Europe:</w:t>
            </w:r>
          </w:p>
          <w:p w14:paraId="2AA84D03" w14:textId="77777777" w:rsidR="002A0BCD" w:rsidRPr="00435574" w:rsidRDefault="002A0BCD" w:rsidP="00605162">
            <w:pPr>
              <w:pStyle w:val="NoSpacing"/>
              <w:numPr>
                <w:ilvl w:val="0"/>
                <w:numId w:val="10"/>
              </w:numPr>
              <w:rPr>
                <w:sz w:val="21"/>
                <w:szCs w:val="21"/>
              </w:rPr>
            </w:pPr>
            <w:r w:rsidRPr="00435574">
              <w:rPr>
                <w:sz w:val="21"/>
                <w:szCs w:val="21"/>
              </w:rPr>
              <w:t>Greece</w:t>
            </w:r>
          </w:p>
          <w:p w14:paraId="159F36F2" w14:textId="77777777" w:rsidR="002A0BCD" w:rsidRPr="00435574" w:rsidRDefault="002A0BCD" w:rsidP="00605162">
            <w:pPr>
              <w:pStyle w:val="NoSpacing"/>
              <w:numPr>
                <w:ilvl w:val="0"/>
                <w:numId w:val="10"/>
              </w:numPr>
              <w:rPr>
                <w:sz w:val="21"/>
                <w:szCs w:val="21"/>
              </w:rPr>
            </w:pPr>
            <w:r w:rsidRPr="00435574">
              <w:rPr>
                <w:sz w:val="21"/>
                <w:szCs w:val="21"/>
              </w:rPr>
              <w:t>Ireland</w:t>
            </w:r>
          </w:p>
          <w:p w14:paraId="180BA700" w14:textId="77777777" w:rsidR="002A0BCD" w:rsidRPr="00435574" w:rsidRDefault="002A0BCD" w:rsidP="00605162">
            <w:pPr>
              <w:pStyle w:val="NoSpacing"/>
              <w:numPr>
                <w:ilvl w:val="0"/>
                <w:numId w:val="10"/>
              </w:numPr>
              <w:rPr>
                <w:sz w:val="21"/>
                <w:szCs w:val="21"/>
              </w:rPr>
            </w:pPr>
            <w:r w:rsidRPr="00435574">
              <w:rPr>
                <w:sz w:val="21"/>
                <w:szCs w:val="21"/>
              </w:rPr>
              <w:t>Lithuania</w:t>
            </w:r>
          </w:p>
          <w:p w14:paraId="1212709D" w14:textId="77777777" w:rsidR="002A0BCD" w:rsidRPr="00435574" w:rsidRDefault="002A0BCD" w:rsidP="00605162">
            <w:pPr>
              <w:pStyle w:val="NoSpacing"/>
              <w:numPr>
                <w:ilvl w:val="0"/>
                <w:numId w:val="10"/>
              </w:numPr>
              <w:rPr>
                <w:sz w:val="21"/>
                <w:szCs w:val="21"/>
              </w:rPr>
            </w:pPr>
            <w:r w:rsidRPr="00435574">
              <w:rPr>
                <w:sz w:val="21"/>
                <w:szCs w:val="21"/>
              </w:rPr>
              <w:t>Luxembourg</w:t>
            </w:r>
          </w:p>
          <w:p w14:paraId="6876E0B1" w14:textId="77777777" w:rsidR="002A0BCD" w:rsidRPr="00435574" w:rsidRDefault="002A0BCD" w:rsidP="00605162">
            <w:pPr>
              <w:pStyle w:val="NoSpacing"/>
              <w:numPr>
                <w:ilvl w:val="0"/>
                <w:numId w:val="10"/>
              </w:numPr>
              <w:rPr>
                <w:sz w:val="21"/>
                <w:szCs w:val="21"/>
              </w:rPr>
            </w:pPr>
            <w:r w:rsidRPr="00435574">
              <w:rPr>
                <w:sz w:val="21"/>
                <w:szCs w:val="21"/>
              </w:rPr>
              <w:t>Malta</w:t>
            </w:r>
          </w:p>
          <w:p w14:paraId="3396E634" w14:textId="77777777" w:rsidR="002A0BCD" w:rsidRPr="00435574" w:rsidRDefault="002A0BCD" w:rsidP="00605162">
            <w:pPr>
              <w:pStyle w:val="NoSpacing"/>
              <w:numPr>
                <w:ilvl w:val="0"/>
                <w:numId w:val="10"/>
              </w:numPr>
              <w:rPr>
                <w:sz w:val="21"/>
                <w:szCs w:val="21"/>
              </w:rPr>
            </w:pPr>
            <w:r w:rsidRPr="00435574">
              <w:rPr>
                <w:sz w:val="21"/>
                <w:szCs w:val="21"/>
              </w:rPr>
              <w:t>Netherlands</w:t>
            </w:r>
          </w:p>
          <w:p w14:paraId="2D4D34BA" w14:textId="77777777" w:rsidR="00C120EE" w:rsidRPr="00435574" w:rsidRDefault="002A0BCD" w:rsidP="00C120EE">
            <w:pPr>
              <w:pStyle w:val="NoSpacing"/>
              <w:numPr>
                <w:ilvl w:val="0"/>
                <w:numId w:val="10"/>
              </w:numPr>
              <w:rPr>
                <w:sz w:val="21"/>
                <w:szCs w:val="21"/>
              </w:rPr>
            </w:pPr>
            <w:r w:rsidRPr="00435574">
              <w:rPr>
                <w:sz w:val="21"/>
                <w:szCs w:val="21"/>
              </w:rPr>
              <w:t>Albania</w:t>
            </w:r>
          </w:p>
          <w:p w14:paraId="42F9B83A" w14:textId="77777777" w:rsidR="00C120EE" w:rsidRPr="00435574" w:rsidRDefault="002A0BCD" w:rsidP="00C120EE">
            <w:pPr>
              <w:pStyle w:val="NoSpacing"/>
              <w:numPr>
                <w:ilvl w:val="0"/>
                <w:numId w:val="10"/>
              </w:numPr>
              <w:rPr>
                <w:sz w:val="21"/>
                <w:szCs w:val="21"/>
              </w:rPr>
            </w:pPr>
            <w:r w:rsidRPr="00435574">
              <w:rPr>
                <w:sz w:val="21"/>
                <w:szCs w:val="21"/>
              </w:rPr>
              <w:t>Belarus</w:t>
            </w:r>
          </w:p>
          <w:p w14:paraId="468379AF" w14:textId="11674CCB" w:rsidR="002A0BCD" w:rsidRPr="00C120EE" w:rsidRDefault="002A0BCD" w:rsidP="00C120EE">
            <w:pPr>
              <w:pStyle w:val="NoSpacing"/>
              <w:numPr>
                <w:ilvl w:val="0"/>
                <w:numId w:val="10"/>
              </w:numPr>
            </w:pPr>
            <w:r w:rsidRPr="00435574">
              <w:rPr>
                <w:sz w:val="21"/>
                <w:szCs w:val="21"/>
              </w:rPr>
              <w:t>Romania</w:t>
            </w:r>
          </w:p>
        </w:tc>
      </w:tr>
    </w:tbl>
    <w:p w14:paraId="0559559F" w14:textId="4C65C1AD" w:rsidR="005C3818" w:rsidRDefault="007010C8" w:rsidP="00571AA9">
      <w:pPr>
        <w:pStyle w:val="Heading1"/>
      </w:pPr>
      <w:bookmarkStart w:id="5" w:name="_Toc91071607"/>
      <w:r>
        <w:lastRenderedPageBreak/>
        <w:t>Imple</w:t>
      </w:r>
      <w:r w:rsidR="00232183" w:rsidRPr="00232183">
        <w:t>menting inequalities in material consumption</w:t>
      </w:r>
      <w:bookmarkEnd w:id="5"/>
    </w:p>
    <w:p w14:paraId="1CBC21E9" w14:textId="1771658B" w:rsidR="00CF5E05" w:rsidRDefault="007957C1" w:rsidP="00BB0451">
      <w:r>
        <w:t>As</w:t>
      </w:r>
      <w:r w:rsidR="00BB0451">
        <w:t xml:space="preserve"> described in the main text,</w:t>
      </w:r>
      <w:r>
        <w:t xml:space="preserve"> the </w:t>
      </w:r>
      <w:r w:rsidR="00DB687E">
        <w:t xml:space="preserve">idealised </w:t>
      </w:r>
      <w:r w:rsidR="00251A21">
        <w:t>distributions</w:t>
      </w:r>
      <w:r w:rsidR="00634A73">
        <w:t xml:space="preserve"> </w:t>
      </w:r>
      <w:r w:rsidR="003F0CBA">
        <w:t>(plotted in Figure SI</w:t>
      </w:r>
      <w:r w:rsidR="00DB687E">
        <w:t xml:space="preserve">1) are applied to </w:t>
      </w:r>
      <w:r w:rsidR="00BB0451">
        <w:t>the</w:t>
      </w:r>
      <w:r w:rsidR="00DB687E">
        <w:t xml:space="preserve"> dimensions of consumption</w:t>
      </w:r>
      <w:r w:rsidR="00BB0451">
        <w:t xml:space="preserve"> </w:t>
      </w:r>
      <w:r w:rsidR="00251A21">
        <w:t>considered to most closely resemble private luxuries (</w:t>
      </w:r>
      <w:r w:rsidR="00203348">
        <w:t>indicated</w:t>
      </w:r>
      <w:r w:rsidR="00BB0451">
        <w:t xml:space="preserve"> in Table 1</w:t>
      </w:r>
      <w:r w:rsidR="00203348">
        <w:t xml:space="preserve"> of the main article</w:t>
      </w:r>
      <w:r w:rsidR="00251A21">
        <w:t>)</w:t>
      </w:r>
      <w:r w:rsidR="00BB0451">
        <w:t xml:space="preserve">. </w:t>
      </w:r>
      <w:r w:rsidR="005170ED">
        <w:t>T</w:t>
      </w:r>
      <w:r w:rsidR="00BB0451" w:rsidRPr="00BB0451">
        <w:t>he distributions are taken as dimensionless descriptions of relative consumption</w:t>
      </w:r>
      <w:r w:rsidR="00BB0451">
        <w:t xml:space="preserve"> and</w:t>
      </w:r>
      <w:r w:rsidR="00BB0451" w:rsidRPr="00BB0451">
        <w:t xml:space="preserve"> </w:t>
      </w:r>
      <w:r w:rsidR="007C6BCF">
        <w:t>hence</w:t>
      </w:r>
      <w:r w:rsidR="00BB0451" w:rsidRPr="00BB0451">
        <w:t xml:space="preserve"> applied linearly to</w:t>
      </w:r>
      <w:r w:rsidR="00CF5E05">
        <w:t xml:space="preserve"> the activity-levels of Table 1</w:t>
      </w:r>
      <w:r w:rsidR="00251A21">
        <w:t xml:space="preserve"> (except for</w:t>
      </w:r>
      <w:r w:rsidR="007C6BCF">
        <w:t xml:space="preserve"> </w:t>
      </w:r>
      <w:r w:rsidR="005170ED">
        <w:t>f</w:t>
      </w:r>
      <w:r w:rsidR="00D24AFA">
        <w:t xml:space="preserve">ood </w:t>
      </w:r>
      <w:r w:rsidR="00251A21">
        <w:t>&amp;</w:t>
      </w:r>
      <w:r w:rsidR="00D24AFA">
        <w:t xml:space="preserve"> mobility, as described below</w:t>
      </w:r>
      <w:r w:rsidR="00251A21">
        <w:t>)</w:t>
      </w:r>
      <w:r w:rsidR="00D24AFA">
        <w:t xml:space="preserve">. </w:t>
      </w:r>
      <w:r w:rsidR="00251A21">
        <w:t>H</w:t>
      </w:r>
      <w:r w:rsidR="00D24AFA">
        <w:t>owever,</w:t>
      </w:r>
      <w:r w:rsidR="007C6BCF">
        <w:t xml:space="preserve"> it’s necessary to check the resulting values are reasonable</w:t>
      </w:r>
      <w:r w:rsidR="00CF5E05">
        <w:t xml:space="preserve"> and apply limits where needed</w:t>
      </w:r>
      <w:r w:rsidR="00E1534A">
        <w:t>, which represent saturation points for material consumption</w:t>
      </w:r>
      <w:r w:rsidR="00CF5E05">
        <w:t>.</w:t>
      </w:r>
      <w:r w:rsidR="00D24AFA">
        <w:t xml:space="preserve"> The approach is now described for each dimension</w:t>
      </w:r>
      <w:r w:rsidR="009614CF">
        <w:t>, and l</w:t>
      </w:r>
      <w:r w:rsidR="003F0CBA">
        <w:t>imits are summarised in Table SI</w:t>
      </w:r>
      <w:r w:rsidR="009614CF">
        <w:t>3</w:t>
      </w:r>
      <w:r w:rsidR="005D5513">
        <w:t xml:space="preserve"> along with the scenario and country type for which they apply</w:t>
      </w:r>
      <w:r w:rsidR="00D24AFA">
        <w:t>.</w:t>
      </w:r>
    </w:p>
    <w:p w14:paraId="006C1194" w14:textId="796AD8BD" w:rsidR="008E4F00" w:rsidRDefault="008E4F00" w:rsidP="007C6BCF">
      <w:pPr>
        <w:pStyle w:val="Heading2"/>
      </w:pPr>
      <w:bookmarkStart w:id="6" w:name="_Toc91071608"/>
      <w:r>
        <w:t>Approach for each sector</w:t>
      </w:r>
      <w:bookmarkEnd w:id="6"/>
    </w:p>
    <w:p w14:paraId="6E8707B5" w14:textId="0EEEF650" w:rsidR="00E119B9" w:rsidRPr="005E51D3" w:rsidRDefault="00E119B9" w:rsidP="008E4F00">
      <w:pPr>
        <w:pStyle w:val="Heading3"/>
        <w:spacing w:before="0"/>
      </w:pPr>
      <w:bookmarkStart w:id="7" w:name="_Toc91071609"/>
      <w:r>
        <w:t>Nutrition</w:t>
      </w:r>
      <w:bookmarkEnd w:id="7"/>
    </w:p>
    <w:p w14:paraId="59F2DB88" w14:textId="77777777" w:rsidR="00670856" w:rsidRDefault="005170ED" w:rsidP="00E119B9">
      <w:r w:rsidRPr="005170ED">
        <w:t xml:space="preserve">The default DLE assumptions are that </w:t>
      </w:r>
      <w:r w:rsidR="001C5DE2">
        <w:t>9</w:t>
      </w:r>
      <w:r w:rsidR="00C05DA7">
        <w:t>3</w:t>
      </w:r>
      <w:r w:rsidR="001C5DE2">
        <w:t>% of food energy (kcal) comes from plant-based foods, 3% from meat and the remaining 4% from other animal-based foods</w:t>
      </w:r>
      <w:r w:rsidR="002E65BA">
        <w:t>, with food-</w:t>
      </w:r>
      <w:r w:rsidR="001C5DE2">
        <w:t>energy consumption between</w:t>
      </w:r>
      <w:r w:rsidR="001C5DE2" w:rsidRPr="001C5DE2">
        <w:t xml:space="preserve"> 2,0</w:t>
      </w:r>
      <w:r w:rsidR="000F4F27">
        <w:t>00</w:t>
      </w:r>
      <w:r w:rsidR="002E65BA">
        <w:t>-2,150 kilocalorie/person</w:t>
      </w:r>
      <w:r w:rsidR="001C5DE2" w:rsidRPr="001C5DE2">
        <w:t>/day</w:t>
      </w:r>
      <w:r w:rsidR="001C5DE2">
        <w:t xml:space="preserve"> depending upon countries’ age composition</w:t>
      </w:r>
      <w:r w:rsidR="002E65BA">
        <w:t>.</w:t>
      </w:r>
      <w:r w:rsidR="00140077">
        <w:t xml:space="preserve"> </w:t>
      </w:r>
      <w:r w:rsidR="001C5DE2">
        <w:t>In the inequality scenarios</w:t>
      </w:r>
      <w:r w:rsidR="002E65BA">
        <w:t xml:space="preserve">, total food-energy consumption isn’t changed, but meat consumption is increased linearly </w:t>
      </w:r>
      <w:r w:rsidR="00D8638D">
        <w:t xml:space="preserve">with the relative consumption curves, </w:t>
      </w:r>
      <w:r w:rsidR="002E65BA">
        <w:t>and assumed to displace plant-based foods.</w:t>
      </w:r>
      <w:r w:rsidR="001B5F75">
        <w:t xml:space="preserve"> </w:t>
      </w:r>
      <w:r w:rsidR="00140077">
        <w:t>T</w:t>
      </w:r>
      <w:r w:rsidR="001B5F75">
        <w:t xml:space="preserve">he </w:t>
      </w:r>
      <w:r w:rsidR="00E1534A">
        <w:t xml:space="preserve">composition of </w:t>
      </w:r>
      <w:r w:rsidR="00140077">
        <w:t xml:space="preserve">food </w:t>
      </w:r>
      <w:r w:rsidR="00E1534A">
        <w:t xml:space="preserve">consumption is </w:t>
      </w:r>
      <w:r w:rsidR="00140077">
        <w:t xml:space="preserve">thus </w:t>
      </w:r>
      <w:r w:rsidR="00E1534A">
        <w:t xml:space="preserve">changed </w:t>
      </w:r>
      <w:r w:rsidR="001B5F75">
        <w:t>to be more energy intensive, rather than total consumption increasing.</w:t>
      </w:r>
      <w:r w:rsidR="0047662A">
        <w:t xml:space="preserve"> </w:t>
      </w:r>
    </w:p>
    <w:p w14:paraId="4D3F8F9B" w14:textId="48DEFCCE" w:rsidR="00E119B9" w:rsidRPr="0047662A" w:rsidRDefault="001B5F75" w:rsidP="00E119B9">
      <w:r>
        <w:t xml:space="preserve">The change is limited, however, based upon current </w:t>
      </w:r>
      <w:r w:rsidR="00634A73">
        <w:t>data</w:t>
      </w:r>
      <w:r w:rsidR="0047662A">
        <w:t>.</w:t>
      </w:r>
      <w:r w:rsidR="00670856">
        <w:t xml:space="preserve"> </w:t>
      </w:r>
      <w:r w:rsidR="00140077">
        <w:t>For example, t</w:t>
      </w:r>
      <w:r w:rsidR="00E119B9">
        <w:t>he share of meat</w:t>
      </w:r>
      <w:r w:rsidR="00140077">
        <w:t xml:space="preserve"> (including fish)</w:t>
      </w:r>
      <w:r w:rsidR="00E119B9">
        <w:t xml:space="preserve"> in food-energy intake in the USA and Australia</w:t>
      </w:r>
      <w:r w:rsidR="00140077">
        <w:t xml:space="preserve"> – where consumption is high – is 13-15%, based on total</w:t>
      </w:r>
      <w:r w:rsidR="00E119B9">
        <w:t xml:space="preserve"> food supply data</w:t>
      </w:r>
      <w:r w:rsidR="00E119B9">
        <w:fldChar w:fldCharType="begin"/>
      </w:r>
      <w:r w:rsidR="00E119B9">
        <w:instrText xml:space="preserve"> ADDIN EN.CITE &lt;EndNote&gt;&lt;Cite&gt;&lt;Author&gt;FAO&lt;/Author&gt;&lt;Year&gt;2018&lt;/Year&gt;&lt;RecNum&gt;1452&lt;/RecNum&gt;&lt;DisplayText&gt;[2]&lt;/DisplayText&gt;&lt;record&gt;&lt;rec-number&gt;1452&lt;/rec-number&gt;&lt;foreign-keys&gt;&lt;key app="EN" db-id="trp9sxavnrpwwyeprv75wfdvdzzdv5x20asz" timestamp="1619076967"&gt;1452&lt;/key&gt;&lt;/foreign-keys&gt;&lt;ref-type name="Dataset"&gt;59&lt;/ref-type&gt;&lt;contributors&gt;&lt;authors&gt;&lt;author&gt; FAO&lt;/author&gt;&lt;/authors&gt;&lt;secondary-authors&gt;&lt;author&gt;UN&lt;/author&gt;&lt;/secondary-authors&gt;&lt;/contributors&gt;&lt;titles&gt;&lt;title&gt;New Food Balances&lt;/title&gt;&lt;/titles&gt;&lt;dates&gt;&lt;year&gt;2018&lt;/year&gt;&lt;/dates&gt;&lt;urls&gt;&lt;related-urls&gt;&lt;url&gt;http://www.fao.org/faostat/en/#data/FBS&lt;/url&gt;&lt;/related-urls&gt;&lt;/urls&gt;&lt;/record&gt;&lt;/Cite&gt;&lt;/EndNote&gt;</w:instrText>
      </w:r>
      <w:r w:rsidR="00E119B9">
        <w:fldChar w:fldCharType="separate"/>
      </w:r>
      <w:r w:rsidR="00E119B9">
        <w:rPr>
          <w:noProof/>
        </w:rPr>
        <w:t>[2]</w:t>
      </w:r>
      <w:r w:rsidR="00E119B9">
        <w:fldChar w:fldCharType="end"/>
      </w:r>
      <w:r w:rsidR="00E119B9">
        <w:t xml:space="preserve">. </w:t>
      </w:r>
      <w:r w:rsidR="00140077">
        <w:t xml:space="preserve">Given these are nationally-averaged values and high-consumers are likely to be well above them, a limit on </w:t>
      </w:r>
      <w:r w:rsidR="00E119B9" w:rsidRPr="00140077">
        <w:t>meat</w:t>
      </w:r>
      <w:r w:rsidR="00140077" w:rsidRPr="00140077">
        <w:t xml:space="preserve"> consumption of</w:t>
      </w:r>
      <w:r w:rsidR="00140077">
        <w:rPr>
          <w:b/>
        </w:rPr>
        <w:t xml:space="preserve"> </w:t>
      </w:r>
      <w:r w:rsidR="00E119B9" w:rsidRPr="005523D1">
        <w:rPr>
          <w:b/>
        </w:rPr>
        <w:t>20%</w:t>
      </w:r>
      <w:r w:rsidR="00E119B9">
        <w:rPr>
          <w:b/>
        </w:rPr>
        <w:t xml:space="preserve"> </w:t>
      </w:r>
      <w:r w:rsidR="00140077">
        <w:rPr>
          <w:b/>
        </w:rPr>
        <w:t>of food-</w:t>
      </w:r>
      <w:r w:rsidR="00E119B9">
        <w:rPr>
          <w:b/>
        </w:rPr>
        <w:t>energy</w:t>
      </w:r>
      <w:r w:rsidR="00140077">
        <w:t xml:space="preserve"> is applied</w:t>
      </w:r>
      <w:r w:rsidR="0047662A">
        <w:t xml:space="preserve"> in the model</w:t>
      </w:r>
      <w:r w:rsidR="00D8638D">
        <w:t xml:space="preserve">. As this limit is &lt;7 times the DLE level, it </w:t>
      </w:r>
      <w:r w:rsidR="0047662A">
        <w:t xml:space="preserve">first </w:t>
      </w:r>
      <w:r w:rsidR="00D8638D">
        <w:t xml:space="preserve">applies in the </w:t>
      </w:r>
      <w:r w:rsidR="00D8638D">
        <w:rPr>
          <w:i/>
        </w:rPr>
        <w:t>fair inequality</w:t>
      </w:r>
      <w:r w:rsidR="00D8638D">
        <w:t xml:space="preserve"> scenario in </w:t>
      </w:r>
      <w:r w:rsidR="00D8638D" w:rsidRPr="00D8638D">
        <w:rPr>
          <w:i/>
        </w:rPr>
        <w:t>meritocratic</w:t>
      </w:r>
      <w:r w:rsidR="00D8638D">
        <w:t xml:space="preserve"> countries to the top 1% (who’s relative consumption is at 8 ti</w:t>
      </w:r>
      <w:r w:rsidR="003F0CBA">
        <w:t>mes the DLE level; see Figure SI</w:t>
      </w:r>
      <w:r w:rsidR="00D8638D">
        <w:t>1).</w:t>
      </w:r>
      <w:r w:rsidR="00A328BF">
        <w:t xml:space="preserve"> </w:t>
      </w:r>
      <w:r w:rsidR="00B34967">
        <w:t xml:space="preserve">Meat consumption </w:t>
      </w:r>
      <w:r w:rsidR="00A328BF">
        <w:t>is</w:t>
      </w:r>
      <w:r w:rsidR="00B34967">
        <w:t xml:space="preserve"> thus</w:t>
      </w:r>
      <w:r w:rsidR="00A328BF">
        <w:t xml:space="preserve"> the most frequently applied of the limits </w:t>
      </w:r>
      <w:r w:rsidR="00B34967">
        <w:t>(see Table SI3)</w:t>
      </w:r>
      <w:r w:rsidR="00A328BF">
        <w:t>.</w:t>
      </w:r>
    </w:p>
    <w:p w14:paraId="1A751A08" w14:textId="08E62BFE" w:rsidR="00E119B9" w:rsidRDefault="00E119B9" w:rsidP="008E4F00">
      <w:pPr>
        <w:pStyle w:val="Heading3"/>
      </w:pPr>
      <w:bookmarkStart w:id="8" w:name="_Toc91071610"/>
      <w:r>
        <w:t>Shelter and living</w:t>
      </w:r>
      <w:bookmarkEnd w:id="8"/>
    </w:p>
    <w:p w14:paraId="2F695598" w14:textId="3CA31FEF" w:rsidR="00D008B8" w:rsidRDefault="00D8638D" w:rsidP="00E119B9">
      <w:r>
        <w:t>The DLE</w:t>
      </w:r>
      <w:r w:rsidR="006D071F">
        <w:t xml:space="preserve"> </w:t>
      </w:r>
      <w:r w:rsidR="00CA2001">
        <w:t>scenario</w:t>
      </w:r>
      <w:r>
        <w:t xml:space="preserve"> assumes residential floor space </w:t>
      </w:r>
      <w:r w:rsidR="006D071F">
        <w:t>of</w:t>
      </w:r>
      <w:r>
        <w:t xml:space="preserve"> 10m</w:t>
      </w:r>
      <w:r w:rsidRPr="00D8638D">
        <w:rPr>
          <w:vertAlign w:val="superscript"/>
        </w:rPr>
        <w:t>2</w:t>
      </w:r>
      <w:r>
        <w:t>/person, with an additional 20m</w:t>
      </w:r>
      <w:r w:rsidRPr="00D8638D">
        <w:rPr>
          <w:vertAlign w:val="superscript"/>
        </w:rPr>
        <w:t>2</w:t>
      </w:r>
      <w:r>
        <w:t xml:space="preserve">/household, </w:t>
      </w:r>
      <w:r w:rsidR="004F5FFD">
        <w:t>thus</w:t>
      </w:r>
      <w:r>
        <w:t xml:space="preserve"> </w:t>
      </w:r>
      <w:r w:rsidR="004F5FFD">
        <w:t>totalling</w:t>
      </w:r>
      <w:r>
        <w:t xml:space="preserve"> 15m</w:t>
      </w:r>
      <w:r w:rsidRPr="00D8638D">
        <w:rPr>
          <w:vertAlign w:val="superscript"/>
        </w:rPr>
        <w:t>2</w:t>
      </w:r>
      <w:r>
        <w:t xml:space="preserve">/person. </w:t>
      </w:r>
      <w:r w:rsidR="00F72FD0">
        <w:t>In the inequality scenarios, t</w:t>
      </w:r>
      <w:r>
        <w:t xml:space="preserve">his is increased linearly with the relative consumption curves, so that in the </w:t>
      </w:r>
      <w:r w:rsidRPr="00D8638D">
        <w:rPr>
          <w:i/>
        </w:rPr>
        <w:t>fair inequality</w:t>
      </w:r>
      <w:r>
        <w:t xml:space="preserve"> scenario</w:t>
      </w:r>
      <w:r w:rsidRPr="00D8638D">
        <w:t xml:space="preserve"> in </w:t>
      </w:r>
      <w:r w:rsidRPr="00D8638D">
        <w:rPr>
          <w:i/>
        </w:rPr>
        <w:t>meritocratic</w:t>
      </w:r>
      <w:r w:rsidRPr="00D8638D">
        <w:t xml:space="preserve"> countries</w:t>
      </w:r>
      <w:r>
        <w:t>,</w:t>
      </w:r>
      <w:r w:rsidRPr="00D8638D">
        <w:t xml:space="preserve"> the top 1%</w:t>
      </w:r>
      <w:r>
        <w:t xml:space="preserve"> have floor-space of 120m</w:t>
      </w:r>
      <w:r w:rsidRPr="00D8638D">
        <w:rPr>
          <w:vertAlign w:val="superscript"/>
        </w:rPr>
        <w:t>2</w:t>
      </w:r>
      <w:r>
        <w:t xml:space="preserve">/person. This </w:t>
      </w:r>
      <w:r w:rsidR="004F5FFD">
        <w:t xml:space="preserve">value </w:t>
      </w:r>
      <w:r w:rsidR="009B6FA5">
        <w:t>remains</w:t>
      </w:r>
      <w:r>
        <w:t xml:space="preserve"> reasonable given n</w:t>
      </w:r>
      <w:r w:rsidR="00E119B9">
        <w:t>e</w:t>
      </w:r>
      <w:r>
        <w:t>w housing in t</w:t>
      </w:r>
      <w:r w:rsidR="00E119B9">
        <w:t xml:space="preserve">he USA is </w:t>
      </w:r>
      <w:r>
        <w:t xml:space="preserve">~3,000 </w:t>
      </w:r>
      <w:r w:rsidR="00E119B9">
        <w:t>ft</w:t>
      </w:r>
      <w:r w:rsidRPr="00D8638D">
        <w:rPr>
          <w:vertAlign w:val="superscript"/>
        </w:rPr>
        <w:t>2</w:t>
      </w:r>
      <w:r w:rsidR="00E119B9">
        <w:t xml:space="preserve"> </w:t>
      </w:r>
      <w:r w:rsidR="009B6FA5">
        <w:t xml:space="preserve">on average </w:t>
      </w:r>
      <w:r w:rsidR="00E119B9">
        <w:t>for single family homes</w:t>
      </w:r>
      <w:r w:rsidR="00E119B9">
        <w:fldChar w:fldCharType="begin"/>
      </w:r>
      <w:r w:rsidR="00E119B9">
        <w:instrText xml:space="preserve"> ADDIN EN.CITE &lt;EndNote&gt;&lt;Cite&gt;&lt;Author&gt;Moura&lt;/Author&gt;&lt;Year&gt;2015&lt;/Year&gt;&lt;RecNum&gt;1453&lt;/RecNum&gt;&lt;DisplayText&gt;[3]&lt;/DisplayText&gt;&lt;record&gt;&lt;rec-number&gt;1453&lt;/rec-number&gt;&lt;foreign-keys&gt;&lt;key app="EN" db-id="trp9sxavnrpwwyeprv75wfdvdzzdv5x20asz" timestamp="1619077082"&gt;1453&lt;/key&gt;&lt;/foreign-keys&gt;&lt;ref-type name="Journal Article"&gt;17&lt;/ref-type&gt;&lt;contributors&gt;&lt;authors&gt;&lt;author&gt;Moura, MCP&lt;/author&gt;&lt;author&gt;Smith, SJ&lt;/author&gt;&lt;author&gt;Belzer, DB&lt;/author&gt;&lt;/authors&gt;&lt;/contributors&gt;&lt;titles&gt;&lt;title&gt;120 Years of U.S. Residential Housing Stock and Floor Space&lt;/title&gt;&lt;secondary-title&gt;PLOS ONE&lt;/secondary-title&gt;&lt;/titles&gt;&lt;periodical&gt;&lt;full-title&gt;PLOS ONE&lt;/full-title&gt;&lt;/periodical&gt;&lt;pages&gt;e0134135&lt;/pages&gt;&lt;volume&gt;10&lt;/volume&gt;&lt;number&gt;8&lt;/number&gt;&lt;dates&gt;&lt;year&gt;2015&lt;/year&gt;&lt;/dates&gt;&lt;urls&gt;&lt;/urls&gt;&lt;electronic-resource-num&gt;https://doi.org/10.1371/journal.pone.0134135&lt;/electronic-resource-num&gt;&lt;/record&gt;&lt;/Cite&gt;&lt;/EndNote&gt;</w:instrText>
      </w:r>
      <w:r w:rsidR="00E119B9">
        <w:fldChar w:fldCharType="separate"/>
      </w:r>
      <w:r w:rsidR="00E119B9">
        <w:rPr>
          <w:noProof/>
        </w:rPr>
        <w:t>[3]</w:t>
      </w:r>
      <w:r w:rsidR="00E119B9">
        <w:fldChar w:fldCharType="end"/>
      </w:r>
      <w:r>
        <w:t>, and</w:t>
      </w:r>
      <w:r w:rsidR="00E119B9">
        <w:t xml:space="preserve"> more expensive houses </w:t>
      </w:r>
      <w:r>
        <w:t>will be</w:t>
      </w:r>
      <w:r w:rsidR="001B26A0">
        <w:t xml:space="preserve"> much</w:t>
      </w:r>
      <w:r w:rsidR="00E119B9">
        <w:t xml:space="preserve"> </w:t>
      </w:r>
      <w:r>
        <w:t>larger</w:t>
      </w:r>
      <w:r w:rsidR="001B26A0">
        <w:t xml:space="preserve">. Assuming, for example, a </w:t>
      </w:r>
      <w:r w:rsidR="004F5FFD">
        <w:t xml:space="preserve">50% larger </w:t>
      </w:r>
      <w:r w:rsidR="001B26A0">
        <w:t>house size of 4,5</w:t>
      </w:r>
      <w:r w:rsidR="00E119B9">
        <w:t>00 ft</w:t>
      </w:r>
      <w:r w:rsidRPr="00D8638D">
        <w:rPr>
          <w:vertAlign w:val="superscript"/>
        </w:rPr>
        <w:t>2</w:t>
      </w:r>
      <w:r w:rsidR="001B26A0">
        <w:t>, this converts to 418</w:t>
      </w:r>
      <w:r w:rsidR="00E119B9">
        <w:t xml:space="preserve"> m</w:t>
      </w:r>
      <w:r w:rsidR="00E119B9" w:rsidRPr="000F0F46">
        <w:rPr>
          <w:vertAlign w:val="superscript"/>
        </w:rPr>
        <w:t>2</w:t>
      </w:r>
      <w:r w:rsidR="00E119B9">
        <w:t xml:space="preserve">, </w:t>
      </w:r>
      <w:r w:rsidR="001B26A0">
        <w:t>which for</w:t>
      </w:r>
      <w:r>
        <w:t xml:space="preserve"> household</w:t>
      </w:r>
      <w:r w:rsidR="001B26A0">
        <w:t>s</w:t>
      </w:r>
      <w:r>
        <w:t xml:space="preserve"> of</w:t>
      </w:r>
      <w:r w:rsidR="00E119B9">
        <w:t xml:space="preserve"> 3</w:t>
      </w:r>
      <w:r w:rsidR="001B26A0">
        <w:t>-4</w:t>
      </w:r>
      <w:r w:rsidR="00E119B9">
        <w:t xml:space="preserve"> people </w:t>
      </w:r>
      <w:r w:rsidR="001B26A0">
        <w:t>is</w:t>
      </w:r>
      <w:r w:rsidR="00E119B9">
        <w:t xml:space="preserve"> </w:t>
      </w:r>
      <w:r w:rsidR="001B26A0">
        <w:t>105-140</w:t>
      </w:r>
      <w:r w:rsidR="00E119B9">
        <w:t xml:space="preserve"> m</w:t>
      </w:r>
      <w:r w:rsidR="00E119B9" w:rsidRPr="000F0F46">
        <w:rPr>
          <w:vertAlign w:val="superscript"/>
        </w:rPr>
        <w:t>2</w:t>
      </w:r>
      <w:r w:rsidR="00E119B9">
        <w:t>/cap</w:t>
      </w:r>
      <w:r w:rsidR="001B26A0">
        <w:t>.</w:t>
      </w:r>
    </w:p>
    <w:p w14:paraId="22A87429" w14:textId="5713B2C5" w:rsidR="00E119B9" w:rsidRPr="000F0F46" w:rsidRDefault="00A5331D" w:rsidP="00E119B9">
      <w:r>
        <w:t xml:space="preserve">No limit is thus needed </w:t>
      </w:r>
      <w:r w:rsidR="00D008B8">
        <w:t xml:space="preserve">in the </w:t>
      </w:r>
      <w:r w:rsidR="00D008B8" w:rsidRPr="00B92F99">
        <w:rPr>
          <w:i/>
        </w:rPr>
        <w:t>fair inequality</w:t>
      </w:r>
      <w:r w:rsidR="00D008B8">
        <w:t xml:space="preserve"> scenario.</w:t>
      </w:r>
      <w:r>
        <w:t xml:space="preserve"> </w:t>
      </w:r>
      <w:r w:rsidR="00D008B8">
        <w:t>B</w:t>
      </w:r>
      <w:r>
        <w:t xml:space="preserve">ut </w:t>
      </w:r>
      <w:r w:rsidR="00B92F99">
        <w:t xml:space="preserve">in </w:t>
      </w:r>
      <w:r w:rsidR="00B92F99" w:rsidRPr="00D008B8">
        <w:rPr>
          <w:i/>
        </w:rPr>
        <w:t>meritocratic</w:t>
      </w:r>
      <w:r w:rsidR="00B92F99">
        <w:t xml:space="preserve"> countries </w:t>
      </w:r>
      <w:r>
        <w:t xml:space="preserve">in the </w:t>
      </w:r>
      <w:r w:rsidRPr="00A5331D">
        <w:rPr>
          <w:i/>
        </w:rPr>
        <w:t>fairly large</w:t>
      </w:r>
      <w:r w:rsidR="00D008B8">
        <w:t xml:space="preserve"> inequality scenario, </w:t>
      </w:r>
      <w:r>
        <w:t xml:space="preserve">where the relative consumption of the top 1% is 40 times that </w:t>
      </w:r>
      <w:r w:rsidR="00D008B8">
        <w:t>of the bottom 10%,</w:t>
      </w:r>
      <w:r w:rsidR="00C30522">
        <w:t xml:space="preserve"> we apply the same </w:t>
      </w:r>
      <w:r w:rsidR="00C30522" w:rsidRPr="006D071F">
        <w:rPr>
          <w:b/>
        </w:rPr>
        <w:t>limit of 500m</w:t>
      </w:r>
      <w:r w:rsidR="00C30522" w:rsidRPr="006D071F">
        <w:rPr>
          <w:b/>
          <w:vertAlign w:val="superscript"/>
        </w:rPr>
        <w:t>2</w:t>
      </w:r>
      <w:r w:rsidR="00C30522" w:rsidRPr="006D071F">
        <w:rPr>
          <w:b/>
        </w:rPr>
        <w:t>/cap</w:t>
      </w:r>
      <w:r>
        <w:t xml:space="preserve"> as used in the </w:t>
      </w:r>
      <w:r w:rsidRPr="00A5331D">
        <w:rPr>
          <w:i/>
        </w:rPr>
        <w:t>super-rich</w:t>
      </w:r>
      <w:r>
        <w:t xml:space="preserve"> scenario</w:t>
      </w:r>
      <w:r w:rsidR="00626B28">
        <w:t xml:space="preserve"> (see </w:t>
      </w:r>
      <w:r w:rsidR="00D008B8">
        <w:t>below</w:t>
      </w:r>
      <w:r w:rsidR="00626B28">
        <w:t>)</w:t>
      </w:r>
      <w:r>
        <w:t>.</w:t>
      </w:r>
    </w:p>
    <w:p w14:paraId="578172C7" w14:textId="0F87FD80" w:rsidR="007C6BCF" w:rsidRDefault="00E119B9" w:rsidP="008E4F00">
      <w:pPr>
        <w:pStyle w:val="Heading3"/>
      </w:pPr>
      <w:bookmarkStart w:id="9" w:name="_Toc91071611"/>
      <w:r w:rsidRPr="0059147D">
        <w:t>Water</w:t>
      </w:r>
      <w:bookmarkEnd w:id="9"/>
    </w:p>
    <w:p w14:paraId="5DD36FB5" w14:textId="7D1A8F9C" w:rsidR="00E119B9" w:rsidRPr="00547282" w:rsidRDefault="00F72FD0" w:rsidP="007C6BCF">
      <w:pPr>
        <w:rPr>
          <w:rStyle w:val="Hyperlink"/>
          <w:color w:val="auto"/>
          <w:u w:val="none"/>
        </w:rPr>
      </w:pPr>
      <w:r>
        <w:t>In the</w:t>
      </w:r>
      <w:r w:rsidRPr="00F72FD0">
        <w:t xml:space="preserve"> DLE </w:t>
      </w:r>
      <w:r w:rsidR="00CA2001">
        <w:t>scenario</w:t>
      </w:r>
      <w:r>
        <w:t>, water consumption is ~50 L/cap/day, with 15 L of this assumed to be heated water for bathing. In the inequality scenarios, this fraction is increased linearly with the relative consumption curves</w:t>
      </w:r>
      <w:r w:rsidR="00A219EB">
        <w:t xml:space="preserve">, up to </w:t>
      </w:r>
      <w:r w:rsidR="00A219EB" w:rsidRPr="00634A73">
        <w:rPr>
          <w:b/>
        </w:rPr>
        <w:t>a limit of 300 L/cap/day</w:t>
      </w:r>
      <w:r>
        <w:t xml:space="preserve">. </w:t>
      </w:r>
      <w:r w:rsidR="00A219EB">
        <w:t>This is based upon the observation</w:t>
      </w:r>
      <w:r>
        <w:t xml:space="preserve"> that modern l</w:t>
      </w:r>
      <w:r w:rsidR="00E119B9">
        <w:t xml:space="preserve">uxury showerheads </w:t>
      </w:r>
      <w:r>
        <w:t xml:space="preserve">have a flowrate of 30 L/min, meaning </w:t>
      </w:r>
      <w:r w:rsidR="00E119B9">
        <w:t xml:space="preserve">a 10 minute shower </w:t>
      </w:r>
      <w:r>
        <w:t>would use</w:t>
      </w:r>
      <w:r w:rsidR="00E119B9">
        <w:t xml:space="preserve"> 300 L</w:t>
      </w:r>
      <w:r>
        <w:t xml:space="preserve"> of water</w:t>
      </w:r>
      <w:r w:rsidR="00A219EB">
        <w:t xml:space="preserve"> – 20 times DLE consumption</w:t>
      </w:r>
      <w:r w:rsidR="00DF1E59">
        <w:t>,</w:t>
      </w:r>
      <w:r w:rsidR="00A219EB">
        <w:t xml:space="preserve"> </w:t>
      </w:r>
      <w:r w:rsidR="00DD7178">
        <w:t>or</w:t>
      </w:r>
      <w:r w:rsidR="00A219EB">
        <w:t xml:space="preserve"> </w:t>
      </w:r>
      <w:r w:rsidR="00DD7178">
        <w:t>as much</w:t>
      </w:r>
      <w:r w:rsidR="00A219EB">
        <w:t xml:space="preserve"> as 3 average baths. </w:t>
      </w:r>
      <w:r w:rsidR="00DB6D27">
        <w:t>M</w:t>
      </w:r>
      <w:r w:rsidR="00A219EB">
        <w:t xml:space="preserve">ore common in hotels are </w:t>
      </w:r>
      <w:r w:rsidR="00DB6D27">
        <w:lastRenderedPageBreak/>
        <w:t xml:space="preserve">luxury </w:t>
      </w:r>
      <w:r w:rsidR="00A219EB">
        <w:t>showerheads with flowrates of</w:t>
      </w:r>
      <w:r w:rsidR="00E119B9">
        <w:t xml:space="preserve"> 10-20 L </w:t>
      </w:r>
      <w:r w:rsidR="00E119B9">
        <w:fldChar w:fldCharType="begin"/>
      </w:r>
      <w:r w:rsidR="00E119B9">
        <w:instrText xml:space="preserve"> ADDIN EN.CITE &lt;EndNote&gt;&lt;Cite&gt;&lt;Author&gt;Styles&lt;/Author&gt;&lt;Year&gt;2017&lt;/Year&gt;&lt;RecNum&gt;1454&lt;/RecNum&gt;&lt;DisplayText&gt;[4]&lt;/DisplayText&gt;&lt;record&gt;&lt;rec-number&gt;1454&lt;/rec-number&gt;&lt;foreign-keys&gt;&lt;key app="EN" db-id="trp9sxavnrpwwyeprv75wfdvdzzdv5x20asz" timestamp="1619077946"&gt;1454&lt;/key&gt;&lt;/foreign-keys&gt;&lt;ref-type name="Report"&gt;27&lt;/ref-type&gt;&lt;contributors&gt;&lt;authors&gt;&lt;author&gt;Styles, D&lt;/author&gt;&lt;author&gt;Schönberger, H&lt;/author&gt;&lt;author&gt;Galvez Martos, JL&lt;/author&gt;&lt;/authors&gt;&lt;/contributors&gt;&lt;titles&gt;&lt;title&gt;Best Environmental Management Practice in the Tourism Sector&lt;/title&gt;&lt;/titles&gt;&lt;number&gt;EUR 26022 EN&lt;/number&gt;&lt;dates&gt;&lt;year&gt;2017&lt;/year&gt;&lt;/dates&gt;&lt;publisher&gt;European Commission&lt;/publisher&gt;&lt;urls&gt;&lt;/urls&gt;&lt;electronic-resource-num&gt;doi:10.2788/33972&lt;/electronic-resource-num&gt;&lt;/record&gt;&lt;/Cite&gt;&lt;/EndNote&gt;</w:instrText>
      </w:r>
      <w:r w:rsidR="00E119B9">
        <w:fldChar w:fldCharType="separate"/>
      </w:r>
      <w:r w:rsidR="00E119B9">
        <w:rPr>
          <w:noProof/>
        </w:rPr>
        <w:t>[4]</w:t>
      </w:r>
      <w:r w:rsidR="00E119B9">
        <w:fldChar w:fldCharType="end"/>
      </w:r>
      <w:r w:rsidR="00A219EB">
        <w:t>, which, assuming a 20 minute shower (or bi-daily 10 minute showers) would total the same 300 L/cap/day</w:t>
      </w:r>
      <w:r w:rsidR="00E119B9">
        <w:t>.</w:t>
      </w:r>
    </w:p>
    <w:p w14:paraId="7E3AC1E0" w14:textId="6F6B9288" w:rsidR="00E119B9" w:rsidRDefault="00E119B9" w:rsidP="008E4F00">
      <w:pPr>
        <w:pStyle w:val="Heading3"/>
      </w:pPr>
      <w:bookmarkStart w:id="10" w:name="_Toc91071612"/>
      <w:r>
        <w:t>Mobility</w:t>
      </w:r>
      <w:bookmarkEnd w:id="10"/>
    </w:p>
    <w:p w14:paraId="4DE9D5F3" w14:textId="66395E7F" w:rsidR="00BF501C" w:rsidRDefault="00525CA8" w:rsidP="007C6BCF">
      <w:r w:rsidRPr="00525CA8">
        <w:t>In</w:t>
      </w:r>
      <w:r>
        <w:t xml:space="preserve"> the DLE </w:t>
      </w:r>
      <w:r w:rsidR="00CA2001">
        <w:t>scenario</w:t>
      </w:r>
      <w:r>
        <w:t xml:space="preserve">, total annual km/cap </w:t>
      </w:r>
      <w:r w:rsidR="004F5FFD" w:rsidRPr="00525CA8">
        <w:t>rang</w:t>
      </w:r>
      <w:r w:rsidR="004F5FFD">
        <w:t>e</w:t>
      </w:r>
      <w:r w:rsidR="009E62CC">
        <w:t>s</w:t>
      </w:r>
      <w:r w:rsidR="004F5FFD" w:rsidRPr="00525CA8">
        <w:t xml:space="preserve"> </w:t>
      </w:r>
      <w:r w:rsidR="004F5FFD">
        <w:t>from</w:t>
      </w:r>
      <w:r w:rsidR="004F5FFD" w:rsidRPr="00525CA8">
        <w:t xml:space="preserve"> 4,900 to </w:t>
      </w:r>
      <w:r w:rsidR="004F5FFD">
        <w:t>15,000 km/cap, with variation defined as</w:t>
      </w:r>
      <w:r>
        <w:t xml:space="preserve"> a function of regional population density, and </w:t>
      </w:r>
      <w:r w:rsidR="004F5FFD">
        <w:t>mobility</w:t>
      </w:r>
      <w:r>
        <w:t xml:space="preserve"> set consistently higher in rural areas</w:t>
      </w:r>
      <w:r>
        <w:fldChar w:fldCharType="begin"/>
      </w:r>
      <w:r>
        <w:instrText xml:space="preserve"> ADDIN EN.CITE &lt;EndNote&gt;&lt;Cite&gt;&lt;Author&gt;Millward-Hopkins&lt;/Author&gt;&lt;Year&gt;2020&lt;/Year&gt;&lt;RecNum&gt;1252&lt;/RecNum&gt;&lt;DisplayText&gt;[5]&lt;/DisplayText&gt;&lt;record&gt;&lt;rec-number&gt;1252&lt;/rec-number&gt;&lt;foreign-keys&gt;&lt;key app="EN" db-id="trp9sxavnrpwwyeprv75wfdvdzzdv5x20asz" timestamp="1598610423"&gt;1252&lt;/key&gt;&lt;/foreign-keys&gt;&lt;ref-type name="Journal Article"&gt;17&lt;/ref-type&gt;&lt;contributors&gt;&lt;authors&gt;&lt;author&gt;Millward-Hopkins, Joel&lt;/author&gt;&lt;author&gt;Steinberger, Julia K.&lt;/author&gt;&lt;author&gt;Rao, Narasimha D.&lt;/author&gt;&lt;author&gt;Oswald, Yannick&lt;/author&gt;&lt;/authors&gt;&lt;/contributors&gt;&lt;titles&gt;&lt;title&gt;Providing Decent Living with Minimum Energy: A Global Scenario&lt;/title&gt;&lt;secondary-title&gt;Global Environmental Change&lt;/secondary-title&gt;&lt;/titles&gt;&lt;periodical&gt;&lt;full-title&gt;Global Environmental Change&lt;/full-title&gt;&lt;/periodical&gt;&lt;pages&gt;102168&lt;/pages&gt;&lt;volume&gt;65&lt;/volume&gt;&lt;keywords&gt;&lt;keyword&gt;Basic needs&lt;/keyword&gt;&lt;keyword&gt;Climate change&lt;/keyword&gt;&lt;keyword&gt;Demand&lt;/keyword&gt;&lt;keyword&gt;Energy&lt;/keyword&gt;&lt;keyword&gt;Inequality&lt;/keyword&gt;&lt;keyword&gt;Sufficiency&lt;/keyword&gt;&lt;/keywords&gt;&lt;dates&gt;&lt;year&gt;2020&lt;/year&gt;&lt;/dates&gt;&lt;urls&gt;&lt;/urls&gt;&lt;electronic-resource-num&gt;https://doi.org/10.1016/j.gloenvcha.2020.102168&lt;/electronic-resource-num&gt;&lt;/record&gt;&lt;/Cite&gt;&lt;/EndNote&gt;</w:instrText>
      </w:r>
      <w:r>
        <w:fldChar w:fldCharType="separate"/>
      </w:r>
      <w:r>
        <w:rPr>
          <w:noProof/>
        </w:rPr>
        <w:t>[5]</w:t>
      </w:r>
      <w:r>
        <w:fldChar w:fldCharType="end"/>
      </w:r>
      <w:r>
        <w:t>. After removing non-motorised and air travel from this total</w:t>
      </w:r>
      <w:r w:rsidR="00426B83">
        <w:t xml:space="preserve"> (assumed to be ~1,000 km/cap each)</w:t>
      </w:r>
      <w:r>
        <w:t>, the remaining kilometres are divided between rail, buses and cars (</w:t>
      </w:r>
      <w:r w:rsidR="00426B83">
        <w:t xml:space="preserve">40%, 40% and </w:t>
      </w:r>
      <w:r>
        <w:t>20%</w:t>
      </w:r>
      <w:r w:rsidR="00426B83">
        <w:t>, respectively</w:t>
      </w:r>
      <w:r>
        <w:t>)</w:t>
      </w:r>
      <w:r w:rsidR="00426B83">
        <w:t>.</w:t>
      </w:r>
      <w:r w:rsidR="00B85007">
        <w:t xml:space="preserve"> </w:t>
      </w:r>
      <w:r w:rsidR="00426B83">
        <w:t xml:space="preserve">In the inequality scenarios, kilometres by car are increased linearly with the relative consumption curves, and those by train and bus are decreased accordingly. </w:t>
      </w:r>
      <w:r w:rsidR="009E62CC">
        <w:t>In cases when</w:t>
      </w:r>
      <w:r w:rsidR="00426B83">
        <w:t xml:space="preserve"> car travel </w:t>
      </w:r>
      <w:r w:rsidR="00CB1C26">
        <w:t>fully displaces</w:t>
      </w:r>
      <w:r w:rsidR="00426B83">
        <w:t xml:space="preserve"> train and bus travel (</w:t>
      </w:r>
      <w:r w:rsidR="009E62CC">
        <w:t>i.e.</w:t>
      </w:r>
      <w:r w:rsidR="00426B83">
        <w:t xml:space="preserve"> when the relative consumption curve </w:t>
      </w:r>
      <w:r w:rsidR="00CB1C26">
        <w:t>exceeds</w:t>
      </w:r>
      <w:r w:rsidR="00426B83">
        <w:t xml:space="preserve"> 5</w:t>
      </w:r>
      <w:r w:rsidR="009E62CC">
        <w:t xml:space="preserve">, as 20% </w:t>
      </w:r>
      <w:r w:rsidR="009E62CC">
        <w:rPr>
          <w:rFonts w:cstheme="minorHAnsi"/>
        </w:rPr>
        <w:t>×</w:t>
      </w:r>
      <w:r w:rsidR="009E62CC">
        <w:t xml:space="preserve"> 5 = 100%</w:t>
      </w:r>
      <w:r w:rsidR="00426B83">
        <w:t xml:space="preserve">), </w:t>
      </w:r>
      <w:r w:rsidR="009E62CC">
        <w:t>total mobility is then increased to account for further increases in car travel</w:t>
      </w:r>
      <w:r w:rsidR="00426B83">
        <w:t xml:space="preserve">. </w:t>
      </w:r>
      <w:r w:rsidR="00CF0D50">
        <w:t>In contrast, a</w:t>
      </w:r>
      <w:r w:rsidR="00426B83">
        <w:t>ir travel is</w:t>
      </w:r>
      <w:r w:rsidR="007C6BCF" w:rsidRPr="00426B83">
        <w:t xml:space="preserve"> increased linearly</w:t>
      </w:r>
      <w:r w:rsidR="00426B83">
        <w:t xml:space="preserve"> with no such displacement</w:t>
      </w:r>
      <w:r w:rsidR="00CB1C26">
        <w:t xml:space="preserve"> effect</w:t>
      </w:r>
      <w:r w:rsidR="00BF501C">
        <w:t>.</w:t>
      </w:r>
    </w:p>
    <w:p w14:paraId="43A64E55" w14:textId="2D7A12DC" w:rsidR="00B85007" w:rsidRDefault="00BF501C" w:rsidP="009614CF">
      <w:r>
        <w:t xml:space="preserve">The resulting values for both car and air travel </w:t>
      </w:r>
      <w:r w:rsidR="00E30C08">
        <w:t>appear</w:t>
      </w:r>
      <w:r w:rsidR="005D24CE">
        <w:t xml:space="preserve"> reasonable. For </w:t>
      </w:r>
      <w:r w:rsidR="005D24CE" w:rsidRPr="00BF501C">
        <w:rPr>
          <w:i/>
        </w:rPr>
        <w:t>meritocratic</w:t>
      </w:r>
      <w:r w:rsidR="005D24CE">
        <w:t xml:space="preserve"> countries in the </w:t>
      </w:r>
      <w:r w:rsidR="005D24CE">
        <w:rPr>
          <w:i/>
        </w:rPr>
        <w:t xml:space="preserve">fair inequality </w:t>
      </w:r>
      <w:r w:rsidR="005D24CE">
        <w:t>scenario,</w:t>
      </w:r>
      <w:r>
        <w:t xml:space="preserve"> </w:t>
      </w:r>
      <w:r w:rsidR="005D24CE">
        <w:t xml:space="preserve">annual car travel for </w:t>
      </w:r>
      <w:r>
        <w:t>the top 1%</w:t>
      </w:r>
      <w:r w:rsidR="005D24CE">
        <w:t xml:space="preserve"> in</w:t>
      </w:r>
      <w:r>
        <w:t xml:space="preserve"> </w:t>
      </w:r>
      <w:r w:rsidR="005D24CE">
        <w:t>the most sparsely populated countries i</w:t>
      </w:r>
      <w:r w:rsidR="00E30C08">
        <w:t>s ~13,000 km/cap to 20,000 km/cap</w:t>
      </w:r>
      <w:r w:rsidR="005D24CE">
        <w:t xml:space="preserve"> </w:t>
      </w:r>
      <w:r w:rsidR="00E30C08">
        <w:t>(</w:t>
      </w:r>
      <w:r w:rsidR="009E62CC">
        <w:t>for</w:t>
      </w:r>
      <w:r w:rsidR="005D24CE">
        <w:t xml:space="preserve"> urban </w:t>
      </w:r>
      <w:r w:rsidR="009E62CC">
        <w:t>and</w:t>
      </w:r>
      <w:r w:rsidR="00E30C08">
        <w:t xml:space="preserve"> </w:t>
      </w:r>
      <w:r w:rsidR="005D24CE">
        <w:t>rural populations</w:t>
      </w:r>
      <w:r w:rsidR="009E62CC">
        <w:t>, respectively</w:t>
      </w:r>
      <w:r w:rsidR="00E30C08">
        <w:t>)</w:t>
      </w:r>
      <w:r w:rsidR="005D24CE">
        <w:t xml:space="preserve">. The latter is </w:t>
      </w:r>
      <w:r w:rsidR="008C281E">
        <w:t>less than the c</w:t>
      </w:r>
      <w:r w:rsidR="005D24CE">
        <w:t xml:space="preserve">urrent </w:t>
      </w:r>
      <w:r w:rsidR="008C281E">
        <w:t xml:space="preserve">distances travelled per person </w:t>
      </w:r>
      <w:r w:rsidR="005D24CE">
        <w:t>by car in the USA</w:t>
      </w:r>
      <w:r w:rsidR="005D24CE">
        <w:fldChar w:fldCharType="begin"/>
      </w:r>
      <w:r w:rsidR="005D24CE">
        <w:instrText xml:space="preserve"> ADDIN EN.CITE &lt;EndNote&gt;&lt;Cite&gt;&lt;Author&gt;IEA&lt;/Author&gt;&lt;Year&gt;2017&lt;/Year&gt;&lt;RecNum&gt;1027&lt;/RecNum&gt;&lt;DisplayText&gt;[6]&lt;/DisplayText&gt;&lt;record&gt;&lt;rec-number&gt;1027&lt;/rec-number&gt;&lt;foreign-keys&gt;&lt;key app="EN" db-id="trp9sxavnrpwwyeprv75wfdvdzzdv5x20asz" timestamp="1570023024"&gt;1027&lt;/key&gt;&lt;/foreign-keys&gt;&lt;ref-type name="Report"&gt;27&lt;/ref-type&gt;&lt;contributors&gt;&lt;authors&gt;&lt;author&gt;IEA&lt;/author&gt;&lt;/authors&gt;&lt;/contributors&gt;&lt;titles&gt;&lt;title&gt;Energy Technology Perspectives 2017: Catalysing Energy Technology Transformations &lt;/title&gt;&lt;/titles&gt;&lt;dates&gt;&lt;year&gt;2017&lt;/year&gt;&lt;/dates&gt;&lt;publisher&gt;OECD/IEA&lt;/publisher&gt;&lt;urls&gt;&lt;/urls&gt;&lt;electronic-resource-num&gt;http://dx.doi.org/10.1787/energy_tech-2017-en&lt;/electronic-resource-num&gt;&lt;/record&gt;&lt;/Cite&gt;&lt;/EndNote&gt;</w:instrText>
      </w:r>
      <w:r w:rsidR="005D24CE">
        <w:fldChar w:fldCharType="separate"/>
      </w:r>
      <w:r w:rsidR="005D24CE">
        <w:rPr>
          <w:noProof/>
        </w:rPr>
        <w:t>[6]</w:t>
      </w:r>
      <w:r w:rsidR="005D24CE">
        <w:fldChar w:fldCharType="end"/>
      </w:r>
      <w:r w:rsidR="005D24CE">
        <w:t>. Annual a</w:t>
      </w:r>
      <w:r>
        <w:t xml:space="preserve">ir travel </w:t>
      </w:r>
      <w:r w:rsidR="005D24CE">
        <w:t xml:space="preserve">for </w:t>
      </w:r>
      <w:r w:rsidR="005D24CE" w:rsidRPr="00BF501C">
        <w:rPr>
          <w:i/>
        </w:rPr>
        <w:t>meritocratic</w:t>
      </w:r>
      <w:r w:rsidR="005D24CE">
        <w:t xml:space="preserve"> countries in the </w:t>
      </w:r>
      <w:r w:rsidR="005D24CE">
        <w:rPr>
          <w:i/>
        </w:rPr>
        <w:t xml:space="preserve">fair inequality </w:t>
      </w:r>
      <w:r w:rsidR="005D24CE">
        <w:t xml:space="preserve">scenario </w:t>
      </w:r>
      <w:r w:rsidR="008132AE">
        <w:t>is equivalent to ~3</w:t>
      </w:r>
      <w:r>
        <w:t xml:space="preserve"> </w:t>
      </w:r>
      <w:r w:rsidR="008132AE">
        <w:t>short-</w:t>
      </w:r>
      <w:r w:rsidR="005D24CE">
        <w:t xml:space="preserve">haul </w:t>
      </w:r>
      <w:r w:rsidR="008132AE">
        <w:t xml:space="preserve">return trips per </w:t>
      </w:r>
      <w:r>
        <w:t>year</w:t>
      </w:r>
      <w:r w:rsidR="005D24CE">
        <w:t xml:space="preserve">; far less than many </w:t>
      </w:r>
      <w:r w:rsidR="002B76E2">
        <w:t>currently</w:t>
      </w:r>
      <w:r w:rsidR="0022556C">
        <w:t xml:space="preserve"> fly</w:t>
      </w:r>
      <w:r w:rsidR="00B85007">
        <w:t>.</w:t>
      </w:r>
    </w:p>
    <w:p w14:paraId="00B32340" w14:textId="56C994A4" w:rsidR="005E78B4" w:rsidRDefault="009614CF" w:rsidP="007D6B71">
      <w:r>
        <w:t xml:space="preserve">For </w:t>
      </w:r>
      <w:r>
        <w:rPr>
          <w:i/>
        </w:rPr>
        <w:t xml:space="preserve">meritocratic </w:t>
      </w:r>
      <w:r>
        <w:t xml:space="preserve">countries in the </w:t>
      </w:r>
      <w:r w:rsidRPr="00A5331D">
        <w:rPr>
          <w:i/>
        </w:rPr>
        <w:t>fairly large</w:t>
      </w:r>
      <w:r>
        <w:t xml:space="preserve"> inequality scenario, </w:t>
      </w:r>
      <w:r w:rsidR="00B85007">
        <w:t xml:space="preserve">linearly increasing car travel would be unrealistic for the top 1%, so </w:t>
      </w:r>
      <w:r>
        <w:t xml:space="preserve">we apply the same limits as used in the </w:t>
      </w:r>
      <w:r w:rsidRPr="00A5331D">
        <w:rPr>
          <w:i/>
        </w:rPr>
        <w:t>super-rich</w:t>
      </w:r>
      <w:r>
        <w:t xml:space="preserve"> scenario for car travel (see details below).</w:t>
      </w:r>
      <w:r w:rsidR="00B85007">
        <w:t xml:space="preserve"> For air travel, however, a linear increase with no limits remains reasonable, as it leaves the top 1% flying the equivalent of ~2-4 </w:t>
      </w:r>
      <w:r w:rsidR="008132AE">
        <w:t>long-</w:t>
      </w:r>
      <w:r w:rsidR="00B85007">
        <w:t xml:space="preserve">haul </w:t>
      </w:r>
      <w:r w:rsidR="008132AE">
        <w:t xml:space="preserve">return trips per </w:t>
      </w:r>
      <w:r w:rsidR="00B85007">
        <w:t>year.</w:t>
      </w:r>
    </w:p>
    <w:p w14:paraId="49F5BE56" w14:textId="19C14495" w:rsidR="00D73E82" w:rsidRPr="00950C87" w:rsidRDefault="003F0CBA" w:rsidP="00950C87">
      <w:pPr>
        <w:spacing w:before="360"/>
        <w:rPr>
          <w:sz w:val="21"/>
          <w:szCs w:val="21"/>
        </w:rPr>
      </w:pPr>
      <w:r w:rsidRPr="00950C87">
        <w:rPr>
          <w:b/>
          <w:sz w:val="21"/>
          <w:szCs w:val="21"/>
        </w:rPr>
        <w:t>Table SI</w:t>
      </w:r>
      <w:r w:rsidR="000C1B2A" w:rsidRPr="00950C87">
        <w:rPr>
          <w:b/>
          <w:sz w:val="21"/>
          <w:szCs w:val="21"/>
        </w:rPr>
        <w:t>3</w:t>
      </w:r>
      <w:r w:rsidR="00D73E82" w:rsidRPr="00950C87">
        <w:rPr>
          <w:b/>
          <w:sz w:val="21"/>
          <w:szCs w:val="21"/>
        </w:rPr>
        <w:t>:</w:t>
      </w:r>
      <w:r w:rsidR="00D73E82" w:rsidRPr="00950C87">
        <w:rPr>
          <w:sz w:val="21"/>
          <w:szCs w:val="21"/>
        </w:rPr>
        <w:t xml:space="preserve">  </w:t>
      </w:r>
      <w:r w:rsidR="000C1B2A" w:rsidRPr="00950C87">
        <w:rPr>
          <w:sz w:val="21"/>
          <w:szCs w:val="21"/>
        </w:rPr>
        <w:t>The l</w:t>
      </w:r>
      <w:r w:rsidR="00D73E82" w:rsidRPr="00950C87">
        <w:rPr>
          <w:sz w:val="21"/>
          <w:szCs w:val="21"/>
        </w:rPr>
        <w:t>imits</w:t>
      </w:r>
      <w:r w:rsidR="000C1B2A" w:rsidRPr="00950C87">
        <w:rPr>
          <w:sz w:val="21"/>
          <w:szCs w:val="21"/>
        </w:rPr>
        <w:t xml:space="preserve"> (or ‘saturation points’) </w:t>
      </w:r>
      <w:r w:rsidR="006F1C79" w:rsidRPr="00950C87">
        <w:rPr>
          <w:sz w:val="21"/>
          <w:szCs w:val="21"/>
        </w:rPr>
        <w:t>defined</w:t>
      </w:r>
      <w:r w:rsidR="000C1B2A" w:rsidRPr="00950C87">
        <w:rPr>
          <w:sz w:val="21"/>
          <w:szCs w:val="21"/>
        </w:rPr>
        <w:t xml:space="preserve"> </w:t>
      </w:r>
      <w:r w:rsidR="006F1C79" w:rsidRPr="00950C87">
        <w:rPr>
          <w:sz w:val="21"/>
          <w:szCs w:val="21"/>
        </w:rPr>
        <w:t>for</w:t>
      </w:r>
      <w:r w:rsidR="000C1B2A" w:rsidRPr="00950C87">
        <w:rPr>
          <w:sz w:val="21"/>
          <w:szCs w:val="21"/>
        </w:rPr>
        <w:t xml:space="preserve"> consumption categories, and indication of the scenarios for which these limits </w:t>
      </w:r>
      <w:r w:rsidR="006F1C79" w:rsidRPr="00950C87">
        <w:rPr>
          <w:sz w:val="21"/>
          <w:szCs w:val="21"/>
        </w:rPr>
        <w:t>apply</w:t>
      </w:r>
      <w:r w:rsidR="000C1B2A" w:rsidRPr="00950C87">
        <w:rPr>
          <w:sz w:val="21"/>
          <w:szCs w:val="21"/>
        </w:rPr>
        <w:t xml:space="preserve"> (highlighted red)</w:t>
      </w:r>
      <w:r w:rsidR="00980AD1" w:rsidRPr="00950C87">
        <w:rPr>
          <w:sz w:val="21"/>
          <w:szCs w:val="21"/>
        </w:rPr>
        <w:t xml:space="preserve">. </w:t>
      </w:r>
      <w:r w:rsidR="000C1B2A" w:rsidRPr="00950C87">
        <w:rPr>
          <w:sz w:val="21"/>
          <w:szCs w:val="21"/>
        </w:rPr>
        <w:t>S</w:t>
      </w:r>
      <w:r w:rsidR="00980AD1" w:rsidRPr="00950C87">
        <w:rPr>
          <w:sz w:val="21"/>
          <w:szCs w:val="21"/>
        </w:rPr>
        <w:t>ome</w:t>
      </w:r>
      <w:r w:rsidR="00B90D1B" w:rsidRPr="00950C87">
        <w:rPr>
          <w:sz w:val="21"/>
          <w:szCs w:val="21"/>
        </w:rPr>
        <w:t xml:space="preserve"> of the</w:t>
      </w:r>
      <w:r w:rsidR="00980AD1" w:rsidRPr="00950C87">
        <w:rPr>
          <w:sz w:val="21"/>
          <w:szCs w:val="21"/>
        </w:rPr>
        <w:t xml:space="preserve"> limits intended for the </w:t>
      </w:r>
      <w:r w:rsidR="00980AD1" w:rsidRPr="00950C87">
        <w:rPr>
          <w:i/>
          <w:sz w:val="21"/>
          <w:szCs w:val="21"/>
        </w:rPr>
        <w:t>Super-rich</w:t>
      </w:r>
      <w:r w:rsidR="00980AD1" w:rsidRPr="00950C87">
        <w:rPr>
          <w:sz w:val="21"/>
          <w:szCs w:val="21"/>
        </w:rPr>
        <w:t xml:space="preserve"> scenario</w:t>
      </w:r>
      <w:r w:rsidR="00B90D1B" w:rsidRPr="00950C87">
        <w:rPr>
          <w:sz w:val="21"/>
          <w:szCs w:val="21"/>
        </w:rPr>
        <w:t xml:space="preserve"> (identified by the</w:t>
      </w:r>
      <w:r w:rsidR="00AD0DF2" w:rsidRPr="00950C87">
        <w:rPr>
          <w:sz w:val="21"/>
          <w:szCs w:val="21"/>
        </w:rPr>
        <w:t xml:space="preserve"> symbol</w:t>
      </w:r>
      <w:r w:rsidR="00B90D1B" w:rsidRPr="00950C87">
        <w:rPr>
          <w:sz w:val="21"/>
          <w:szCs w:val="21"/>
        </w:rPr>
        <w:t xml:space="preserve"> </w:t>
      </w:r>
      <w:r w:rsidR="00AD0DF2" w:rsidRPr="00950C87">
        <w:rPr>
          <w:sz w:val="21"/>
          <w:szCs w:val="21"/>
        </w:rPr>
        <w:t>‘∆’</w:t>
      </w:r>
      <w:r w:rsidR="00B90D1B" w:rsidRPr="00950C87">
        <w:rPr>
          <w:sz w:val="21"/>
          <w:szCs w:val="21"/>
        </w:rPr>
        <w:t>)</w:t>
      </w:r>
      <w:r w:rsidR="00980AD1" w:rsidRPr="00950C87">
        <w:rPr>
          <w:sz w:val="21"/>
          <w:szCs w:val="21"/>
        </w:rPr>
        <w:t xml:space="preserve"> also </w:t>
      </w:r>
      <w:r w:rsidR="006F1C79" w:rsidRPr="00950C87">
        <w:rPr>
          <w:sz w:val="21"/>
          <w:szCs w:val="21"/>
        </w:rPr>
        <w:t>apply</w:t>
      </w:r>
      <w:r w:rsidR="00980AD1" w:rsidRPr="00950C87">
        <w:rPr>
          <w:sz w:val="21"/>
          <w:szCs w:val="21"/>
        </w:rPr>
        <w:t xml:space="preserve"> in the </w:t>
      </w:r>
      <w:r w:rsidR="00980AD1" w:rsidRPr="00950C87">
        <w:rPr>
          <w:i/>
          <w:sz w:val="21"/>
          <w:szCs w:val="21"/>
        </w:rPr>
        <w:t>Fairly large</w:t>
      </w:r>
      <w:r w:rsidR="00980AD1" w:rsidRPr="00950C87">
        <w:rPr>
          <w:sz w:val="21"/>
          <w:szCs w:val="21"/>
        </w:rPr>
        <w:t xml:space="preserve"> inequality scenario for </w:t>
      </w:r>
      <w:r w:rsidR="00980AD1" w:rsidRPr="00950C87">
        <w:rPr>
          <w:i/>
          <w:sz w:val="21"/>
          <w:szCs w:val="21"/>
        </w:rPr>
        <w:t xml:space="preserve">meritocratic </w:t>
      </w:r>
      <w:r w:rsidR="000C1B2A" w:rsidRPr="00950C87">
        <w:rPr>
          <w:sz w:val="21"/>
          <w:szCs w:val="21"/>
        </w:rPr>
        <w:t>countries, leaving</w:t>
      </w:r>
      <w:r w:rsidR="00980AD1" w:rsidRPr="00950C87">
        <w:rPr>
          <w:sz w:val="21"/>
          <w:szCs w:val="21"/>
        </w:rPr>
        <w:t xml:space="preserve"> </w:t>
      </w:r>
      <w:r w:rsidR="000C1B2A" w:rsidRPr="00950C87">
        <w:rPr>
          <w:sz w:val="21"/>
          <w:szCs w:val="21"/>
        </w:rPr>
        <w:t>c</w:t>
      </w:r>
      <w:r w:rsidR="00980AD1" w:rsidRPr="00950C87">
        <w:rPr>
          <w:sz w:val="21"/>
          <w:szCs w:val="21"/>
        </w:rPr>
        <w:t xml:space="preserve">onsumption of the top 1% in these countries at the super-rich level described in the main paper, even outside of the </w:t>
      </w:r>
      <w:r w:rsidR="00980AD1" w:rsidRPr="00950C87">
        <w:rPr>
          <w:i/>
          <w:sz w:val="21"/>
          <w:szCs w:val="21"/>
        </w:rPr>
        <w:t>Super-rich</w:t>
      </w:r>
      <w:r w:rsidR="00B90D1B" w:rsidRPr="00950C87">
        <w:rPr>
          <w:sz w:val="21"/>
          <w:szCs w:val="21"/>
        </w:rPr>
        <w:t xml:space="preserve"> scenario.</w:t>
      </w:r>
      <w:r w:rsidR="00980AD1" w:rsidRPr="00950C87">
        <w:rPr>
          <w:sz w:val="21"/>
          <w:szCs w:val="21"/>
        </w:rPr>
        <w:t xml:space="preserve"> </w:t>
      </w:r>
      <w:r w:rsidR="00B90D1B" w:rsidRPr="00950C87">
        <w:rPr>
          <w:sz w:val="21"/>
          <w:szCs w:val="21"/>
        </w:rPr>
        <w:t>H</w:t>
      </w:r>
      <w:r w:rsidR="00980AD1" w:rsidRPr="00950C87">
        <w:rPr>
          <w:sz w:val="21"/>
          <w:szCs w:val="21"/>
        </w:rPr>
        <w:t xml:space="preserve">owever, </w:t>
      </w:r>
      <w:r w:rsidR="001579E3" w:rsidRPr="00950C87">
        <w:rPr>
          <w:sz w:val="21"/>
          <w:szCs w:val="21"/>
        </w:rPr>
        <w:t>there are only 11</w:t>
      </w:r>
      <w:r w:rsidR="00980AD1" w:rsidRPr="00950C87">
        <w:rPr>
          <w:sz w:val="21"/>
          <w:szCs w:val="21"/>
        </w:rPr>
        <w:t xml:space="preserve"> countries in which this occurs.</w:t>
      </w:r>
      <w:r w:rsidR="009B51C8" w:rsidRPr="00950C87">
        <w:rPr>
          <w:sz w:val="21"/>
          <w:szCs w:val="21"/>
        </w:rPr>
        <w:t xml:space="preserve"> Note that</w:t>
      </w:r>
      <w:r w:rsidR="002A4B31" w:rsidRPr="00950C87">
        <w:rPr>
          <w:sz w:val="21"/>
          <w:szCs w:val="21"/>
        </w:rPr>
        <w:t xml:space="preserve"> </w:t>
      </w:r>
      <w:r w:rsidR="00283E88" w:rsidRPr="00950C87">
        <w:rPr>
          <w:i/>
          <w:sz w:val="21"/>
          <w:szCs w:val="21"/>
        </w:rPr>
        <w:t>E</w:t>
      </w:r>
      <w:r w:rsidR="002A4B31" w:rsidRPr="00950C87">
        <w:rPr>
          <w:sz w:val="21"/>
          <w:szCs w:val="21"/>
        </w:rPr>
        <w:t xml:space="preserve"> = </w:t>
      </w:r>
      <w:r w:rsidR="002A4B31" w:rsidRPr="00950C87">
        <w:rPr>
          <w:i/>
          <w:sz w:val="21"/>
          <w:szCs w:val="21"/>
        </w:rPr>
        <w:t>egalitarian</w:t>
      </w:r>
      <w:r w:rsidR="00283E88" w:rsidRPr="00950C87">
        <w:rPr>
          <w:i/>
          <w:sz w:val="21"/>
          <w:szCs w:val="21"/>
        </w:rPr>
        <w:t>s</w:t>
      </w:r>
      <w:r w:rsidR="002A4B31" w:rsidRPr="00950C87">
        <w:rPr>
          <w:sz w:val="21"/>
          <w:szCs w:val="21"/>
        </w:rPr>
        <w:t xml:space="preserve">, </w:t>
      </w:r>
      <w:r w:rsidR="002A4B31" w:rsidRPr="00950C87">
        <w:rPr>
          <w:i/>
          <w:sz w:val="21"/>
          <w:szCs w:val="21"/>
        </w:rPr>
        <w:t>M</w:t>
      </w:r>
      <w:r w:rsidR="00283E88" w:rsidRPr="00950C87">
        <w:rPr>
          <w:i/>
          <w:sz w:val="21"/>
          <w:szCs w:val="21"/>
        </w:rPr>
        <w:t>o</w:t>
      </w:r>
      <w:r w:rsidR="002A4B31" w:rsidRPr="00950C87">
        <w:rPr>
          <w:sz w:val="21"/>
          <w:szCs w:val="21"/>
        </w:rPr>
        <w:t xml:space="preserve"> = </w:t>
      </w:r>
      <w:r w:rsidR="00283E88" w:rsidRPr="00950C87">
        <w:rPr>
          <w:i/>
          <w:sz w:val="21"/>
          <w:szCs w:val="21"/>
        </w:rPr>
        <w:t>M</w:t>
      </w:r>
      <w:r w:rsidR="002A4B31" w:rsidRPr="00950C87">
        <w:rPr>
          <w:i/>
          <w:sz w:val="21"/>
          <w:szCs w:val="21"/>
        </w:rPr>
        <w:t>oderates</w:t>
      </w:r>
      <w:r w:rsidR="002A4B31" w:rsidRPr="00950C87">
        <w:rPr>
          <w:sz w:val="21"/>
          <w:szCs w:val="21"/>
        </w:rPr>
        <w:t xml:space="preserve"> and </w:t>
      </w:r>
      <w:r w:rsidR="002A4B31" w:rsidRPr="00950C87">
        <w:rPr>
          <w:i/>
          <w:sz w:val="21"/>
          <w:szCs w:val="21"/>
        </w:rPr>
        <w:t>Me</w:t>
      </w:r>
      <w:r w:rsidR="002A4B31" w:rsidRPr="00950C87">
        <w:rPr>
          <w:sz w:val="21"/>
          <w:szCs w:val="21"/>
        </w:rPr>
        <w:t xml:space="preserve"> = </w:t>
      </w:r>
      <w:r w:rsidR="00283E88" w:rsidRPr="00950C87">
        <w:rPr>
          <w:i/>
          <w:sz w:val="21"/>
          <w:szCs w:val="21"/>
        </w:rPr>
        <w:t>M</w:t>
      </w:r>
      <w:r w:rsidR="002A4B31" w:rsidRPr="00950C87">
        <w:rPr>
          <w:i/>
          <w:sz w:val="21"/>
          <w:szCs w:val="21"/>
        </w:rPr>
        <w:t>eritocrats</w:t>
      </w:r>
      <w:r w:rsidR="002A4B31" w:rsidRPr="00950C87">
        <w:rPr>
          <w:sz w:val="21"/>
          <w:szCs w:val="21"/>
        </w:rPr>
        <w:t>,</w:t>
      </w:r>
      <w:r w:rsidR="00283E88" w:rsidRPr="00950C87">
        <w:rPr>
          <w:sz w:val="21"/>
          <w:szCs w:val="21"/>
        </w:rPr>
        <w:t xml:space="preserve"> with the top 1% to bottom 10% ratios in brackets, as reported in the main text.</w:t>
      </w:r>
    </w:p>
    <w:tbl>
      <w:tblPr>
        <w:tblStyle w:val="TableGrid"/>
        <w:tblW w:w="88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28" w:type="dxa"/>
          <w:bottom w:w="57" w:type="dxa"/>
          <w:right w:w="28" w:type="dxa"/>
        </w:tblCellMar>
        <w:tblLook w:val="04A0" w:firstRow="1" w:lastRow="0" w:firstColumn="1" w:lastColumn="0" w:noHBand="0" w:noVBand="1"/>
      </w:tblPr>
      <w:tblGrid>
        <w:gridCol w:w="1410"/>
        <w:gridCol w:w="1984"/>
        <w:gridCol w:w="1435"/>
        <w:gridCol w:w="555"/>
        <w:gridCol w:w="554"/>
        <w:gridCol w:w="554"/>
        <w:gridCol w:w="557"/>
        <w:gridCol w:w="556"/>
        <w:gridCol w:w="555"/>
        <w:gridCol w:w="688"/>
      </w:tblGrid>
      <w:tr w:rsidR="00A009A0" w14:paraId="3885055C" w14:textId="77777777" w:rsidTr="003232FA">
        <w:tc>
          <w:tcPr>
            <w:tcW w:w="3394" w:type="dxa"/>
            <w:gridSpan w:val="2"/>
            <w:vMerge w:val="restart"/>
            <w:vAlign w:val="center"/>
          </w:tcPr>
          <w:p w14:paraId="339D2882" w14:textId="2C6B0C86" w:rsidR="00A009A0" w:rsidRDefault="00A009A0" w:rsidP="00A009A0">
            <w:pPr>
              <w:spacing w:after="0"/>
              <w:jc w:val="center"/>
            </w:pPr>
            <w:r w:rsidRPr="00A009A0">
              <w:rPr>
                <w:b/>
                <w:sz w:val="28"/>
              </w:rPr>
              <w:t>Consumption category</w:t>
            </w:r>
          </w:p>
        </w:tc>
        <w:tc>
          <w:tcPr>
            <w:tcW w:w="1435" w:type="dxa"/>
            <w:vMerge w:val="restart"/>
            <w:shd w:val="clear" w:color="auto" w:fill="auto"/>
            <w:vAlign w:val="center"/>
          </w:tcPr>
          <w:p w14:paraId="2F27CDC8" w14:textId="04842D32" w:rsidR="00A009A0" w:rsidRPr="00A009A0" w:rsidRDefault="00A009A0" w:rsidP="00A009A0">
            <w:pPr>
              <w:spacing w:after="0"/>
              <w:jc w:val="center"/>
              <w:rPr>
                <w:b/>
              </w:rPr>
            </w:pPr>
            <w:r w:rsidRPr="00A009A0">
              <w:rPr>
                <w:b/>
                <w:sz w:val="28"/>
              </w:rPr>
              <w:t>Limits</w:t>
            </w:r>
          </w:p>
        </w:tc>
        <w:tc>
          <w:tcPr>
            <w:tcW w:w="4019" w:type="dxa"/>
            <w:gridSpan w:val="7"/>
            <w:shd w:val="clear" w:color="auto" w:fill="auto"/>
            <w:vAlign w:val="center"/>
          </w:tcPr>
          <w:p w14:paraId="766FC27C" w14:textId="21E004FB" w:rsidR="00A009A0" w:rsidRDefault="00A009A0" w:rsidP="00A009A0">
            <w:pPr>
              <w:spacing w:after="0"/>
              <w:jc w:val="center"/>
            </w:pPr>
            <w:r>
              <w:rPr>
                <w:b/>
                <w:sz w:val="24"/>
              </w:rPr>
              <w:t>Scenarios where limits apply</w:t>
            </w:r>
          </w:p>
        </w:tc>
      </w:tr>
      <w:tr w:rsidR="00A009A0" w14:paraId="6EAD9AEF" w14:textId="77777777" w:rsidTr="003232FA">
        <w:tc>
          <w:tcPr>
            <w:tcW w:w="3394" w:type="dxa"/>
            <w:gridSpan w:val="2"/>
            <w:vMerge/>
            <w:vAlign w:val="center"/>
          </w:tcPr>
          <w:p w14:paraId="185B64CF" w14:textId="77777777" w:rsidR="00A009A0" w:rsidRDefault="00A009A0" w:rsidP="00A009A0">
            <w:pPr>
              <w:spacing w:after="0"/>
              <w:jc w:val="center"/>
            </w:pPr>
          </w:p>
        </w:tc>
        <w:tc>
          <w:tcPr>
            <w:tcW w:w="1435" w:type="dxa"/>
            <w:vMerge/>
            <w:shd w:val="clear" w:color="auto" w:fill="auto"/>
            <w:vAlign w:val="center"/>
          </w:tcPr>
          <w:p w14:paraId="0537294D" w14:textId="77777777" w:rsidR="00A009A0" w:rsidRDefault="00A009A0" w:rsidP="00A009A0">
            <w:pPr>
              <w:spacing w:after="0"/>
              <w:jc w:val="center"/>
            </w:pPr>
          </w:p>
        </w:tc>
        <w:tc>
          <w:tcPr>
            <w:tcW w:w="1663" w:type="dxa"/>
            <w:gridSpan w:val="3"/>
            <w:tcBorders>
              <w:bottom w:val="single" w:sz="2" w:space="0" w:color="auto"/>
            </w:tcBorders>
            <w:shd w:val="clear" w:color="auto" w:fill="auto"/>
            <w:vAlign w:val="center"/>
          </w:tcPr>
          <w:p w14:paraId="6C9E506F" w14:textId="29F84229" w:rsidR="00A009A0" w:rsidRDefault="00A009A0" w:rsidP="00A009A0">
            <w:pPr>
              <w:spacing w:after="0"/>
              <w:jc w:val="center"/>
            </w:pPr>
            <w:r w:rsidRPr="006A70A0">
              <w:rPr>
                <w:i/>
              </w:rPr>
              <w:t>Fair</w:t>
            </w:r>
          </w:p>
        </w:tc>
        <w:tc>
          <w:tcPr>
            <w:tcW w:w="1668" w:type="dxa"/>
            <w:gridSpan w:val="3"/>
            <w:tcBorders>
              <w:bottom w:val="single" w:sz="2" w:space="0" w:color="auto"/>
            </w:tcBorders>
            <w:shd w:val="clear" w:color="auto" w:fill="auto"/>
            <w:vAlign w:val="center"/>
          </w:tcPr>
          <w:p w14:paraId="5FE743CB" w14:textId="340EDB70" w:rsidR="00A009A0" w:rsidRDefault="00A009A0" w:rsidP="00A009A0">
            <w:pPr>
              <w:spacing w:after="0"/>
              <w:jc w:val="center"/>
            </w:pPr>
            <w:r w:rsidRPr="006A70A0">
              <w:rPr>
                <w:i/>
              </w:rPr>
              <w:t>Fairly large</w:t>
            </w:r>
          </w:p>
        </w:tc>
        <w:tc>
          <w:tcPr>
            <w:tcW w:w="688" w:type="dxa"/>
            <w:vMerge w:val="restart"/>
            <w:shd w:val="clear" w:color="auto" w:fill="auto"/>
            <w:vAlign w:val="center"/>
          </w:tcPr>
          <w:p w14:paraId="4620AD85" w14:textId="2C59E1EF" w:rsidR="00A009A0" w:rsidRDefault="00A009A0" w:rsidP="00A009A0">
            <w:pPr>
              <w:spacing w:after="0"/>
              <w:jc w:val="center"/>
            </w:pPr>
            <w:r w:rsidRPr="006A70A0">
              <w:rPr>
                <w:i/>
              </w:rPr>
              <w:t>Super-rich</w:t>
            </w:r>
          </w:p>
        </w:tc>
      </w:tr>
      <w:tr w:rsidR="0019506B" w14:paraId="481E8E44" w14:textId="77777777" w:rsidTr="003232FA">
        <w:tc>
          <w:tcPr>
            <w:tcW w:w="3394" w:type="dxa"/>
            <w:gridSpan w:val="2"/>
            <w:vMerge/>
            <w:vAlign w:val="center"/>
          </w:tcPr>
          <w:p w14:paraId="5BDFB962" w14:textId="77777777" w:rsidR="00A009A0" w:rsidRDefault="00A009A0" w:rsidP="00A009A0">
            <w:pPr>
              <w:spacing w:after="0"/>
              <w:jc w:val="center"/>
            </w:pPr>
          </w:p>
        </w:tc>
        <w:tc>
          <w:tcPr>
            <w:tcW w:w="1435" w:type="dxa"/>
            <w:vMerge/>
            <w:shd w:val="clear" w:color="auto" w:fill="auto"/>
            <w:vAlign w:val="center"/>
          </w:tcPr>
          <w:p w14:paraId="30D7C676" w14:textId="77777777" w:rsidR="00A009A0" w:rsidRDefault="00A009A0" w:rsidP="00A009A0">
            <w:pPr>
              <w:spacing w:after="0"/>
              <w:jc w:val="center"/>
            </w:pPr>
          </w:p>
        </w:tc>
        <w:tc>
          <w:tcPr>
            <w:tcW w:w="555" w:type="dxa"/>
            <w:tcBorders>
              <w:top w:val="single" w:sz="2" w:space="0" w:color="auto"/>
              <w:right w:val="single" w:sz="2" w:space="0" w:color="auto"/>
            </w:tcBorders>
            <w:shd w:val="clear" w:color="auto" w:fill="auto"/>
            <w:vAlign w:val="center"/>
          </w:tcPr>
          <w:p w14:paraId="5A56DAFE" w14:textId="77777777" w:rsidR="00A009A0" w:rsidRPr="00A009A0" w:rsidRDefault="00A009A0" w:rsidP="00A009A0">
            <w:pPr>
              <w:spacing w:after="0"/>
              <w:jc w:val="center"/>
              <w:rPr>
                <w:b/>
                <w:sz w:val="20"/>
              </w:rPr>
            </w:pPr>
            <w:r w:rsidRPr="00A009A0">
              <w:rPr>
                <w:b/>
                <w:sz w:val="20"/>
              </w:rPr>
              <w:t>E</w:t>
            </w:r>
          </w:p>
          <w:p w14:paraId="60E558E2" w14:textId="511C355D" w:rsidR="00A009A0" w:rsidRPr="00A009A0" w:rsidRDefault="00A009A0" w:rsidP="00A009A0">
            <w:pPr>
              <w:spacing w:after="0"/>
              <w:jc w:val="center"/>
              <w:rPr>
                <w:sz w:val="20"/>
              </w:rPr>
            </w:pPr>
            <w:r w:rsidRPr="00A009A0">
              <w:rPr>
                <w:b/>
                <w:sz w:val="20"/>
              </w:rPr>
              <w:t>(2.5)</w:t>
            </w:r>
          </w:p>
        </w:tc>
        <w:tc>
          <w:tcPr>
            <w:tcW w:w="554" w:type="dxa"/>
            <w:tcBorders>
              <w:top w:val="single" w:sz="2" w:space="0" w:color="auto"/>
              <w:left w:val="single" w:sz="2" w:space="0" w:color="auto"/>
              <w:right w:val="single" w:sz="2" w:space="0" w:color="auto"/>
            </w:tcBorders>
            <w:shd w:val="clear" w:color="auto" w:fill="auto"/>
            <w:vAlign w:val="center"/>
          </w:tcPr>
          <w:p w14:paraId="42380AA0" w14:textId="77777777" w:rsidR="00A009A0" w:rsidRPr="00A009A0" w:rsidRDefault="00A009A0" w:rsidP="00A009A0">
            <w:pPr>
              <w:spacing w:after="0"/>
              <w:jc w:val="center"/>
              <w:rPr>
                <w:b/>
                <w:sz w:val="20"/>
              </w:rPr>
            </w:pPr>
            <w:r w:rsidRPr="00A009A0">
              <w:rPr>
                <w:b/>
                <w:sz w:val="20"/>
              </w:rPr>
              <w:t>Mo</w:t>
            </w:r>
          </w:p>
          <w:p w14:paraId="598FC2E5" w14:textId="7AFC6DCB" w:rsidR="00A009A0" w:rsidRPr="00A009A0" w:rsidRDefault="00A009A0" w:rsidP="00A009A0">
            <w:pPr>
              <w:spacing w:after="0"/>
              <w:jc w:val="center"/>
              <w:rPr>
                <w:sz w:val="20"/>
              </w:rPr>
            </w:pPr>
            <w:r w:rsidRPr="00A009A0">
              <w:rPr>
                <w:b/>
                <w:sz w:val="20"/>
              </w:rPr>
              <w:t>(5)</w:t>
            </w:r>
          </w:p>
        </w:tc>
        <w:tc>
          <w:tcPr>
            <w:tcW w:w="554" w:type="dxa"/>
            <w:tcBorders>
              <w:top w:val="single" w:sz="2" w:space="0" w:color="auto"/>
              <w:left w:val="single" w:sz="2" w:space="0" w:color="auto"/>
            </w:tcBorders>
            <w:shd w:val="clear" w:color="auto" w:fill="auto"/>
            <w:vAlign w:val="center"/>
          </w:tcPr>
          <w:p w14:paraId="410D0480" w14:textId="77777777" w:rsidR="00A009A0" w:rsidRPr="00A009A0" w:rsidRDefault="00A009A0" w:rsidP="00A009A0">
            <w:pPr>
              <w:spacing w:after="0"/>
              <w:jc w:val="center"/>
              <w:rPr>
                <w:b/>
                <w:sz w:val="20"/>
              </w:rPr>
            </w:pPr>
            <w:r w:rsidRPr="00A009A0">
              <w:rPr>
                <w:b/>
                <w:sz w:val="20"/>
              </w:rPr>
              <w:t>Me</w:t>
            </w:r>
          </w:p>
          <w:p w14:paraId="7B34C180" w14:textId="2B7270CD" w:rsidR="00A009A0" w:rsidRPr="00A009A0" w:rsidRDefault="00A009A0" w:rsidP="00A009A0">
            <w:pPr>
              <w:spacing w:after="0"/>
              <w:jc w:val="center"/>
              <w:rPr>
                <w:sz w:val="20"/>
              </w:rPr>
            </w:pPr>
            <w:r w:rsidRPr="00A009A0">
              <w:rPr>
                <w:b/>
                <w:sz w:val="20"/>
              </w:rPr>
              <w:t>(8)</w:t>
            </w:r>
          </w:p>
        </w:tc>
        <w:tc>
          <w:tcPr>
            <w:tcW w:w="557" w:type="dxa"/>
            <w:tcBorders>
              <w:top w:val="single" w:sz="2" w:space="0" w:color="auto"/>
              <w:right w:val="single" w:sz="2" w:space="0" w:color="auto"/>
            </w:tcBorders>
            <w:shd w:val="clear" w:color="auto" w:fill="auto"/>
            <w:vAlign w:val="center"/>
          </w:tcPr>
          <w:p w14:paraId="605E3B31" w14:textId="77777777" w:rsidR="00A009A0" w:rsidRPr="00A009A0" w:rsidRDefault="00A009A0" w:rsidP="00A009A0">
            <w:pPr>
              <w:spacing w:after="0"/>
              <w:jc w:val="center"/>
              <w:rPr>
                <w:b/>
                <w:sz w:val="20"/>
              </w:rPr>
            </w:pPr>
            <w:r w:rsidRPr="00A009A0">
              <w:rPr>
                <w:b/>
                <w:sz w:val="20"/>
              </w:rPr>
              <w:t>E</w:t>
            </w:r>
          </w:p>
          <w:p w14:paraId="31F0446F" w14:textId="1A11B506" w:rsidR="00A009A0" w:rsidRPr="00A009A0" w:rsidRDefault="00A009A0" w:rsidP="00A009A0">
            <w:pPr>
              <w:spacing w:after="0"/>
              <w:jc w:val="center"/>
              <w:rPr>
                <w:sz w:val="20"/>
              </w:rPr>
            </w:pPr>
            <w:r w:rsidRPr="00A009A0">
              <w:rPr>
                <w:b/>
                <w:sz w:val="20"/>
              </w:rPr>
              <w:t>(7)</w:t>
            </w:r>
          </w:p>
        </w:tc>
        <w:tc>
          <w:tcPr>
            <w:tcW w:w="556" w:type="dxa"/>
            <w:tcBorders>
              <w:top w:val="single" w:sz="2" w:space="0" w:color="auto"/>
              <w:left w:val="single" w:sz="2" w:space="0" w:color="auto"/>
              <w:right w:val="single" w:sz="2" w:space="0" w:color="auto"/>
            </w:tcBorders>
            <w:shd w:val="clear" w:color="auto" w:fill="auto"/>
            <w:vAlign w:val="center"/>
          </w:tcPr>
          <w:p w14:paraId="345A6213" w14:textId="77777777" w:rsidR="00A009A0" w:rsidRPr="00A009A0" w:rsidRDefault="00A009A0" w:rsidP="00A009A0">
            <w:pPr>
              <w:spacing w:after="0"/>
              <w:jc w:val="center"/>
              <w:rPr>
                <w:b/>
                <w:sz w:val="20"/>
              </w:rPr>
            </w:pPr>
            <w:r w:rsidRPr="00A009A0">
              <w:rPr>
                <w:b/>
                <w:sz w:val="20"/>
              </w:rPr>
              <w:t>Mo</w:t>
            </w:r>
          </w:p>
          <w:p w14:paraId="697E36C1" w14:textId="0A7143E7" w:rsidR="00A009A0" w:rsidRPr="00A009A0" w:rsidRDefault="00A009A0" w:rsidP="00A009A0">
            <w:pPr>
              <w:spacing w:after="0"/>
              <w:jc w:val="center"/>
              <w:rPr>
                <w:sz w:val="20"/>
              </w:rPr>
            </w:pPr>
            <w:r w:rsidRPr="00A009A0">
              <w:rPr>
                <w:b/>
                <w:sz w:val="20"/>
              </w:rPr>
              <w:t>(17)</w:t>
            </w:r>
          </w:p>
        </w:tc>
        <w:tc>
          <w:tcPr>
            <w:tcW w:w="555" w:type="dxa"/>
            <w:tcBorders>
              <w:top w:val="single" w:sz="2" w:space="0" w:color="auto"/>
              <w:left w:val="single" w:sz="2" w:space="0" w:color="auto"/>
            </w:tcBorders>
            <w:shd w:val="clear" w:color="auto" w:fill="auto"/>
            <w:vAlign w:val="center"/>
          </w:tcPr>
          <w:p w14:paraId="3646B5F5" w14:textId="77777777" w:rsidR="00A009A0" w:rsidRPr="00A009A0" w:rsidRDefault="00A009A0" w:rsidP="00A009A0">
            <w:pPr>
              <w:spacing w:after="0"/>
              <w:jc w:val="center"/>
              <w:rPr>
                <w:b/>
                <w:sz w:val="20"/>
              </w:rPr>
            </w:pPr>
            <w:r w:rsidRPr="00A009A0">
              <w:rPr>
                <w:b/>
                <w:sz w:val="20"/>
              </w:rPr>
              <w:t>Me</w:t>
            </w:r>
          </w:p>
          <w:p w14:paraId="2A07818D" w14:textId="51BF44F4" w:rsidR="00A009A0" w:rsidRPr="00A009A0" w:rsidRDefault="00A009A0" w:rsidP="00A009A0">
            <w:pPr>
              <w:spacing w:after="0"/>
              <w:jc w:val="center"/>
              <w:rPr>
                <w:sz w:val="20"/>
              </w:rPr>
            </w:pPr>
            <w:r w:rsidRPr="00A009A0">
              <w:rPr>
                <w:b/>
                <w:sz w:val="20"/>
              </w:rPr>
              <w:t>(40)</w:t>
            </w:r>
          </w:p>
        </w:tc>
        <w:tc>
          <w:tcPr>
            <w:tcW w:w="688" w:type="dxa"/>
            <w:vMerge/>
            <w:shd w:val="clear" w:color="auto" w:fill="auto"/>
          </w:tcPr>
          <w:p w14:paraId="7D01C63A" w14:textId="77777777" w:rsidR="00A009A0" w:rsidRDefault="00A009A0" w:rsidP="00A009A0">
            <w:pPr>
              <w:spacing w:after="0"/>
            </w:pPr>
          </w:p>
        </w:tc>
      </w:tr>
      <w:tr w:rsidR="0019506B" w14:paraId="44885F2D" w14:textId="77777777" w:rsidTr="003232FA">
        <w:trPr>
          <w:trHeight w:val="340"/>
        </w:trPr>
        <w:tc>
          <w:tcPr>
            <w:tcW w:w="1410" w:type="dxa"/>
            <w:vAlign w:val="center"/>
          </w:tcPr>
          <w:p w14:paraId="578EFD5E" w14:textId="77777777" w:rsidR="00A009A0" w:rsidRPr="00312437" w:rsidRDefault="00A009A0" w:rsidP="00A009A0">
            <w:pPr>
              <w:spacing w:after="0"/>
              <w:rPr>
                <w:b/>
              </w:rPr>
            </w:pPr>
            <w:r w:rsidRPr="00312437">
              <w:rPr>
                <w:b/>
              </w:rPr>
              <w:t>Nutrition</w:t>
            </w:r>
          </w:p>
        </w:tc>
        <w:tc>
          <w:tcPr>
            <w:tcW w:w="1984" w:type="dxa"/>
            <w:vAlign w:val="center"/>
          </w:tcPr>
          <w:p w14:paraId="239ADD56" w14:textId="353E6DFD" w:rsidR="00A009A0" w:rsidRDefault="00A009A0" w:rsidP="00A009A0">
            <w:pPr>
              <w:spacing w:after="0"/>
            </w:pPr>
            <w:r>
              <w:t>Meat consumption</w:t>
            </w:r>
          </w:p>
        </w:tc>
        <w:tc>
          <w:tcPr>
            <w:tcW w:w="1435" w:type="dxa"/>
            <w:shd w:val="clear" w:color="auto" w:fill="auto"/>
            <w:vAlign w:val="center"/>
          </w:tcPr>
          <w:p w14:paraId="55199052" w14:textId="51B68F6C" w:rsidR="00A009A0" w:rsidRDefault="00A009A0" w:rsidP="00A009A0">
            <w:pPr>
              <w:spacing w:after="0"/>
            </w:pPr>
            <w:r>
              <w:t>20% of kcal</w:t>
            </w:r>
          </w:p>
        </w:tc>
        <w:tc>
          <w:tcPr>
            <w:tcW w:w="555" w:type="dxa"/>
            <w:tcBorders>
              <w:right w:val="single" w:sz="2" w:space="0" w:color="auto"/>
            </w:tcBorders>
            <w:shd w:val="clear" w:color="auto" w:fill="A8D08D" w:themeFill="accent6" w:themeFillTint="99"/>
            <w:vAlign w:val="center"/>
          </w:tcPr>
          <w:p w14:paraId="0729EC16" w14:textId="233576C1" w:rsidR="00A009A0" w:rsidRDefault="00A009A0" w:rsidP="00A009A0">
            <w:pPr>
              <w:spacing w:after="0"/>
            </w:pPr>
          </w:p>
        </w:tc>
        <w:tc>
          <w:tcPr>
            <w:tcW w:w="554" w:type="dxa"/>
            <w:tcBorders>
              <w:left w:val="single" w:sz="2" w:space="0" w:color="auto"/>
              <w:right w:val="single" w:sz="2" w:space="0" w:color="auto"/>
            </w:tcBorders>
            <w:shd w:val="clear" w:color="auto" w:fill="A8D08D" w:themeFill="accent6" w:themeFillTint="99"/>
          </w:tcPr>
          <w:p w14:paraId="6E52B22D" w14:textId="77777777" w:rsidR="00A009A0" w:rsidRDefault="00A009A0" w:rsidP="00A009A0">
            <w:pPr>
              <w:spacing w:after="0"/>
            </w:pPr>
          </w:p>
        </w:tc>
        <w:tc>
          <w:tcPr>
            <w:tcW w:w="554" w:type="dxa"/>
            <w:tcBorders>
              <w:left w:val="single" w:sz="2" w:space="0" w:color="auto"/>
            </w:tcBorders>
            <w:shd w:val="clear" w:color="auto" w:fill="FF0000"/>
          </w:tcPr>
          <w:p w14:paraId="758A4C4D" w14:textId="77777777" w:rsidR="00A009A0" w:rsidRDefault="00A009A0" w:rsidP="00A009A0">
            <w:pPr>
              <w:spacing w:after="0"/>
            </w:pPr>
          </w:p>
        </w:tc>
        <w:tc>
          <w:tcPr>
            <w:tcW w:w="557" w:type="dxa"/>
            <w:tcBorders>
              <w:right w:val="single" w:sz="2" w:space="0" w:color="auto"/>
            </w:tcBorders>
            <w:shd w:val="clear" w:color="auto" w:fill="FF0000"/>
          </w:tcPr>
          <w:p w14:paraId="559E0BCD" w14:textId="77777777" w:rsidR="00A009A0" w:rsidRDefault="00A009A0" w:rsidP="00A009A0">
            <w:pPr>
              <w:spacing w:after="0"/>
            </w:pPr>
          </w:p>
        </w:tc>
        <w:tc>
          <w:tcPr>
            <w:tcW w:w="556" w:type="dxa"/>
            <w:tcBorders>
              <w:left w:val="single" w:sz="2" w:space="0" w:color="auto"/>
              <w:right w:val="single" w:sz="2" w:space="0" w:color="auto"/>
            </w:tcBorders>
            <w:shd w:val="clear" w:color="auto" w:fill="FF0000"/>
          </w:tcPr>
          <w:p w14:paraId="2B378B9E" w14:textId="77777777" w:rsidR="00A009A0" w:rsidRDefault="00A009A0" w:rsidP="00A009A0">
            <w:pPr>
              <w:spacing w:after="0"/>
            </w:pPr>
          </w:p>
        </w:tc>
        <w:tc>
          <w:tcPr>
            <w:tcW w:w="555" w:type="dxa"/>
            <w:tcBorders>
              <w:left w:val="single" w:sz="2" w:space="0" w:color="auto"/>
            </w:tcBorders>
            <w:shd w:val="clear" w:color="auto" w:fill="FF0000"/>
          </w:tcPr>
          <w:p w14:paraId="0CF40591" w14:textId="77777777" w:rsidR="00A009A0" w:rsidRDefault="00A009A0" w:rsidP="00A009A0">
            <w:pPr>
              <w:spacing w:after="0"/>
            </w:pPr>
          </w:p>
        </w:tc>
        <w:tc>
          <w:tcPr>
            <w:tcW w:w="688" w:type="dxa"/>
            <w:shd w:val="clear" w:color="auto" w:fill="FF0000"/>
          </w:tcPr>
          <w:p w14:paraId="08864500" w14:textId="77777777" w:rsidR="00A009A0" w:rsidRDefault="00A009A0" w:rsidP="00A009A0">
            <w:pPr>
              <w:spacing w:after="0"/>
            </w:pPr>
          </w:p>
        </w:tc>
      </w:tr>
      <w:tr w:rsidR="0019506B" w14:paraId="029828A8" w14:textId="77777777" w:rsidTr="003232FA">
        <w:trPr>
          <w:trHeight w:val="340"/>
        </w:trPr>
        <w:tc>
          <w:tcPr>
            <w:tcW w:w="1410" w:type="dxa"/>
            <w:vMerge w:val="restart"/>
            <w:vAlign w:val="center"/>
          </w:tcPr>
          <w:p w14:paraId="3EB82D52" w14:textId="77777777" w:rsidR="00A009A0" w:rsidRPr="00312437" w:rsidRDefault="00A009A0" w:rsidP="00A009A0">
            <w:pPr>
              <w:spacing w:after="0"/>
              <w:rPr>
                <w:b/>
              </w:rPr>
            </w:pPr>
            <w:r w:rsidRPr="00312437">
              <w:rPr>
                <w:b/>
              </w:rPr>
              <w:t>Shelter</w:t>
            </w:r>
          </w:p>
          <w:p w14:paraId="3AAF72D0" w14:textId="77777777" w:rsidR="00A009A0" w:rsidRPr="00312437" w:rsidRDefault="00A009A0" w:rsidP="00A009A0">
            <w:pPr>
              <w:spacing w:after="0"/>
              <w:rPr>
                <w:b/>
              </w:rPr>
            </w:pPr>
            <w:r w:rsidRPr="00312437">
              <w:rPr>
                <w:b/>
              </w:rPr>
              <w:t>&amp; living</w:t>
            </w:r>
          </w:p>
        </w:tc>
        <w:tc>
          <w:tcPr>
            <w:tcW w:w="1984" w:type="dxa"/>
            <w:tcBorders>
              <w:bottom w:val="single" w:sz="2" w:space="0" w:color="auto"/>
            </w:tcBorders>
            <w:vAlign w:val="center"/>
          </w:tcPr>
          <w:p w14:paraId="77D46F19" w14:textId="77777777" w:rsidR="00A009A0" w:rsidRDefault="00A009A0" w:rsidP="00A009A0">
            <w:pPr>
              <w:spacing w:after="0"/>
            </w:pPr>
            <w:r>
              <w:t>F</w:t>
            </w:r>
            <w:r w:rsidRPr="004A6199">
              <w:t>loor-space</w:t>
            </w:r>
          </w:p>
        </w:tc>
        <w:tc>
          <w:tcPr>
            <w:tcW w:w="1435" w:type="dxa"/>
            <w:tcBorders>
              <w:bottom w:val="single" w:sz="2" w:space="0" w:color="auto"/>
            </w:tcBorders>
            <w:shd w:val="clear" w:color="auto" w:fill="auto"/>
            <w:vAlign w:val="center"/>
          </w:tcPr>
          <w:p w14:paraId="4FFD0C19" w14:textId="63C31E8E" w:rsidR="00A009A0" w:rsidRPr="00CB31D5" w:rsidRDefault="001C3973" w:rsidP="00A009A0">
            <w:pPr>
              <w:spacing w:after="0"/>
            </w:pPr>
            <w:r w:rsidRPr="001C3973">
              <w:t>500 m</w:t>
            </w:r>
            <w:r w:rsidRPr="001C3973">
              <w:rPr>
                <w:vertAlign w:val="superscript"/>
              </w:rPr>
              <w:t>2</w:t>
            </w:r>
            <w:r w:rsidR="00CB31D5">
              <w:t>/cap</w:t>
            </w:r>
          </w:p>
        </w:tc>
        <w:tc>
          <w:tcPr>
            <w:tcW w:w="555" w:type="dxa"/>
            <w:tcBorders>
              <w:bottom w:val="single" w:sz="2" w:space="0" w:color="auto"/>
              <w:right w:val="single" w:sz="2" w:space="0" w:color="auto"/>
            </w:tcBorders>
            <w:shd w:val="clear" w:color="auto" w:fill="A8D08D" w:themeFill="accent6" w:themeFillTint="99"/>
            <w:vAlign w:val="center"/>
          </w:tcPr>
          <w:p w14:paraId="2BB7149C" w14:textId="50C27B32" w:rsidR="00A009A0" w:rsidRPr="00757E50" w:rsidRDefault="00A009A0" w:rsidP="00A009A0">
            <w:pPr>
              <w:spacing w:after="0"/>
              <w:rPr>
                <w:i/>
              </w:rPr>
            </w:pPr>
          </w:p>
        </w:tc>
        <w:tc>
          <w:tcPr>
            <w:tcW w:w="554" w:type="dxa"/>
            <w:tcBorders>
              <w:left w:val="single" w:sz="2" w:space="0" w:color="auto"/>
              <w:bottom w:val="single" w:sz="2" w:space="0" w:color="auto"/>
              <w:right w:val="single" w:sz="2" w:space="0" w:color="auto"/>
            </w:tcBorders>
            <w:shd w:val="clear" w:color="auto" w:fill="A8D08D" w:themeFill="accent6" w:themeFillTint="99"/>
          </w:tcPr>
          <w:p w14:paraId="299E6855" w14:textId="77777777" w:rsidR="00A009A0" w:rsidRDefault="00A009A0" w:rsidP="00A009A0">
            <w:pPr>
              <w:spacing w:after="0"/>
              <w:rPr>
                <w:i/>
              </w:rPr>
            </w:pPr>
          </w:p>
        </w:tc>
        <w:tc>
          <w:tcPr>
            <w:tcW w:w="554" w:type="dxa"/>
            <w:tcBorders>
              <w:left w:val="single" w:sz="2" w:space="0" w:color="auto"/>
              <w:bottom w:val="single" w:sz="2" w:space="0" w:color="auto"/>
            </w:tcBorders>
            <w:shd w:val="clear" w:color="auto" w:fill="A8D08D" w:themeFill="accent6" w:themeFillTint="99"/>
          </w:tcPr>
          <w:p w14:paraId="3D155F8B" w14:textId="77777777" w:rsidR="00A009A0" w:rsidRDefault="00A009A0" w:rsidP="00A009A0">
            <w:pPr>
              <w:spacing w:after="0"/>
              <w:rPr>
                <w:i/>
              </w:rPr>
            </w:pPr>
          </w:p>
        </w:tc>
        <w:tc>
          <w:tcPr>
            <w:tcW w:w="557" w:type="dxa"/>
            <w:tcBorders>
              <w:bottom w:val="single" w:sz="2" w:space="0" w:color="auto"/>
              <w:right w:val="single" w:sz="2" w:space="0" w:color="auto"/>
            </w:tcBorders>
            <w:shd w:val="clear" w:color="auto" w:fill="A8D08D" w:themeFill="accent6" w:themeFillTint="99"/>
          </w:tcPr>
          <w:p w14:paraId="77FF2917" w14:textId="77777777" w:rsidR="00A009A0" w:rsidRDefault="00A009A0" w:rsidP="00A009A0">
            <w:pPr>
              <w:spacing w:after="0"/>
              <w:rPr>
                <w:i/>
              </w:rPr>
            </w:pPr>
          </w:p>
        </w:tc>
        <w:tc>
          <w:tcPr>
            <w:tcW w:w="556" w:type="dxa"/>
            <w:tcBorders>
              <w:left w:val="single" w:sz="2" w:space="0" w:color="auto"/>
              <w:bottom w:val="single" w:sz="2" w:space="0" w:color="auto"/>
              <w:right w:val="single" w:sz="2" w:space="0" w:color="auto"/>
            </w:tcBorders>
            <w:shd w:val="clear" w:color="auto" w:fill="A8D08D" w:themeFill="accent6" w:themeFillTint="99"/>
          </w:tcPr>
          <w:p w14:paraId="12D85025" w14:textId="77777777" w:rsidR="00A009A0" w:rsidRDefault="00A009A0" w:rsidP="00A009A0">
            <w:pPr>
              <w:spacing w:after="0"/>
              <w:rPr>
                <w:i/>
              </w:rPr>
            </w:pPr>
          </w:p>
        </w:tc>
        <w:tc>
          <w:tcPr>
            <w:tcW w:w="555" w:type="dxa"/>
            <w:tcBorders>
              <w:left w:val="single" w:sz="2" w:space="0" w:color="auto"/>
              <w:bottom w:val="single" w:sz="2" w:space="0" w:color="auto"/>
            </w:tcBorders>
            <w:shd w:val="clear" w:color="auto" w:fill="FF0000"/>
          </w:tcPr>
          <w:p w14:paraId="0F87476D" w14:textId="77777777" w:rsidR="00A009A0" w:rsidRDefault="00A009A0" w:rsidP="00A009A0">
            <w:pPr>
              <w:spacing w:after="0"/>
              <w:rPr>
                <w:i/>
              </w:rPr>
            </w:pPr>
          </w:p>
        </w:tc>
        <w:tc>
          <w:tcPr>
            <w:tcW w:w="688" w:type="dxa"/>
            <w:tcBorders>
              <w:bottom w:val="single" w:sz="2" w:space="0" w:color="auto"/>
            </w:tcBorders>
            <w:shd w:val="clear" w:color="auto" w:fill="FF0000"/>
            <w:vAlign w:val="center"/>
          </w:tcPr>
          <w:p w14:paraId="53CBEBFA" w14:textId="4601E9AA" w:rsidR="00A009A0" w:rsidRPr="00E079A7" w:rsidRDefault="00E079A7" w:rsidP="00E079A7">
            <w:pPr>
              <w:spacing w:after="0"/>
              <w:jc w:val="center"/>
            </w:pPr>
            <w:r w:rsidRPr="00615470">
              <w:rPr>
                <w:rFonts w:cstheme="minorHAnsi"/>
                <w:color w:val="000000" w:themeColor="text1"/>
                <w:sz w:val="24"/>
              </w:rPr>
              <w:t>∆</w:t>
            </w:r>
          </w:p>
        </w:tc>
      </w:tr>
      <w:tr w:rsidR="0019506B" w14:paraId="30674251" w14:textId="77777777" w:rsidTr="003232FA">
        <w:trPr>
          <w:trHeight w:val="340"/>
        </w:trPr>
        <w:tc>
          <w:tcPr>
            <w:tcW w:w="1410" w:type="dxa"/>
            <w:vMerge/>
            <w:vAlign w:val="center"/>
          </w:tcPr>
          <w:p w14:paraId="225C75EC" w14:textId="77777777" w:rsidR="00A009A0" w:rsidRPr="00312437" w:rsidRDefault="00A009A0" w:rsidP="00A009A0">
            <w:pPr>
              <w:spacing w:after="0"/>
              <w:rPr>
                <w:b/>
              </w:rPr>
            </w:pPr>
          </w:p>
        </w:tc>
        <w:tc>
          <w:tcPr>
            <w:tcW w:w="1984" w:type="dxa"/>
            <w:tcBorders>
              <w:top w:val="single" w:sz="2" w:space="0" w:color="auto"/>
            </w:tcBorders>
            <w:vAlign w:val="center"/>
          </w:tcPr>
          <w:p w14:paraId="50249DC0" w14:textId="77777777" w:rsidR="00A009A0" w:rsidRDefault="00A009A0" w:rsidP="00A009A0">
            <w:pPr>
              <w:spacing w:after="0"/>
            </w:pPr>
            <w:r>
              <w:t>Hot w</w:t>
            </w:r>
            <w:r w:rsidRPr="004A6199">
              <w:t>ater</w:t>
            </w:r>
          </w:p>
        </w:tc>
        <w:tc>
          <w:tcPr>
            <w:tcW w:w="1435" w:type="dxa"/>
            <w:tcBorders>
              <w:top w:val="single" w:sz="2" w:space="0" w:color="auto"/>
            </w:tcBorders>
            <w:shd w:val="clear" w:color="auto" w:fill="auto"/>
            <w:vAlign w:val="center"/>
          </w:tcPr>
          <w:p w14:paraId="7B1DEA39" w14:textId="61CDB8AA" w:rsidR="00A009A0" w:rsidRDefault="00A009A0" w:rsidP="00A009A0">
            <w:pPr>
              <w:spacing w:after="0"/>
            </w:pPr>
            <w:r>
              <w:t>300 L/cap</w:t>
            </w:r>
            <w:r w:rsidR="003232FA">
              <w:t>/day</w:t>
            </w:r>
          </w:p>
        </w:tc>
        <w:tc>
          <w:tcPr>
            <w:tcW w:w="555" w:type="dxa"/>
            <w:tcBorders>
              <w:top w:val="single" w:sz="2" w:space="0" w:color="auto"/>
              <w:right w:val="single" w:sz="2" w:space="0" w:color="auto"/>
            </w:tcBorders>
            <w:shd w:val="clear" w:color="auto" w:fill="A8D08D" w:themeFill="accent6" w:themeFillTint="99"/>
            <w:vAlign w:val="center"/>
          </w:tcPr>
          <w:p w14:paraId="27C4B661" w14:textId="39C5FA3E" w:rsidR="00A009A0" w:rsidRDefault="00A009A0" w:rsidP="00A009A0">
            <w:pPr>
              <w:spacing w:after="0"/>
            </w:pPr>
          </w:p>
        </w:tc>
        <w:tc>
          <w:tcPr>
            <w:tcW w:w="554" w:type="dxa"/>
            <w:tcBorders>
              <w:top w:val="single" w:sz="2" w:space="0" w:color="auto"/>
              <w:left w:val="single" w:sz="2" w:space="0" w:color="auto"/>
              <w:right w:val="single" w:sz="2" w:space="0" w:color="auto"/>
            </w:tcBorders>
            <w:shd w:val="clear" w:color="auto" w:fill="A8D08D" w:themeFill="accent6" w:themeFillTint="99"/>
          </w:tcPr>
          <w:p w14:paraId="409562BB" w14:textId="77777777" w:rsidR="00A009A0" w:rsidRDefault="00A009A0" w:rsidP="00A009A0">
            <w:pPr>
              <w:spacing w:after="0"/>
            </w:pPr>
          </w:p>
        </w:tc>
        <w:tc>
          <w:tcPr>
            <w:tcW w:w="554" w:type="dxa"/>
            <w:tcBorders>
              <w:top w:val="single" w:sz="2" w:space="0" w:color="auto"/>
              <w:left w:val="single" w:sz="2" w:space="0" w:color="auto"/>
            </w:tcBorders>
            <w:shd w:val="clear" w:color="auto" w:fill="A8D08D" w:themeFill="accent6" w:themeFillTint="99"/>
          </w:tcPr>
          <w:p w14:paraId="3DF98251" w14:textId="77777777" w:rsidR="00A009A0" w:rsidRDefault="00A009A0" w:rsidP="00A009A0">
            <w:pPr>
              <w:spacing w:after="0"/>
            </w:pPr>
          </w:p>
        </w:tc>
        <w:tc>
          <w:tcPr>
            <w:tcW w:w="557" w:type="dxa"/>
            <w:tcBorders>
              <w:top w:val="single" w:sz="2" w:space="0" w:color="auto"/>
              <w:right w:val="single" w:sz="2" w:space="0" w:color="auto"/>
            </w:tcBorders>
            <w:shd w:val="clear" w:color="auto" w:fill="A8D08D" w:themeFill="accent6" w:themeFillTint="99"/>
          </w:tcPr>
          <w:p w14:paraId="280923DC" w14:textId="77777777" w:rsidR="00A009A0" w:rsidRDefault="00A009A0" w:rsidP="00A009A0">
            <w:pPr>
              <w:spacing w:after="0"/>
            </w:pPr>
          </w:p>
        </w:tc>
        <w:tc>
          <w:tcPr>
            <w:tcW w:w="556" w:type="dxa"/>
            <w:tcBorders>
              <w:top w:val="single" w:sz="2" w:space="0" w:color="auto"/>
              <w:left w:val="single" w:sz="2" w:space="0" w:color="auto"/>
              <w:right w:val="single" w:sz="2" w:space="0" w:color="auto"/>
            </w:tcBorders>
            <w:shd w:val="clear" w:color="auto" w:fill="A8D08D" w:themeFill="accent6" w:themeFillTint="99"/>
          </w:tcPr>
          <w:p w14:paraId="01B17EE0" w14:textId="77777777" w:rsidR="00A009A0" w:rsidRDefault="00A009A0" w:rsidP="00A009A0">
            <w:pPr>
              <w:spacing w:after="0"/>
            </w:pPr>
          </w:p>
        </w:tc>
        <w:tc>
          <w:tcPr>
            <w:tcW w:w="555" w:type="dxa"/>
            <w:tcBorders>
              <w:top w:val="single" w:sz="2" w:space="0" w:color="auto"/>
              <w:left w:val="single" w:sz="2" w:space="0" w:color="auto"/>
            </w:tcBorders>
            <w:shd w:val="clear" w:color="auto" w:fill="FF0000"/>
          </w:tcPr>
          <w:p w14:paraId="115D0396" w14:textId="77777777" w:rsidR="00A009A0" w:rsidRDefault="00A009A0" w:rsidP="00A009A0">
            <w:pPr>
              <w:spacing w:after="0"/>
            </w:pPr>
          </w:p>
        </w:tc>
        <w:tc>
          <w:tcPr>
            <w:tcW w:w="688" w:type="dxa"/>
            <w:tcBorders>
              <w:top w:val="single" w:sz="2" w:space="0" w:color="auto"/>
            </w:tcBorders>
            <w:shd w:val="clear" w:color="auto" w:fill="FF0000"/>
            <w:vAlign w:val="center"/>
          </w:tcPr>
          <w:p w14:paraId="385F4B6A" w14:textId="6E3A5311" w:rsidR="00A009A0" w:rsidRDefault="00A009A0" w:rsidP="00E079A7">
            <w:pPr>
              <w:spacing w:after="0"/>
              <w:jc w:val="center"/>
            </w:pPr>
          </w:p>
        </w:tc>
      </w:tr>
      <w:tr w:rsidR="0019506B" w14:paraId="35DED4A0" w14:textId="77777777" w:rsidTr="003232FA">
        <w:trPr>
          <w:trHeight w:val="340"/>
        </w:trPr>
        <w:tc>
          <w:tcPr>
            <w:tcW w:w="1410" w:type="dxa"/>
            <w:vMerge w:val="restart"/>
            <w:vAlign w:val="center"/>
          </w:tcPr>
          <w:p w14:paraId="0467ED27" w14:textId="77777777" w:rsidR="00A009A0" w:rsidRPr="00312437" w:rsidRDefault="00A009A0" w:rsidP="00A009A0">
            <w:pPr>
              <w:spacing w:after="0"/>
              <w:rPr>
                <w:b/>
              </w:rPr>
            </w:pPr>
            <w:r w:rsidRPr="00312437">
              <w:rPr>
                <w:b/>
              </w:rPr>
              <w:t>Mobility</w:t>
            </w:r>
          </w:p>
        </w:tc>
        <w:tc>
          <w:tcPr>
            <w:tcW w:w="1984" w:type="dxa"/>
            <w:tcBorders>
              <w:bottom w:val="single" w:sz="2" w:space="0" w:color="auto"/>
            </w:tcBorders>
            <w:vAlign w:val="center"/>
          </w:tcPr>
          <w:p w14:paraId="2201AED6" w14:textId="417B7F05" w:rsidR="00A009A0" w:rsidRDefault="00A009A0" w:rsidP="00A009A0">
            <w:pPr>
              <w:spacing w:after="0"/>
            </w:pPr>
            <w:r>
              <w:t>Private road travel</w:t>
            </w:r>
          </w:p>
        </w:tc>
        <w:tc>
          <w:tcPr>
            <w:tcW w:w="1435" w:type="dxa"/>
            <w:tcBorders>
              <w:bottom w:val="single" w:sz="2" w:space="0" w:color="auto"/>
            </w:tcBorders>
            <w:shd w:val="clear" w:color="auto" w:fill="auto"/>
            <w:vAlign w:val="center"/>
          </w:tcPr>
          <w:p w14:paraId="7711A29A" w14:textId="4F7551D8" w:rsidR="00A009A0" w:rsidRPr="001C3973" w:rsidRDefault="001C3973" w:rsidP="00A009A0">
            <w:pPr>
              <w:spacing w:after="0"/>
            </w:pPr>
            <w:r w:rsidRPr="001C3973">
              <w:t>40,000 km/yr</w:t>
            </w:r>
          </w:p>
        </w:tc>
        <w:tc>
          <w:tcPr>
            <w:tcW w:w="555" w:type="dxa"/>
            <w:tcBorders>
              <w:bottom w:val="single" w:sz="2" w:space="0" w:color="auto"/>
              <w:right w:val="single" w:sz="2" w:space="0" w:color="auto"/>
            </w:tcBorders>
            <w:shd w:val="clear" w:color="auto" w:fill="A8D08D" w:themeFill="accent6" w:themeFillTint="99"/>
            <w:vAlign w:val="center"/>
          </w:tcPr>
          <w:p w14:paraId="359D0E07" w14:textId="45AF7468" w:rsidR="00A009A0" w:rsidRDefault="00A009A0" w:rsidP="00A009A0">
            <w:pPr>
              <w:spacing w:after="0"/>
            </w:pPr>
          </w:p>
        </w:tc>
        <w:tc>
          <w:tcPr>
            <w:tcW w:w="554" w:type="dxa"/>
            <w:tcBorders>
              <w:left w:val="single" w:sz="2" w:space="0" w:color="auto"/>
              <w:bottom w:val="single" w:sz="2" w:space="0" w:color="auto"/>
              <w:right w:val="single" w:sz="2" w:space="0" w:color="auto"/>
            </w:tcBorders>
            <w:shd w:val="clear" w:color="auto" w:fill="A8D08D" w:themeFill="accent6" w:themeFillTint="99"/>
          </w:tcPr>
          <w:p w14:paraId="652FE48E" w14:textId="77777777" w:rsidR="00A009A0" w:rsidRDefault="00A009A0" w:rsidP="00A009A0">
            <w:pPr>
              <w:spacing w:after="0"/>
              <w:rPr>
                <w:i/>
              </w:rPr>
            </w:pPr>
          </w:p>
        </w:tc>
        <w:tc>
          <w:tcPr>
            <w:tcW w:w="554" w:type="dxa"/>
            <w:tcBorders>
              <w:left w:val="single" w:sz="2" w:space="0" w:color="auto"/>
              <w:bottom w:val="single" w:sz="2" w:space="0" w:color="auto"/>
            </w:tcBorders>
            <w:shd w:val="clear" w:color="auto" w:fill="A8D08D" w:themeFill="accent6" w:themeFillTint="99"/>
          </w:tcPr>
          <w:p w14:paraId="795FF665" w14:textId="77777777" w:rsidR="00A009A0" w:rsidRDefault="00A009A0" w:rsidP="00A009A0">
            <w:pPr>
              <w:spacing w:after="0"/>
              <w:rPr>
                <w:i/>
              </w:rPr>
            </w:pPr>
          </w:p>
        </w:tc>
        <w:tc>
          <w:tcPr>
            <w:tcW w:w="557" w:type="dxa"/>
            <w:tcBorders>
              <w:bottom w:val="single" w:sz="2" w:space="0" w:color="auto"/>
              <w:right w:val="single" w:sz="2" w:space="0" w:color="auto"/>
            </w:tcBorders>
            <w:shd w:val="clear" w:color="auto" w:fill="A8D08D" w:themeFill="accent6" w:themeFillTint="99"/>
          </w:tcPr>
          <w:p w14:paraId="717C8696" w14:textId="77777777" w:rsidR="00A009A0" w:rsidRDefault="00A009A0" w:rsidP="00A009A0">
            <w:pPr>
              <w:spacing w:after="0"/>
              <w:rPr>
                <w:i/>
              </w:rPr>
            </w:pPr>
          </w:p>
        </w:tc>
        <w:tc>
          <w:tcPr>
            <w:tcW w:w="556" w:type="dxa"/>
            <w:tcBorders>
              <w:left w:val="single" w:sz="2" w:space="0" w:color="auto"/>
              <w:bottom w:val="single" w:sz="2" w:space="0" w:color="auto"/>
              <w:right w:val="single" w:sz="2" w:space="0" w:color="auto"/>
            </w:tcBorders>
            <w:shd w:val="clear" w:color="auto" w:fill="A8D08D" w:themeFill="accent6" w:themeFillTint="99"/>
          </w:tcPr>
          <w:p w14:paraId="5144191C" w14:textId="77777777" w:rsidR="00A009A0" w:rsidRDefault="00A009A0" w:rsidP="00A009A0">
            <w:pPr>
              <w:spacing w:after="0"/>
              <w:rPr>
                <w:i/>
              </w:rPr>
            </w:pPr>
          </w:p>
        </w:tc>
        <w:tc>
          <w:tcPr>
            <w:tcW w:w="555" w:type="dxa"/>
            <w:tcBorders>
              <w:left w:val="single" w:sz="2" w:space="0" w:color="auto"/>
              <w:bottom w:val="single" w:sz="2" w:space="0" w:color="auto"/>
            </w:tcBorders>
            <w:shd w:val="clear" w:color="auto" w:fill="FF0000"/>
          </w:tcPr>
          <w:p w14:paraId="3C842150" w14:textId="77777777" w:rsidR="00A009A0" w:rsidRDefault="00A009A0" w:rsidP="00A009A0">
            <w:pPr>
              <w:spacing w:after="0"/>
              <w:rPr>
                <w:i/>
              </w:rPr>
            </w:pPr>
          </w:p>
        </w:tc>
        <w:tc>
          <w:tcPr>
            <w:tcW w:w="688" w:type="dxa"/>
            <w:tcBorders>
              <w:bottom w:val="single" w:sz="2" w:space="0" w:color="auto"/>
            </w:tcBorders>
            <w:shd w:val="clear" w:color="auto" w:fill="FF0000"/>
            <w:vAlign w:val="center"/>
          </w:tcPr>
          <w:p w14:paraId="33FEC13F" w14:textId="53185087" w:rsidR="00A009A0" w:rsidRPr="00E079A7" w:rsidRDefault="00E079A7" w:rsidP="00E079A7">
            <w:pPr>
              <w:spacing w:after="0"/>
              <w:jc w:val="center"/>
              <w:rPr>
                <w:i/>
              </w:rPr>
            </w:pPr>
            <w:r w:rsidRPr="00615470">
              <w:rPr>
                <w:rFonts w:cstheme="minorHAnsi"/>
                <w:color w:val="000000" w:themeColor="text1"/>
                <w:sz w:val="24"/>
              </w:rPr>
              <w:t>∆</w:t>
            </w:r>
          </w:p>
        </w:tc>
      </w:tr>
      <w:tr w:rsidR="0019506B" w14:paraId="69A5C73E" w14:textId="77777777" w:rsidTr="003232FA">
        <w:trPr>
          <w:trHeight w:val="340"/>
        </w:trPr>
        <w:tc>
          <w:tcPr>
            <w:tcW w:w="1410" w:type="dxa"/>
            <w:vMerge/>
            <w:vAlign w:val="center"/>
          </w:tcPr>
          <w:p w14:paraId="408FC468" w14:textId="77777777" w:rsidR="00A009A0" w:rsidRPr="00312437" w:rsidRDefault="00A009A0" w:rsidP="00A009A0">
            <w:pPr>
              <w:spacing w:after="0"/>
              <w:rPr>
                <w:b/>
              </w:rPr>
            </w:pPr>
          </w:p>
        </w:tc>
        <w:tc>
          <w:tcPr>
            <w:tcW w:w="1984" w:type="dxa"/>
            <w:tcBorders>
              <w:top w:val="single" w:sz="2" w:space="0" w:color="auto"/>
            </w:tcBorders>
            <w:vAlign w:val="center"/>
          </w:tcPr>
          <w:p w14:paraId="666EB228" w14:textId="77777777" w:rsidR="00A009A0" w:rsidRDefault="00A009A0" w:rsidP="00A009A0">
            <w:pPr>
              <w:spacing w:after="0"/>
            </w:pPr>
            <w:r>
              <w:t>Air travel</w:t>
            </w:r>
          </w:p>
        </w:tc>
        <w:tc>
          <w:tcPr>
            <w:tcW w:w="1435" w:type="dxa"/>
            <w:tcBorders>
              <w:top w:val="single" w:sz="2" w:space="0" w:color="auto"/>
            </w:tcBorders>
            <w:shd w:val="clear" w:color="auto" w:fill="auto"/>
            <w:vAlign w:val="center"/>
          </w:tcPr>
          <w:p w14:paraId="324191FF" w14:textId="53A8BBC4" w:rsidR="00A009A0" w:rsidRPr="001C3973" w:rsidRDefault="001C3973" w:rsidP="00A009A0">
            <w:pPr>
              <w:spacing w:after="0"/>
            </w:pPr>
            <w:r w:rsidRPr="001C3973">
              <w:t>1 flight/week</w:t>
            </w:r>
          </w:p>
        </w:tc>
        <w:tc>
          <w:tcPr>
            <w:tcW w:w="555" w:type="dxa"/>
            <w:tcBorders>
              <w:top w:val="single" w:sz="2" w:space="0" w:color="auto"/>
              <w:right w:val="single" w:sz="2" w:space="0" w:color="auto"/>
            </w:tcBorders>
            <w:shd w:val="clear" w:color="auto" w:fill="A8D08D" w:themeFill="accent6" w:themeFillTint="99"/>
            <w:vAlign w:val="center"/>
          </w:tcPr>
          <w:p w14:paraId="3FB58358" w14:textId="7A97F291" w:rsidR="00A009A0" w:rsidRDefault="00A009A0" w:rsidP="00A009A0">
            <w:pPr>
              <w:spacing w:after="0"/>
            </w:pPr>
          </w:p>
        </w:tc>
        <w:tc>
          <w:tcPr>
            <w:tcW w:w="554" w:type="dxa"/>
            <w:tcBorders>
              <w:top w:val="single" w:sz="2" w:space="0" w:color="auto"/>
              <w:left w:val="single" w:sz="2" w:space="0" w:color="auto"/>
              <w:right w:val="single" w:sz="2" w:space="0" w:color="auto"/>
            </w:tcBorders>
            <w:shd w:val="clear" w:color="auto" w:fill="A8D08D" w:themeFill="accent6" w:themeFillTint="99"/>
          </w:tcPr>
          <w:p w14:paraId="317CA681" w14:textId="77777777" w:rsidR="00A009A0" w:rsidRDefault="00A009A0" w:rsidP="00A009A0">
            <w:pPr>
              <w:spacing w:after="0"/>
              <w:rPr>
                <w:i/>
              </w:rPr>
            </w:pPr>
          </w:p>
        </w:tc>
        <w:tc>
          <w:tcPr>
            <w:tcW w:w="554" w:type="dxa"/>
            <w:tcBorders>
              <w:top w:val="single" w:sz="2" w:space="0" w:color="auto"/>
              <w:left w:val="single" w:sz="2" w:space="0" w:color="auto"/>
            </w:tcBorders>
            <w:shd w:val="clear" w:color="auto" w:fill="A8D08D" w:themeFill="accent6" w:themeFillTint="99"/>
          </w:tcPr>
          <w:p w14:paraId="160C6D0C" w14:textId="77777777" w:rsidR="00A009A0" w:rsidRDefault="00A009A0" w:rsidP="00A009A0">
            <w:pPr>
              <w:spacing w:after="0"/>
              <w:rPr>
                <w:i/>
              </w:rPr>
            </w:pPr>
          </w:p>
        </w:tc>
        <w:tc>
          <w:tcPr>
            <w:tcW w:w="557" w:type="dxa"/>
            <w:tcBorders>
              <w:top w:val="single" w:sz="2" w:space="0" w:color="auto"/>
              <w:right w:val="single" w:sz="2" w:space="0" w:color="auto"/>
            </w:tcBorders>
            <w:shd w:val="clear" w:color="auto" w:fill="A8D08D" w:themeFill="accent6" w:themeFillTint="99"/>
          </w:tcPr>
          <w:p w14:paraId="75C01217" w14:textId="77777777" w:rsidR="00A009A0" w:rsidRDefault="00A009A0" w:rsidP="00A009A0">
            <w:pPr>
              <w:spacing w:after="0"/>
              <w:rPr>
                <w:i/>
              </w:rPr>
            </w:pPr>
          </w:p>
        </w:tc>
        <w:tc>
          <w:tcPr>
            <w:tcW w:w="556" w:type="dxa"/>
            <w:tcBorders>
              <w:top w:val="single" w:sz="2" w:space="0" w:color="auto"/>
              <w:left w:val="single" w:sz="2" w:space="0" w:color="auto"/>
              <w:right w:val="single" w:sz="2" w:space="0" w:color="auto"/>
            </w:tcBorders>
            <w:shd w:val="clear" w:color="auto" w:fill="A8D08D" w:themeFill="accent6" w:themeFillTint="99"/>
          </w:tcPr>
          <w:p w14:paraId="6482E70D" w14:textId="77777777" w:rsidR="00A009A0" w:rsidRDefault="00A009A0" w:rsidP="00A009A0">
            <w:pPr>
              <w:spacing w:after="0"/>
              <w:rPr>
                <w:i/>
              </w:rPr>
            </w:pPr>
          </w:p>
        </w:tc>
        <w:tc>
          <w:tcPr>
            <w:tcW w:w="555" w:type="dxa"/>
            <w:tcBorders>
              <w:top w:val="single" w:sz="2" w:space="0" w:color="auto"/>
              <w:left w:val="single" w:sz="2" w:space="0" w:color="auto"/>
            </w:tcBorders>
            <w:shd w:val="clear" w:color="auto" w:fill="A8D08D" w:themeFill="accent6" w:themeFillTint="99"/>
          </w:tcPr>
          <w:p w14:paraId="0CE6D0BE" w14:textId="77777777" w:rsidR="00A009A0" w:rsidRDefault="00A009A0" w:rsidP="00A009A0">
            <w:pPr>
              <w:spacing w:after="0"/>
              <w:rPr>
                <w:i/>
              </w:rPr>
            </w:pPr>
          </w:p>
        </w:tc>
        <w:tc>
          <w:tcPr>
            <w:tcW w:w="688" w:type="dxa"/>
            <w:tcBorders>
              <w:top w:val="single" w:sz="2" w:space="0" w:color="auto"/>
            </w:tcBorders>
            <w:shd w:val="clear" w:color="auto" w:fill="FF0000"/>
            <w:vAlign w:val="center"/>
          </w:tcPr>
          <w:p w14:paraId="0DE2B589" w14:textId="43F23A00" w:rsidR="00A009A0" w:rsidRPr="00E079A7" w:rsidRDefault="00E079A7" w:rsidP="00E079A7">
            <w:pPr>
              <w:spacing w:after="0"/>
              <w:jc w:val="center"/>
              <w:rPr>
                <w:i/>
              </w:rPr>
            </w:pPr>
            <w:r w:rsidRPr="00615470">
              <w:rPr>
                <w:rFonts w:cstheme="minorHAnsi"/>
                <w:color w:val="000000" w:themeColor="text1"/>
                <w:sz w:val="24"/>
              </w:rPr>
              <w:t>∆</w:t>
            </w:r>
          </w:p>
        </w:tc>
      </w:tr>
      <w:tr w:rsidR="0019506B" w14:paraId="5050D29F" w14:textId="77777777" w:rsidTr="003232FA">
        <w:trPr>
          <w:trHeight w:val="340"/>
        </w:trPr>
        <w:tc>
          <w:tcPr>
            <w:tcW w:w="1410" w:type="dxa"/>
            <w:vAlign w:val="center"/>
          </w:tcPr>
          <w:p w14:paraId="17D975E2" w14:textId="77777777" w:rsidR="00A009A0" w:rsidRPr="00312437" w:rsidRDefault="00A009A0" w:rsidP="00A009A0">
            <w:pPr>
              <w:spacing w:after="0"/>
              <w:rPr>
                <w:b/>
              </w:rPr>
            </w:pPr>
            <w:r w:rsidRPr="00312437">
              <w:rPr>
                <w:b/>
              </w:rPr>
              <w:t xml:space="preserve">Clothing </w:t>
            </w:r>
          </w:p>
        </w:tc>
        <w:tc>
          <w:tcPr>
            <w:tcW w:w="1984" w:type="dxa"/>
            <w:vAlign w:val="center"/>
          </w:tcPr>
          <w:p w14:paraId="0C8C2936" w14:textId="77777777" w:rsidR="00A009A0" w:rsidRDefault="00A009A0" w:rsidP="00A009A0">
            <w:pPr>
              <w:spacing w:after="0"/>
            </w:pPr>
            <w:r>
              <w:t>Clothing items</w:t>
            </w:r>
          </w:p>
        </w:tc>
        <w:tc>
          <w:tcPr>
            <w:tcW w:w="1435" w:type="dxa"/>
            <w:shd w:val="clear" w:color="auto" w:fill="auto"/>
            <w:vAlign w:val="center"/>
          </w:tcPr>
          <w:p w14:paraId="1DAAC1F6" w14:textId="486F9250" w:rsidR="00A009A0" w:rsidRDefault="00A009A0" w:rsidP="00A009A0">
            <w:pPr>
              <w:spacing w:after="0"/>
            </w:pPr>
            <w:r>
              <w:t>30 kg/cap/yr</w:t>
            </w:r>
          </w:p>
        </w:tc>
        <w:tc>
          <w:tcPr>
            <w:tcW w:w="555" w:type="dxa"/>
            <w:tcBorders>
              <w:right w:val="single" w:sz="2" w:space="0" w:color="auto"/>
            </w:tcBorders>
            <w:shd w:val="clear" w:color="auto" w:fill="A8D08D" w:themeFill="accent6" w:themeFillTint="99"/>
            <w:vAlign w:val="center"/>
          </w:tcPr>
          <w:p w14:paraId="7815A261" w14:textId="188ABE14" w:rsidR="00A009A0" w:rsidRDefault="00A009A0" w:rsidP="00A009A0">
            <w:pPr>
              <w:spacing w:after="0"/>
            </w:pPr>
          </w:p>
        </w:tc>
        <w:tc>
          <w:tcPr>
            <w:tcW w:w="554" w:type="dxa"/>
            <w:tcBorders>
              <w:left w:val="single" w:sz="2" w:space="0" w:color="auto"/>
              <w:right w:val="single" w:sz="2" w:space="0" w:color="auto"/>
            </w:tcBorders>
            <w:shd w:val="clear" w:color="auto" w:fill="A8D08D" w:themeFill="accent6" w:themeFillTint="99"/>
          </w:tcPr>
          <w:p w14:paraId="7103520E" w14:textId="77777777" w:rsidR="00A009A0" w:rsidRDefault="00A009A0" w:rsidP="00A009A0">
            <w:pPr>
              <w:spacing w:after="0"/>
            </w:pPr>
          </w:p>
        </w:tc>
        <w:tc>
          <w:tcPr>
            <w:tcW w:w="554" w:type="dxa"/>
            <w:tcBorders>
              <w:left w:val="single" w:sz="2" w:space="0" w:color="auto"/>
            </w:tcBorders>
            <w:shd w:val="clear" w:color="auto" w:fill="A8D08D" w:themeFill="accent6" w:themeFillTint="99"/>
          </w:tcPr>
          <w:p w14:paraId="276FD5CE" w14:textId="77777777" w:rsidR="00A009A0" w:rsidRDefault="00A009A0" w:rsidP="00A009A0">
            <w:pPr>
              <w:spacing w:after="0"/>
            </w:pPr>
          </w:p>
        </w:tc>
        <w:tc>
          <w:tcPr>
            <w:tcW w:w="557" w:type="dxa"/>
            <w:tcBorders>
              <w:right w:val="single" w:sz="2" w:space="0" w:color="auto"/>
            </w:tcBorders>
            <w:shd w:val="clear" w:color="auto" w:fill="A8D08D" w:themeFill="accent6" w:themeFillTint="99"/>
          </w:tcPr>
          <w:p w14:paraId="0869F6E9" w14:textId="77777777" w:rsidR="00A009A0" w:rsidRDefault="00A009A0" w:rsidP="00A009A0">
            <w:pPr>
              <w:spacing w:after="0"/>
            </w:pPr>
          </w:p>
        </w:tc>
        <w:tc>
          <w:tcPr>
            <w:tcW w:w="556" w:type="dxa"/>
            <w:tcBorders>
              <w:left w:val="single" w:sz="2" w:space="0" w:color="auto"/>
              <w:right w:val="single" w:sz="2" w:space="0" w:color="auto"/>
            </w:tcBorders>
            <w:shd w:val="clear" w:color="auto" w:fill="FF0000"/>
          </w:tcPr>
          <w:p w14:paraId="64320F86" w14:textId="77777777" w:rsidR="00A009A0" w:rsidRDefault="00A009A0" w:rsidP="00A009A0">
            <w:pPr>
              <w:spacing w:after="0"/>
            </w:pPr>
          </w:p>
        </w:tc>
        <w:tc>
          <w:tcPr>
            <w:tcW w:w="555" w:type="dxa"/>
            <w:tcBorders>
              <w:left w:val="single" w:sz="2" w:space="0" w:color="auto"/>
            </w:tcBorders>
            <w:shd w:val="clear" w:color="auto" w:fill="FF0000"/>
          </w:tcPr>
          <w:p w14:paraId="6F8A8170" w14:textId="77777777" w:rsidR="00A009A0" w:rsidRDefault="00A009A0" w:rsidP="00A009A0">
            <w:pPr>
              <w:spacing w:after="0"/>
            </w:pPr>
          </w:p>
        </w:tc>
        <w:tc>
          <w:tcPr>
            <w:tcW w:w="688" w:type="dxa"/>
            <w:shd w:val="clear" w:color="auto" w:fill="FF0000"/>
          </w:tcPr>
          <w:p w14:paraId="2F9485E6" w14:textId="77777777" w:rsidR="00A009A0" w:rsidRDefault="00A009A0" w:rsidP="00A009A0">
            <w:pPr>
              <w:spacing w:after="0"/>
            </w:pPr>
          </w:p>
        </w:tc>
      </w:tr>
      <w:tr w:rsidR="0019506B" w14:paraId="7DFACA1F" w14:textId="77777777" w:rsidTr="003232FA">
        <w:trPr>
          <w:trHeight w:val="340"/>
        </w:trPr>
        <w:tc>
          <w:tcPr>
            <w:tcW w:w="1410" w:type="dxa"/>
            <w:vAlign w:val="center"/>
          </w:tcPr>
          <w:p w14:paraId="47ACFF05" w14:textId="5C8B6967" w:rsidR="00A009A0" w:rsidRPr="00312437" w:rsidRDefault="00A009A0" w:rsidP="003232FA">
            <w:pPr>
              <w:spacing w:after="0"/>
              <w:rPr>
                <w:b/>
              </w:rPr>
            </w:pPr>
            <w:r w:rsidRPr="00312437">
              <w:rPr>
                <w:b/>
              </w:rPr>
              <w:t>Info &amp; Comm</w:t>
            </w:r>
            <w:r w:rsidR="003232FA">
              <w:rPr>
                <w:b/>
              </w:rPr>
              <w:t>s</w:t>
            </w:r>
          </w:p>
        </w:tc>
        <w:tc>
          <w:tcPr>
            <w:tcW w:w="1984" w:type="dxa"/>
            <w:vAlign w:val="center"/>
          </w:tcPr>
          <w:p w14:paraId="52C033D0" w14:textId="77777777" w:rsidR="00A009A0" w:rsidRDefault="00A009A0" w:rsidP="00A009A0">
            <w:pPr>
              <w:spacing w:after="0"/>
            </w:pPr>
            <w:r>
              <w:t>Computer ownership</w:t>
            </w:r>
          </w:p>
        </w:tc>
        <w:tc>
          <w:tcPr>
            <w:tcW w:w="1435" w:type="dxa"/>
            <w:shd w:val="clear" w:color="auto" w:fill="auto"/>
            <w:vAlign w:val="center"/>
          </w:tcPr>
          <w:p w14:paraId="32DAC09B" w14:textId="7B4CE266" w:rsidR="00A009A0" w:rsidRDefault="00A009A0" w:rsidP="00A009A0">
            <w:pPr>
              <w:spacing w:after="0"/>
            </w:pPr>
            <w:r>
              <w:t>2.5/cap</w:t>
            </w:r>
          </w:p>
        </w:tc>
        <w:tc>
          <w:tcPr>
            <w:tcW w:w="555" w:type="dxa"/>
            <w:tcBorders>
              <w:right w:val="single" w:sz="2" w:space="0" w:color="auto"/>
            </w:tcBorders>
            <w:shd w:val="clear" w:color="auto" w:fill="A8D08D" w:themeFill="accent6" w:themeFillTint="99"/>
            <w:vAlign w:val="center"/>
          </w:tcPr>
          <w:p w14:paraId="329099F7" w14:textId="3ADFB2CA" w:rsidR="00A009A0" w:rsidRDefault="00A009A0" w:rsidP="00A009A0">
            <w:pPr>
              <w:spacing w:after="0"/>
            </w:pPr>
          </w:p>
        </w:tc>
        <w:tc>
          <w:tcPr>
            <w:tcW w:w="554" w:type="dxa"/>
            <w:tcBorders>
              <w:left w:val="single" w:sz="2" w:space="0" w:color="auto"/>
              <w:right w:val="single" w:sz="2" w:space="0" w:color="auto"/>
            </w:tcBorders>
            <w:shd w:val="clear" w:color="auto" w:fill="A8D08D" w:themeFill="accent6" w:themeFillTint="99"/>
          </w:tcPr>
          <w:p w14:paraId="706F65AE" w14:textId="77777777" w:rsidR="00A009A0" w:rsidRDefault="00A009A0" w:rsidP="00A009A0">
            <w:pPr>
              <w:spacing w:after="0"/>
            </w:pPr>
          </w:p>
        </w:tc>
        <w:tc>
          <w:tcPr>
            <w:tcW w:w="554" w:type="dxa"/>
            <w:tcBorders>
              <w:left w:val="single" w:sz="2" w:space="0" w:color="auto"/>
            </w:tcBorders>
            <w:shd w:val="clear" w:color="auto" w:fill="A8D08D" w:themeFill="accent6" w:themeFillTint="99"/>
          </w:tcPr>
          <w:p w14:paraId="7C9CB2F4" w14:textId="77777777" w:rsidR="00A009A0" w:rsidRDefault="00A009A0" w:rsidP="00A009A0">
            <w:pPr>
              <w:spacing w:after="0"/>
            </w:pPr>
          </w:p>
        </w:tc>
        <w:tc>
          <w:tcPr>
            <w:tcW w:w="557" w:type="dxa"/>
            <w:tcBorders>
              <w:right w:val="single" w:sz="2" w:space="0" w:color="auto"/>
            </w:tcBorders>
            <w:shd w:val="clear" w:color="auto" w:fill="A8D08D" w:themeFill="accent6" w:themeFillTint="99"/>
          </w:tcPr>
          <w:p w14:paraId="228A2677" w14:textId="77777777" w:rsidR="00A009A0" w:rsidRDefault="00A009A0" w:rsidP="00A009A0">
            <w:pPr>
              <w:spacing w:after="0"/>
            </w:pPr>
          </w:p>
        </w:tc>
        <w:tc>
          <w:tcPr>
            <w:tcW w:w="556" w:type="dxa"/>
            <w:tcBorders>
              <w:left w:val="single" w:sz="2" w:space="0" w:color="auto"/>
              <w:right w:val="single" w:sz="2" w:space="0" w:color="auto"/>
            </w:tcBorders>
            <w:shd w:val="clear" w:color="auto" w:fill="FF0000"/>
          </w:tcPr>
          <w:p w14:paraId="28F26565" w14:textId="77777777" w:rsidR="00A009A0" w:rsidRDefault="00A009A0" w:rsidP="00A009A0">
            <w:pPr>
              <w:spacing w:after="0"/>
            </w:pPr>
          </w:p>
        </w:tc>
        <w:tc>
          <w:tcPr>
            <w:tcW w:w="555" w:type="dxa"/>
            <w:tcBorders>
              <w:left w:val="single" w:sz="2" w:space="0" w:color="auto"/>
            </w:tcBorders>
            <w:shd w:val="clear" w:color="auto" w:fill="FF0000"/>
          </w:tcPr>
          <w:p w14:paraId="76289613" w14:textId="77777777" w:rsidR="00A009A0" w:rsidRDefault="00A009A0" w:rsidP="00A009A0">
            <w:pPr>
              <w:spacing w:after="0"/>
            </w:pPr>
          </w:p>
        </w:tc>
        <w:tc>
          <w:tcPr>
            <w:tcW w:w="688" w:type="dxa"/>
            <w:shd w:val="clear" w:color="auto" w:fill="FF0000"/>
          </w:tcPr>
          <w:p w14:paraId="0E12548F" w14:textId="77777777" w:rsidR="00A009A0" w:rsidRDefault="00A009A0" w:rsidP="00A009A0">
            <w:pPr>
              <w:spacing w:after="0"/>
            </w:pPr>
          </w:p>
        </w:tc>
      </w:tr>
    </w:tbl>
    <w:p w14:paraId="65F42EB5" w14:textId="77777777" w:rsidR="000D03DC" w:rsidRPr="001D29B5" w:rsidRDefault="000D03DC" w:rsidP="000D03DC">
      <w:pPr>
        <w:pStyle w:val="Heading3"/>
      </w:pPr>
      <w:bookmarkStart w:id="11" w:name="_Toc91071613"/>
      <w:r w:rsidRPr="001D29B5">
        <w:lastRenderedPageBreak/>
        <w:t>Clothing</w:t>
      </w:r>
      <w:r>
        <w:t xml:space="preserve"> and Information and Communication</w:t>
      </w:r>
      <w:bookmarkEnd w:id="11"/>
    </w:p>
    <w:p w14:paraId="11F734D5" w14:textId="77777777" w:rsidR="00132819" w:rsidRDefault="000D03DC" w:rsidP="000D03DC">
      <w:r>
        <w:t>T</w:t>
      </w:r>
      <w:r w:rsidRPr="006D071F">
        <w:t xml:space="preserve">he </w:t>
      </w:r>
      <w:r w:rsidR="00F123FE">
        <w:t>key</w:t>
      </w:r>
      <w:r>
        <w:t xml:space="preserve"> </w:t>
      </w:r>
      <w:r w:rsidRPr="006D071F">
        <w:t xml:space="preserve">DLE </w:t>
      </w:r>
      <w:r>
        <w:t>assumptions for these sectors are that</w:t>
      </w:r>
      <w:r w:rsidR="000E7A87">
        <w:t>:</w:t>
      </w:r>
      <w:r>
        <w:t xml:space="preserve"> each person needs 3 kg of new clothing per year</w:t>
      </w:r>
      <w:r w:rsidR="000E7A87">
        <w:t>;</w:t>
      </w:r>
      <w:r>
        <w:t xml:space="preserve"> </w:t>
      </w:r>
      <w:r w:rsidR="006366C0">
        <w:t>everyone</w:t>
      </w:r>
      <w:r>
        <w:t xml:space="preserve"> over 10 </w:t>
      </w:r>
      <w:r w:rsidR="00F123FE">
        <w:t xml:space="preserve">years of age </w:t>
      </w:r>
      <w:r>
        <w:t>owns a smartphone</w:t>
      </w:r>
      <w:r w:rsidR="000E7A87">
        <w:t>;</w:t>
      </w:r>
      <w:r w:rsidR="006366C0">
        <w:t xml:space="preserve"> and</w:t>
      </w:r>
      <w:r>
        <w:t xml:space="preserve"> there </w:t>
      </w:r>
      <w:r w:rsidR="006366C0">
        <w:t>is</w:t>
      </w:r>
      <w:r>
        <w:t xml:space="preserve"> a laptop in each household (i.e. one per four people). In the inequality scenarios, we increase both the amount of new clothing and laptop ownership linearly with the relative consumption curves, but up to </w:t>
      </w:r>
      <w:r w:rsidRPr="006D071F">
        <w:rPr>
          <w:b/>
        </w:rPr>
        <w:t>limits of 10 times the default values</w:t>
      </w:r>
      <w:r>
        <w:t xml:space="preserve">. </w:t>
      </w:r>
    </w:p>
    <w:p w14:paraId="0F1A46B6" w14:textId="7638B887" w:rsidR="000D03DC" w:rsidRDefault="000D03DC" w:rsidP="000D03DC">
      <w:r>
        <w:t>These limits are chosen fairly arbitrary compared to the limits defined for other sectors, due to a lack of any more objective way to estimate saturation points. However, the</w:t>
      </w:r>
      <w:r w:rsidR="006366C0">
        <w:t>y’re calibrated so the</w:t>
      </w:r>
      <w:r>
        <w:t xml:space="preserve"> resulting maximum consumption seem</w:t>
      </w:r>
      <w:r w:rsidR="006366C0">
        <w:t>s</w:t>
      </w:r>
      <w:r w:rsidR="00435D16">
        <w:t xml:space="preserve"> reasonable.</w:t>
      </w:r>
      <w:r w:rsidR="00132819">
        <w:t xml:space="preserve"> </w:t>
      </w:r>
      <w:r>
        <w:t xml:space="preserve">For example, 30kg of clothing is roughly one new item </w:t>
      </w:r>
      <w:r w:rsidR="003E4D2B">
        <w:t>per</w:t>
      </w:r>
      <w:r>
        <w:t xml:space="preserve"> week. </w:t>
      </w:r>
      <w:r w:rsidR="00132819">
        <w:t>I</w:t>
      </w:r>
      <w:r>
        <w:t xml:space="preserve">ncreasing laptop ownership by </w:t>
      </w:r>
      <w:r w:rsidR="00132819">
        <w:t xml:space="preserve">a factor of </w:t>
      </w:r>
      <w:r>
        <w:t xml:space="preserve">ten can be interpreted as increasing the </w:t>
      </w:r>
      <w:r w:rsidR="00132819">
        <w:t>basic</w:t>
      </w:r>
      <w:r>
        <w:t xml:space="preserve"> laptop ownership of 1/household to 1/person </w:t>
      </w:r>
      <w:r w:rsidR="00132819">
        <w:t>and</w:t>
      </w:r>
      <w:r w:rsidR="00591F95">
        <w:t xml:space="preserve"> replacing them</w:t>
      </w:r>
      <w:r>
        <w:t xml:space="preserve"> 2.5 times more often</w:t>
      </w:r>
      <w:r w:rsidR="00591F95">
        <w:t xml:space="preserve">, or by increasing ownership to 2/person </w:t>
      </w:r>
      <w:r w:rsidR="00132819">
        <w:t>while</w:t>
      </w:r>
      <w:r w:rsidR="00591F95">
        <w:t xml:space="preserve"> replacing slightly more often</w:t>
      </w:r>
      <w:r>
        <w:t xml:space="preserve">. In any case, these limits are not reached in any country in the </w:t>
      </w:r>
      <w:r>
        <w:rPr>
          <w:i/>
        </w:rPr>
        <w:t xml:space="preserve">fair inequality </w:t>
      </w:r>
      <w:r>
        <w:t xml:space="preserve">scenario: they are reached only </w:t>
      </w:r>
      <w:r w:rsidR="00F725D8">
        <w:t xml:space="preserve">in the </w:t>
      </w:r>
      <w:r w:rsidR="00F725D8">
        <w:rPr>
          <w:i/>
        </w:rPr>
        <w:t xml:space="preserve">fairly large </w:t>
      </w:r>
      <w:r w:rsidR="00F725D8">
        <w:t>inequality scenario</w:t>
      </w:r>
      <w:r w:rsidR="00E16E6B">
        <w:t xml:space="preserve"> –</w:t>
      </w:r>
      <w:r w:rsidR="00F725D8">
        <w:t xml:space="preserve"> </w:t>
      </w:r>
      <w:r>
        <w:t xml:space="preserve">by the top 5% in </w:t>
      </w:r>
      <w:r>
        <w:rPr>
          <w:i/>
        </w:rPr>
        <w:t>moderate</w:t>
      </w:r>
      <w:r>
        <w:t xml:space="preserve"> countries and top 20% in </w:t>
      </w:r>
      <w:r>
        <w:rPr>
          <w:i/>
        </w:rPr>
        <w:t xml:space="preserve">meritocratic </w:t>
      </w:r>
      <w:r>
        <w:t>counties</w:t>
      </w:r>
      <w:r w:rsidR="00E16E6B">
        <w:t xml:space="preserve"> – </w:t>
      </w:r>
      <w:r>
        <w:t xml:space="preserve">and the top 1% in the </w:t>
      </w:r>
      <w:r w:rsidRPr="007D6B71">
        <w:rPr>
          <w:i/>
        </w:rPr>
        <w:t>super-rich</w:t>
      </w:r>
      <w:r>
        <w:t xml:space="preserve"> scenario.</w:t>
      </w:r>
    </w:p>
    <w:p w14:paraId="04AE769D" w14:textId="02082FB1" w:rsidR="00E119B9" w:rsidRPr="001365CB" w:rsidRDefault="00F64DF2" w:rsidP="00E119B9">
      <w:pPr>
        <w:pStyle w:val="Heading2"/>
      </w:pPr>
      <w:bookmarkStart w:id="12" w:name="_Toc91071614"/>
      <w:r>
        <w:t>C</w:t>
      </w:r>
      <w:r w:rsidR="00E119B9">
        <w:t>onsumption of the super-rich</w:t>
      </w:r>
      <w:bookmarkEnd w:id="12"/>
    </w:p>
    <w:p w14:paraId="3296FEE7" w14:textId="313C1064" w:rsidR="00180F55" w:rsidRDefault="00184045" w:rsidP="00180F55">
      <w:r w:rsidRPr="00184045">
        <w:t>Otto</w:t>
      </w:r>
      <w:r>
        <w:t xml:space="preserve"> et al.</w:t>
      </w:r>
      <w:r w:rsidR="001A45EE">
        <w:fldChar w:fldCharType="begin"/>
      </w:r>
      <w:r w:rsidR="001A45EE">
        <w:instrText xml:space="preserve"> ADDIN EN.CITE &lt;EndNote&gt;&lt;Cite&gt;&lt;Author&gt;Otto&lt;/Author&gt;&lt;Year&gt;2019&lt;/Year&gt;&lt;RecNum&gt;1333&lt;/RecNum&gt;&lt;DisplayText&gt;[7]&lt;/DisplayText&gt;&lt;record&gt;&lt;rec-number&gt;1333&lt;/rec-number&gt;&lt;foreign-keys&gt;&lt;key app="EN" db-id="trp9sxavnrpwwyeprv75wfdvdzzdv5x20asz" timestamp="1605029520"&gt;1333&lt;/key&gt;&lt;/foreign-keys&gt;&lt;ref-type name="Journal Article"&gt;17&lt;/ref-type&gt;&lt;contributors&gt;&lt;authors&gt;&lt;author&gt;Otto, Ilona M.&lt;/author&gt;&lt;author&gt;Kim, Kyoung Mi&lt;/author&gt;&lt;author&gt;Dubrovsky, Nika&lt;/author&gt;&lt;author&gt;Lucht, Wolfgang&lt;/author&gt;&lt;/authors&gt;&lt;/contributors&gt;&lt;titles&gt;&lt;title&gt;Shift the focus from the super-poor to the super-rich&lt;/title&gt;&lt;secondary-title&gt;Nature Climate Change&lt;/secondary-title&gt;&lt;/titles&gt;&lt;periodical&gt;&lt;full-title&gt;Nature Climate Change&lt;/full-title&gt;&lt;/periodical&gt;&lt;pages&gt;82-84&lt;/pages&gt;&lt;volume&gt;9&lt;/volume&gt;&lt;number&gt;2&lt;/number&gt;&lt;dates&gt;&lt;year&gt;2019&lt;/year&gt;&lt;pub-dates&gt;&lt;date&gt;2019/02/01&lt;/date&gt;&lt;/pub-dates&gt;&lt;/dates&gt;&lt;isbn&gt;1758-6798&lt;/isbn&gt;&lt;urls&gt;&lt;related-urls&gt;&lt;url&gt;https://doi.org/10.1038/s41558-019-0402-3&lt;/url&gt;&lt;/related-urls&gt;&lt;/urls&gt;&lt;electronic-resource-num&gt;10.1038/s41558-019-0402-3&lt;/electronic-resource-num&gt;&lt;/record&gt;&lt;/Cite&gt;&lt;/EndNote&gt;</w:instrText>
      </w:r>
      <w:r w:rsidR="001A45EE">
        <w:fldChar w:fldCharType="separate"/>
      </w:r>
      <w:r w:rsidR="001A45EE">
        <w:rPr>
          <w:noProof/>
        </w:rPr>
        <w:t>[7]</w:t>
      </w:r>
      <w:r w:rsidR="001A45EE">
        <w:fldChar w:fldCharType="end"/>
      </w:r>
      <w:r w:rsidR="001A45EE">
        <w:t xml:space="preserve"> </w:t>
      </w:r>
      <w:r w:rsidR="001A0506">
        <w:t>argue</w:t>
      </w:r>
      <w:r w:rsidR="001A45EE">
        <w:t xml:space="preserve"> that research into environmental impacts has devote</w:t>
      </w:r>
      <w:r w:rsidR="00391B2F">
        <w:t xml:space="preserve">d insufficient attention to </w:t>
      </w:r>
      <w:r w:rsidR="001A45EE">
        <w:t>high net worth individuals</w:t>
      </w:r>
      <w:r w:rsidR="00391B2F">
        <w:t xml:space="preserve"> – </w:t>
      </w:r>
      <w:r w:rsidR="001A0506">
        <w:t xml:space="preserve">e.g. those </w:t>
      </w:r>
      <w:r w:rsidR="001A45EE">
        <w:t>with ass</w:t>
      </w:r>
      <w:r w:rsidR="00391B2F">
        <w:t>ets totalling over US$1 million</w:t>
      </w:r>
      <w:r w:rsidR="001A45EE">
        <w:t xml:space="preserve">, of which there are 36 million globally (about 0.5% of the world’s population). To this end, they offer data on mobility and housing activity of a small number of </w:t>
      </w:r>
      <w:r w:rsidR="001A45EE" w:rsidRPr="001A45EE">
        <w:rPr>
          <w:i/>
        </w:rPr>
        <w:t>super-rich</w:t>
      </w:r>
      <w:r>
        <w:t xml:space="preserve"> </w:t>
      </w:r>
      <w:r w:rsidR="001A45EE">
        <w:t>households</w:t>
      </w:r>
      <w:r w:rsidR="001A0506">
        <w:t>.</w:t>
      </w:r>
      <w:r w:rsidR="00391B2F">
        <w:t xml:space="preserve"> </w:t>
      </w:r>
      <w:r w:rsidR="001A0506">
        <w:t xml:space="preserve">The data are wide ranging, showing 1-10 return flights per month, </w:t>
      </w:r>
      <w:r w:rsidR="00B20DB4">
        <w:t>2,000-4,500 km of driving per month, and</w:t>
      </w:r>
      <w:r w:rsidR="00B20DB4" w:rsidRPr="00B20DB4">
        <w:t xml:space="preserve"> </w:t>
      </w:r>
      <w:r w:rsidR="00B20DB4">
        <w:t>residential floor space totalling 200-745m</w:t>
      </w:r>
      <w:r w:rsidR="00B20DB4" w:rsidRPr="001C6FE7">
        <w:rPr>
          <w:vertAlign w:val="superscript"/>
        </w:rPr>
        <w:t>2</w:t>
      </w:r>
      <w:r w:rsidR="00B20DB4">
        <w:t xml:space="preserve"> per person when first and second homes are combined</w:t>
      </w:r>
      <w:r w:rsidR="00B20DB4">
        <w:fldChar w:fldCharType="begin"/>
      </w:r>
      <w:r w:rsidR="00B20DB4">
        <w:instrText xml:space="preserve"> ADDIN EN.CITE &lt;EndNote&gt;&lt;Cite&gt;&lt;Author&gt;Otto&lt;/Author&gt;&lt;Year&gt;2019&lt;/Year&gt;&lt;RecNum&gt;1333&lt;/RecNum&gt;&lt;DisplayText&gt;[7]&lt;/DisplayText&gt;&lt;record&gt;&lt;rec-number&gt;1333&lt;/rec-number&gt;&lt;foreign-keys&gt;&lt;key app="EN" db-id="trp9sxavnrpwwyeprv75wfdvdzzdv5x20asz" timestamp="1605029520"&gt;1333&lt;/key&gt;&lt;/foreign-keys&gt;&lt;ref-type name="Journal Article"&gt;17&lt;/ref-type&gt;&lt;contributors&gt;&lt;authors&gt;&lt;author&gt;Otto, Ilona M.&lt;/author&gt;&lt;author&gt;Kim, Kyoung Mi&lt;/author&gt;&lt;author&gt;Dubrovsky, Nika&lt;/author&gt;&lt;author&gt;Lucht, Wolfgang&lt;/author&gt;&lt;/authors&gt;&lt;/contributors&gt;&lt;titles&gt;&lt;title&gt;Shift the focus from the super-poor to the super-rich&lt;/title&gt;&lt;secondary-title&gt;Nature Climate Change&lt;/secondary-title&gt;&lt;/titles&gt;&lt;periodical&gt;&lt;full-title&gt;Nature Climate Change&lt;/full-title&gt;&lt;/periodical&gt;&lt;pages&gt;82-84&lt;/pages&gt;&lt;volume&gt;9&lt;/volume&gt;&lt;number&gt;2&lt;/number&gt;&lt;dates&gt;&lt;year&gt;2019&lt;/year&gt;&lt;pub-dates&gt;&lt;date&gt;2019/02/01&lt;/date&gt;&lt;/pub-dates&gt;&lt;/dates&gt;&lt;isbn&gt;1758-6798&lt;/isbn&gt;&lt;urls&gt;&lt;related-urls&gt;&lt;url&gt;https://doi.org/10.1038/s41558-019-0402-3&lt;/url&gt;&lt;/related-urls&gt;&lt;/urls&gt;&lt;electronic-resource-num&gt;10.1038/s41558-019-0402-3&lt;/electronic-resource-num&gt;&lt;/record&gt;&lt;/Cite&gt;&lt;/EndNote&gt;</w:instrText>
      </w:r>
      <w:r w:rsidR="00B20DB4">
        <w:fldChar w:fldCharType="separate"/>
      </w:r>
      <w:r w:rsidR="00B20DB4">
        <w:rPr>
          <w:noProof/>
        </w:rPr>
        <w:t>[7]</w:t>
      </w:r>
      <w:r w:rsidR="00B20DB4">
        <w:fldChar w:fldCharType="end"/>
      </w:r>
      <w:r w:rsidR="00B20DB4">
        <w:t>.</w:t>
      </w:r>
      <w:r w:rsidR="00B20DB4" w:rsidRPr="00B20DB4">
        <w:t xml:space="preserve"> </w:t>
      </w:r>
      <w:r w:rsidR="00B20DB4">
        <w:t xml:space="preserve">For the </w:t>
      </w:r>
      <w:r w:rsidR="00B20DB4">
        <w:rPr>
          <w:i/>
        </w:rPr>
        <w:t>Super-rich</w:t>
      </w:r>
      <w:r w:rsidR="00B20DB4">
        <w:t xml:space="preserve"> scenario, values roughly within the middle of these ranges are used, specifically, </w:t>
      </w:r>
      <w:r w:rsidR="00B20DB4" w:rsidRPr="0022199E">
        <w:rPr>
          <w:b/>
        </w:rPr>
        <w:t>1 flight/week</w:t>
      </w:r>
      <w:r w:rsidR="00B20DB4">
        <w:t xml:space="preserve">, private road transport of </w:t>
      </w:r>
      <w:r w:rsidR="00B20DB4" w:rsidRPr="0022199E">
        <w:rPr>
          <w:b/>
        </w:rPr>
        <w:t>40,000 km/yr</w:t>
      </w:r>
      <w:r w:rsidR="00B20DB4">
        <w:t>, and household size of</w:t>
      </w:r>
      <w:r w:rsidR="00E119B9">
        <w:t xml:space="preserve"> </w:t>
      </w:r>
      <w:r w:rsidR="00E119B9" w:rsidRPr="0022199E">
        <w:rPr>
          <w:b/>
        </w:rPr>
        <w:t>500 m</w:t>
      </w:r>
      <w:r w:rsidR="00E119B9" w:rsidRPr="0022199E">
        <w:rPr>
          <w:b/>
          <w:vertAlign w:val="superscript"/>
        </w:rPr>
        <w:t>2</w:t>
      </w:r>
      <w:r w:rsidR="00B20DB4">
        <w:t xml:space="preserve">. </w:t>
      </w:r>
      <w:r w:rsidR="00E119B9" w:rsidRPr="00E119B9">
        <w:t xml:space="preserve">In </w:t>
      </w:r>
      <w:r w:rsidR="00B20DB4">
        <w:t xml:space="preserve">the </w:t>
      </w:r>
      <w:r w:rsidR="00E119B9" w:rsidRPr="00E119B9">
        <w:t xml:space="preserve">other </w:t>
      </w:r>
      <w:r w:rsidR="00B20DB4">
        <w:t xml:space="preserve">consumption </w:t>
      </w:r>
      <w:r w:rsidR="00E119B9" w:rsidRPr="00E119B9">
        <w:t>categories</w:t>
      </w:r>
      <w:r w:rsidR="00E119B9">
        <w:t>,</w:t>
      </w:r>
      <w:r w:rsidR="00E119B9" w:rsidRPr="00E119B9">
        <w:t xml:space="preserve"> the same limits as for other </w:t>
      </w:r>
      <w:r w:rsidR="00B20DB4">
        <w:t xml:space="preserve">two </w:t>
      </w:r>
      <w:r w:rsidR="00E119B9" w:rsidRPr="00E119B9">
        <w:t xml:space="preserve">inequality scenarios </w:t>
      </w:r>
      <w:r w:rsidR="00B20DB4">
        <w:t xml:space="preserve">are applied. </w:t>
      </w:r>
      <w:r w:rsidR="00502A1B">
        <w:t>This is</w:t>
      </w:r>
      <w:r w:rsidR="00B20DB4">
        <w:t>,</w:t>
      </w:r>
      <w:r w:rsidR="00502A1B">
        <w:t xml:space="preserve"> </w:t>
      </w:r>
      <w:r w:rsidR="00B20DB4">
        <w:t xml:space="preserve">of course, </w:t>
      </w:r>
      <w:r w:rsidR="00502A1B">
        <w:t xml:space="preserve">a </w:t>
      </w:r>
      <w:r w:rsidR="00B20DB4">
        <w:t>crude and uncertain</w:t>
      </w:r>
      <w:r w:rsidR="00502A1B">
        <w:t xml:space="preserve"> way of integrating </w:t>
      </w:r>
      <w:r w:rsidR="00B20DB4">
        <w:t>the impacts of super-consumers, but it nonetheless serves to capture the potential impact of such extreme, long-tailed inequality on global ecological impacts.</w:t>
      </w:r>
    </w:p>
    <w:p w14:paraId="3E081855" w14:textId="17DFC84E" w:rsidR="00372B8E" w:rsidRDefault="00372B8E">
      <w:pPr>
        <w:spacing w:after="160"/>
      </w:pPr>
    </w:p>
    <w:p w14:paraId="0F1B0EF4" w14:textId="71590722" w:rsidR="00180F55" w:rsidRDefault="00180F55" w:rsidP="00571AA9">
      <w:pPr>
        <w:pStyle w:val="Heading1"/>
      </w:pPr>
      <w:bookmarkStart w:id="13" w:name="_Toc91071615"/>
      <w:r>
        <w:t xml:space="preserve">The </w:t>
      </w:r>
      <w:r w:rsidRPr="00161974">
        <w:t>High Population</w:t>
      </w:r>
      <w:r>
        <w:t xml:space="preserve"> Scenario</w:t>
      </w:r>
      <w:bookmarkEnd w:id="13"/>
    </w:p>
    <w:p w14:paraId="45B31EFB" w14:textId="1F2C8AEA" w:rsidR="00CA3CA6" w:rsidRDefault="00AF066E" w:rsidP="00AF066E">
      <w:r>
        <w:t>The original decent living energy model used the central population projection of the United Nations population division, which gave a global population of 9.74 billion in 2050. Although this is their central estimate, it is towards the higher end of those in the literature.</w:t>
      </w:r>
      <w:r w:rsidR="00B95C31">
        <w:t xml:space="preserve"> The projections of </w:t>
      </w:r>
      <w:r w:rsidRPr="00AF066E">
        <w:t>Vollset</w:t>
      </w:r>
      <w:r w:rsidR="00B95C31">
        <w:t xml:space="preserve"> et a. (2020) range from </w:t>
      </w:r>
      <w:r w:rsidR="00870E07">
        <w:t xml:space="preserve">around 8.7 billion to over 10 billion in 2050, with </w:t>
      </w:r>
      <w:r w:rsidR="002E23DB">
        <w:t>a</w:t>
      </w:r>
      <w:r w:rsidR="00870E07">
        <w:t xml:space="preserve"> reference scenario peaking at 9.7 billion but only in 2064</w:t>
      </w:r>
      <w:r w:rsidR="00870E07">
        <w:fldChar w:fldCharType="begin"/>
      </w:r>
      <w:r w:rsidR="00870E07">
        <w:instrText xml:space="preserve"> ADDIN EN.CITE &lt;EndNote&gt;&lt;Cite&gt;&lt;Author&gt;Vollset&lt;/Author&gt;&lt;Year&gt;2020&lt;/Year&gt;&lt;RecNum&gt;1449&lt;/RecNum&gt;&lt;DisplayText&gt;[8]&lt;/DisplayText&gt;&lt;record&gt;&lt;rec-number&gt;1449&lt;/rec-number&gt;&lt;foreign-keys&gt;&lt;key app="EN" db-id="trp9sxavnrpwwyeprv75wfdvdzzdv5x20asz" timestamp="1617890444"&gt;1449&lt;/key&gt;&lt;/foreign-keys&gt;&lt;ref-type name="Journal Article"&gt;17&lt;/ref-type&gt;&lt;contributors&gt;&lt;authors&gt;&lt;author&gt;Vollset, Stein Emil&lt;/author&gt;&lt;author&gt;Goren, Emily&lt;/author&gt;&lt;author&gt;Yuan, Chun-Wei&lt;/author&gt;&lt;author&gt;Cao, Jackie&lt;/author&gt;&lt;author&gt;Smith, Amanda E.&lt;/author&gt;&lt;author&gt;Hsiao, Thomas&lt;/author&gt;&lt;author&gt;Bisignano, Catherine&lt;/author&gt;&lt;author&gt;Azhar, Gulrez S.&lt;/author&gt;&lt;author&gt;Castro, Emma&lt;/author&gt;&lt;author&gt;Chalek, Julian&lt;/author&gt;&lt;author&gt;Dolgert, Andrew J.&lt;/author&gt;&lt;author&gt;Frank, Tahvi&lt;/author&gt;&lt;author&gt;Fukutaki, Kai&lt;/author&gt;&lt;author&gt;Hay, Simon I.&lt;/author&gt;&lt;author&gt;Lozano, Rafael&lt;/author&gt;&lt;author&gt;Mokdad, Ali H.&lt;/author&gt;&lt;author&gt;Nandakumar, Vishnu&lt;/author&gt;&lt;author&gt;Pierce, Maxwell&lt;/author&gt;&lt;author&gt;Pletcher, Martin&lt;/author&gt;&lt;author&gt;Robalik, Toshana&lt;/author&gt;&lt;author&gt;Steuben, Krista M.&lt;/author&gt;&lt;author&gt;Wunrow, Han Yong&lt;/author&gt;&lt;author&gt;Zlavog, Bianca S.&lt;/author&gt;&lt;author&gt;Murray, Christopher J. L.&lt;/author&gt;&lt;/authors&gt;&lt;/contributors&gt;&lt;titles&gt;&lt;title&gt;Fertility, mortality, migration, and population scenarios for 195 countries and territories from 2017 to 2100: a forecasting analysis for the Global Burden of Disease Study&lt;/title&gt;&lt;secondary-title&gt;The Lancet&lt;/secondary-title&gt;&lt;/titles&gt;&lt;periodical&gt;&lt;full-title&gt;The Lancet&lt;/full-title&gt;&lt;/periodical&gt;&lt;pages&gt;1285-1306&lt;/pages&gt;&lt;volume&gt;396&lt;/volume&gt;&lt;number&gt;10258&lt;/number&gt;&lt;dates&gt;&lt;year&gt;2020&lt;/year&gt;&lt;pub-dates&gt;&lt;date&gt;2020/10/17/&lt;/date&gt;&lt;/pub-dates&gt;&lt;/dates&gt;&lt;isbn&gt;0140-6736&lt;/isbn&gt;&lt;urls&gt;&lt;related-urls&gt;&lt;url&gt;https://www.sciencedirect.com/science/article/pii/S0140673620306772&lt;/url&gt;&lt;/related-urls&gt;&lt;/urls&gt;&lt;electronic-resource-num&gt;https://doi.org/10.1016/S0140-6736(20)30677-2&lt;/electronic-resource-num&gt;&lt;/record&gt;&lt;/Cite&gt;&lt;/EndNote&gt;</w:instrText>
      </w:r>
      <w:r w:rsidR="00870E07">
        <w:fldChar w:fldCharType="separate"/>
      </w:r>
      <w:r w:rsidR="00870E07">
        <w:rPr>
          <w:noProof/>
        </w:rPr>
        <w:t>[8]</w:t>
      </w:r>
      <w:r w:rsidR="00870E07">
        <w:fldChar w:fldCharType="end"/>
      </w:r>
      <w:r w:rsidR="00870E07">
        <w:t xml:space="preserve">. </w:t>
      </w:r>
      <w:r>
        <w:t>Bradshaw</w:t>
      </w:r>
      <w:r w:rsidR="00870E07">
        <w:t xml:space="preserve"> and Brook (2014) present </w:t>
      </w:r>
      <w:r w:rsidR="00F96338">
        <w:t>central</w:t>
      </w:r>
      <w:r w:rsidR="00870E07">
        <w:t xml:space="preserve"> scenarios with a 2050 population of 9.2-9.3 billion, along with explicitly more extreme scenarios such as a draconian 1-child policy reached by 2045, which results in a 2050 population of 7.6 billion </w:t>
      </w:r>
      <w:r w:rsidR="00870E07">
        <w:fldChar w:fldCharType="begin"/>
      </w:r>
      <w:r w:rsidR="00870E07">
        <w:instrText xml:space="preserve"> ADDIN EN.CITE &lt;EndNote&gt;&lt;Cite&gt;&lt;Author&gt;Bradshaw&lt;/Author&gt;&lt;Year&gt;2014&lt;/Year&gt;&lt;RecNum&gt;1268&lt;/RecNum&gt;&lt;DisplayText&gt;[9]&lt;/DisplayText&gt;&lt;record&gt;&lt;rec-number&gt;1268&lt;/rec-number&gt;&lt;foreign-keys&gt;&lt;key app="EN" db-id="trp9sxavnrpwwyeprv75wfdvdzzdv5x20asz" timestamp="1602604633"&gt;1268&lt;/key&gt;&lt;/foreign-keys&gt;&lt;ref-type name="Journal Article"&gt;17&lt;/ref-type&gt;&lt;contributors&gt;&lt;authors&gt;&lt;author&gt;Bradshaw, Corey J. A.&lt;/author&gt;&lt;author&gt;Brook, Barry W.&lt;/author&gt;&lt;/authors&gt;&lt;/contributors&gt;&lt;titles&gt;&lt;title&gt;Human population reduction is not a quick fix for environmental problems&lt;/title&gt;&lt;secondary-title&gt;Proceedings of the National Academy of Sciences&lt;/secondary-title&gt;&lt;/titles&gt;&lt;periodical&gt;&lt;full-title&gt;Proceedings of the National Academy of Sciences&lt;/full-title&gt;&lt;/periodical&gt;&lt;pages&gt;16610&lt;/pages&gt;&lt;volume&gt;111&lt;/volume&gt;&lt;number&gt;46&lt;/number&gt;&lt;dates&gt;&lt;year&gt;2014&lt;/year&gt;&lt;/dates&gt;&lt;urls&gt;&lt;related-urls&gt;&lt;url&gt;http://www.pnas.org/content/111/46/16610.abstract&lt;/url&gt;&lt;/related-urls&gt;&lt;/urls&gt;&lt;electronic-resource-num&gt;10.1073/pnas.1410465111&lt;/electronic-resource-num&gt;&lt;/record&gt;&lt;/Cite&gt;&lt;/EndNote&gt;</w:instrText>
      </w:r>
      <w:r w:rsidR="00870E07">
        <w:fldChar w:fldCharType="separate"/>
      </w:r>
      <w:r w:rsidR="00870E07">
        <w:rPr>
          <w:noProof/>
        </w:rPr>
        <w:t>[9]</w:t>
      </w:r>
      <w:r w:rsidR="00870E07">
        <w:fldChar w:fldCharType="end"/>
      </w:r>
      <w:r w:rsidR="00870E07">
        <w:t>.</w:t>
      </w:r>
      <w:r>
        <w:t xml:space="preserve"> </w:t>
      </w:r>
      <w:r w:rsidR="00870E07">
        <w:t>Abel et al. (2016) suggest that meeting the SDGs would lead to a 2050 population of</w:t>
      </w:r>
      <w:r w:rsidR="0004567C">
        <w:t xml:space="preserve"> roughly</w:t>
      </w:r>
      <w:r w:rsidR="00870E07">
        <w:t xml:space="preserve"> 8.7-9 billion</w:t>
      </w:r>
      <w:r w:rsidR="00870E07">
        <w:fldChar w:fldCharType="begin"/>
      </w:r>
      <w:r w:rsidR="00870E07">
        <w:instrText xml:space="preserve"> ADDIN EN.CITE &lt;EndNote&gt;&lt;Cite&gt;&lt;Author&gt;Abel&lt;/Author&gt;&lt;Year&gt;2016&lt;/Year&gt;&lt;RecNum&gt;1270&lt;/RecNum&gt;&lt;DisplayText&gt;[10]&lt;/DisplayText&gt;&lt;record&gt;&lt;rec-number&gt;1270&lt;/rec-number&gt;&lt;foreign-keys&gt;&lt;key app="EN" db-id="trp9sxavnrpwwyeprv75wfdvdzzdv5x20asz" timestamp="1602604638"&gt;1270&lt;/key&gt;&lt;/foreign-keys&gt;&lt;ref-type name="Journal Article"&gt;17&lt;/ref-type&gt;&lt;contributors&gt;&lt;authors&gt;&lt;author&gt;Abel, Guy J.&lt;/author&gt;&lt;author&gt;Barakat, Bilal&lt;/author&gt;&lt;author&gt;KC, Samir&lt;/author&gt;&lt;author&gt;Lutz, Wolfgang&lt;/author&gt;&lt;/authors&gt;&lt;/contributors&gt;&lt;titles&gt;&lt;title&gt;Meeting the Sustainable Development Goals leads to lower world population growth&lt;/title&gt;&lt;secondary-title&gt;Proceedings of the National Academy of Sciences&lt;/secondary-title&gt;&lt;/titles&gt;&lt;periodical&gt;&lt;full-title&gt;Proceedings of the National Academy of Sciences&lt;/full-title&gt;&lt;/periodical&gt;&lt;pages&gt;14294-14299&lt;/pages&gt;&lt;volume&gt;113&lt;/volume&gt;&lt;number&gt;50&lt;/number&gt;&lt;dates&gt;&lt;year&gt;2016&lt;/year&gt;&lt;/dates&gt;&lt;urls&gt;&lt;related-urls&gt;&lt;url&gt;https://www.pnas.org/content/pnas/113/50/14294.full.pdf&lt;/url&gt;&lt;/related-urls&gt;&lt;/urls&gt;&lt;electronic-resource-num&gt;10.1073/pnas.1611386113&lt;/electronic-resource-num&gt;&lt;/record&gt;&lt;/Cite&gt;&lt;/EndNote&gt;</w:instrText>
      </w:r>
      <w:r w:rsidR="00870E07">
        <w:fldChar w:fldCharType="separate"/>
      </w:r>
      <w:r w:rsidR="00870E07">
        <w:rPr>
          <w:noProof/>
        </w:rPr>
        <w:t>[10]</w:t>
      </w:r>
      <w:r w:rsidR="00870E07">
        <w:fldChar w:fldCharType="end"/>
      </w:r>
      <w:r w:rsidR="00870E07">
        <w:t>.</w:t>
      </w:r>
    </w:p>
    <w:p w14:paraId="7A6D322D" w14:textId="20B1C905" w:rsidR="00AF066E" w:rsidRPr="00CA3CA6" w:rsidRDefault="0004567C" w:rsidP="00AF066E">
      <w:r>
        <w:t xml:space="preserve">The IPCC’s SSP population scenarios span this range reasonably well for </w:t>
      </w:r>
      <w:r w:rsidR="00532105">
        <w:t>2050 –</w:t>
      </w:r>
      <w:r w:rsidR="0062700C">
        <w:t xml:space="preserve"> if the extreme scenarios of Bradshaw </w:t>
      </w:r>
      <w:r w:rsidR="00532105">
        <w:t>and Brook (2014) are discounted – with</w:t>
      </w:r>
      <w:r>
        <w:t xml:space="preserve"> SSP1 and SSP5 at 8.5-8.6 billion, SSP2 and SSP4 at 9.1-9.2 billion, and SSP3 at 10 billion </w:t>
      </w:r>
      <w:r>
        <w:fldChar w:fldCharType="begin"/>
      </w:r>
      <w:r>
        <w:instrText xml:space="preserve"> ADDIN EN.CITE &lt;EndNote&gt;&lt;Cite&gt;&lt;Author&gt;Kc&lt;/Author&gt;&lt;Year&gt;2017&lt;/Year&gt;&lt;RecNum&gt;1273&lt;/RecNum&gt;&lt;DisplayText&gt;[11]&lt;/DisplayText&gt;&lt;record&gt;&lt;rec-number&gt;1273&lt;/rec-number&gt;&lt;foreign-keys&gt;&lt;key app="EN" db-id="trp9sxavnrpwwyeprv75wfdvdzzdv5x20asz" timestamp="1602604647"&gt;1273&lt;/key&gt;&lt;/foreign-keys&gt;&lt;ref-type name="Journal Article"&gt;17&lt;/ref-type&gt;&lt;contributors&gt;&lt;authors&gt;&lt;author&gt;Kc, Samir&lt;/author&gt;&lt;author&gt;Lutz, Wolfgang&lt;/author&gt;&lt;/authors&gt;&lt;/contributors&gt;&lt;titles&gt;&lt;title&gt;The human core of the shared socioeconomic pathways: Population scenarios by age, sex and level of education for all countries to 2100&lt;/title&gt;&lt;secondary-title&gt;Global Environmental Change&lt;/secondary-title&gt;&lt;/titles&gt;&lt;periodical&gt;&lt;full-title&gt;Global Environmental Change&lt;/full-title&gt;&lt;/periodical&gt;&lt;pages&gt;181-192&lt;/pages&gt;&lt;volume&gt;42&lt;/volume&gt;&lt;keywords&gt;&lt;keyword&gt;World population&lt;/keyword&gt;&lt;keyword&gt;Education&lt;/keyword&gt;&lt;keyword&gt;Age structure&lt;/keyword&gt;&lt;keyword&gt;Scenarios&lt;/keyword&gt;&lt;keyword&gt;Country level&lt;/keyword&gt;&lt;keyword&gt;Shared socioeconomic pathways&lt;/keyword&gt;&lt;/keywords&gt;&lt;dates&gt;&lt;year&gt;2017&lt;/year&gt;&lt;pub-dates&gt;&lt;date&gt;2017/01/01/&lt;/date&gt;&lt;/pub-dates&gt;&lt;/dates&gt;&lt;isbn&gt;0959-3780&lt;/isbn&gt;&lt;urls&gt;&lt;related-urls&gt;&lt;url&gt;http://www.sciencedirect.com/science/article/pii/S0959378014001095&lt;/url&gt;&lt;/related-urls&gt;&lt;/urls&gt;&lt;electronic-resource-num&gt;https://doi.org/10.1016/j.gloenvcha.2014.06.004&lt;/electronic-resource-num&gt;&lt;/record&gt;&lt;/Cite&gt;&lt;/EndNote&gt;</w:instrText>
      </w:r>
      <w:r>
        <w:fldChar w:fldCharType="separate"/>
      </w:r>
      <w:r>
        <w:rPr>
          <w:noProof/>
        </w:rPr>
        <w:t>[11]</w:t>
      </w:r>
      <w:r>
        <w:fldChar w:fldCharType="end"/>
      </w:r>
      <w:r>
        <w:t>.</w:t>
      </w:r>
      <w:r w:rsidR="00CA3CA6">
        <w:t xml:space="preserve"> Consequently, SSP1 is chosen for the </w:t>
      </w:r>
      <w:r w:rsidR="00CA3CA6" w:rsidRPr="00CA3CA6">
        <w:rPr>
          <w:i/>
        </w:rPr>
        <w:t>DLE</w:t>
      </w:r>
      <w:r w:rsidR="00CA3CA6">
        <w:t xml:space="preserve"> scenario, and SSP3 for the </w:t>
      </w:r>
      <w:r w:rsidR="00CA3CA6">
        <w:rPr>
          <w:i/>
        </w:rPr>
        <w:t>high population</w:t>
      </w:r>
      <w:r w:rsidR="00CA3CA6">
        <w:t xml:space="preserve"> scenario.</w:t>
      </w:r>
    </w:p>
    <w:p w14:paraId="1CDFF2F3" w14:textId="77777777" w:rsidR="0004567C" w:rsidRDefault="0004567C" w:rsidP="00AF066E"/>
    <w:p w14:paraId="208F63FC" w14:textId="77777777" w:rsidR="00B95C31" w:rsidRDefault="00B95C31" w:rsidP="00AF066E"/>
    <w:p w14:paraId="10292D01" w14:textId="24556C89" w:rsidR="00E14CE0" w:rsidRDefault="00232183" w:rsidP="00571AA9">
      <w:pPr>
        <w:pStyle w:val="Heading1"/>
      </w:pPr>
      <w:bookmarkStart w:id="14" w:name="_Toc91071616"/>
      <w:r>
        <w:lastRenderedPageBreak/>
        <w:t xml:space="preserve">The </w:t>
      </w:r>
      <w:r w:rsidRPr="00232183">
        <w:t xml:space="preserve">Current </w:t>
      </w:r>
      <w:r w:rsidR="00E14CE0" w:rsidRPr="00232183">
        <w:t>Technology</w:t>
      </w:r>
      <w:r>
        <w:t xml:space="preserve"> Scenario</w:t>
      </w:r>
      <w:bookmarkEnd w:id="14"/>
    </w:p>
    <w:p w14:paraId="16B02B0D" w14:textId="457FCA58" w:rsidR="00E14CE0" w:rsidRDefault="00180F55" w:rsidP="00E14CE0">
      <w:pPr>
        <w:pStyle w:val="Heading2"/>
        <w:spacing w:before="120"/>
      </w:pPr>
      <w:bookmarkStart w:id="15" w:name="_Toc91071617"/>
      <w:r>
        <w:t xml:space="preserve">Comparison with the DLE </w:t>
      </w:r>
      <w:r w:rsidR="00513102">
        <w:t>scenario</w:t>
      </w:r>
      <w:bookmarkEnd w:id="15"/>
    </w:p>
    <w:p w14:paraId="1FECC1CC" w14:textId="77777777" w:rsidR="00301224" w:rsidRDefault="00001CD2" w:rsidP="00E14CE0">
      <w:r>
        <w:t>T</w:t>
      </w:r>
      <w:r w:rsidRPr="00001CD2">
        <w:t xml:space="preserve">he previous </w:t>
      </w:r>
      <w:r w:rsidRPr="009D7823">
        <w:rPr>
          <w:i/>
        </w:rPr>
        <w:t>DLE</w:t>
      </w:r>
      <w:r w:rsidRPr="00001CD2">
        <w:t xml:space="preserve"> model assumed </w:t>
      </w:r>
      <w:r>
        <w:t xml:space="preserve">global deployment of </w:t>
      </w:r>
      <w:r w:rsidRPr="00001CD2">
        <w:t xml:space="preserve">highly-energy-efficient, state-of-the-art technologies that are currently available or </w:t>
      </w:r>
      <w:r>
        <w:t>most</w:t>
      </w:r>
      <w:r w:rsidRPr="00001CD2">
        <w:t xml:space="preserve"> likely </w:t>
      </w:r>
      <w:r>
        <w:t xml:space="preserve">will </w:t>
      </w:r>
      <w:r w:rsidRPr="00001CD2">
        <w:t>be before 2050</w:t>
      </w:r>
      <w:r w:rsidR="0017412F">
        <w:fldChar w:fldCharType="begin"/>
      </w:r>
      <w:r w:rsidR="0017412F">
        <w:instrText xml:space="preserve"> ADDIN EN.CITE &lt;EndNote&gt;&lt;Cite&gt;&lt;Author&gt;Millward-Hopkins&lt;/Author&gt;&lt;Year&gt;2020&lt;/Year&gt;&lt;RecNum&gt;1252&lt;/RecNum&gt;&lt;DisplayText&gt;[5]&lt;/DisplayText&gt;&lt;record&gt;&lt;rec-number&gt;1252&lt;/rec-number&gt;&lt;foreign-keys&gt;&lt;key app="EN" db-id="trp9sxavnrpwwyeprv75wfdvdzzdv5x20asz" timestamp="1598610423"&gt;1252&lt;/key&gt;&lt;/foreign-keys&gt;&lt;ref-type name="Journal Article"&gt;17&lt;/ref-type&gt;&lt;contributors&gt;&lt;authors&gt;&lt;author&gt;Millward-Hopkins, Joel&lt;/author&gt;&lt;author&gt;Steinberger, Julia K.&lt;/author&gt;&lt;author&gt;Rao, Narasimha D.&lt;/author&gt;&lt;author&gt;Oswald, Yannick&lt;/author&gt;&lt;/authors&gt;&lt;/contributors&gt;&lt;titles&gt;&lt;title&gt;Providing Decent Living with Minimum Energy: A Global Scenario&lt;/title&gt;&lt;secondary-title&gt;Global Environmental Change&lt;/secondary-title&gt;&lt;/titles&gt;&lt;periodical&gt;&lt;full-title&gt;Global Environmental Change&lt;/full-title&gt;&lt;/periodical&gt;&lt;pages&gt;102168&lt;/pages&gt;&lt;volume&gt;65&lt;/volume&gt;&lt;keywords&gt;&lt;keyword&gt;Basic needs&lt;/keyword&gt;&lt;keyword&gt;Climate change&lt;/keyword&gt;&lt;keyword&gt;Demand&lt;/keyword&gt;&lt;keyword&gt;Energy&lt;/keyword&gt;&lt;keyword&gt;Inequality&lt;/keyword&gt;&lt;keyword&gt;Sufficiency&lt;/keyword&gt;&lt;/keywords&gt;&lt;dates&gt;&lt;year&gt;2020&lt;/year&gt;&lt;/dates&gt;&lt;urls&gt;&lt;/urls&gt;&lt;electronic-resource-num&gt;https://doi.org/10.1016/j.gloenvcha.2020.102168&lt;/electronic-resource-num&gt;&lt;/record&gt;&lt;/Cite&gt;&lt;/EndNote&gt;</w:instrText>
      </w:r>
      <w:r w:rsidR="0017412F">
        <w:fldChar w:fldCharType="separate"/>
      </w:r>
      <w:r w:rsidR="0017412F">
        <w:rPr>
          <w:noProof/>
        </w:rPr>
        <w:t>[5]</w:t>
      </w:r>
      <w:r w:rsidR="0017412F">
        <w:fldChar w:fldCharType="end"/>
      </w:r>
      <w:r w:rsidR="0017412F">
        <w:t>. E</w:t>
      </w:r>
      <w:r w:rsidR="00462BA1">
        <w:t xml:space="preserve">nergy intensities </w:t>
      </w:r>
      <w:r w:rsidR="0017412F">
        <w:t>were derived via analysis of a</w:t>
      </w:r>
      <w:r w:rsidR="00462BA1" w:rsidRPr="00462BA1">
        <w:t xml:space="preserve"> broad range of </w:t>
      </w:r>
      <w:r w:rsidR="0017412F">
        <w:t>literature,</w:t>
      </w:r>
      <w:r w:rsidR="00462BA1" w:rsidRPr="00462BA1">
        <w:t xml:space="preserve"> </w:t>
      </w:r>
      <w:r w:rsidR="0017412F">
        <w:t xml:space="preserve">including </w:t>
      </w:r>
      <w:r w:rsidR="00462BA1" w:rsidRPr="00462BA1">
        <w:t>life cycle assessment, input–output analysis, industrial ecology and state-of-the-art engineering work</w:t>
      </w:r>
      <w:r w:rsidRPr="00001CD2">
        <w:t xml:space="preserve">. </w:t>
      </w:r>
      <w:r>
        <w:t xml:space="preserve">The same technological assumptions are used in the current work across the </w:t>
      </w:r>
      <w:r w:rsidRPr="00001CD2">
        <w:rPr>
          <w:i/>
        </w:rPr>
        <w:t>Decent Living Energy</w:t>
      </w:r>
      <w:r>
        <w:t xml:space="preserve">, </w:t>
      </w:r>
      <w:r w:rsidRPr="00001CD2">
        <w:rPr>
          <w:i/>
        </w:rPr>
        <w:t>High Population</w:t>
      </w:r>
      <w:r>
        <w:t xml:space="preserve">, </w:t>
      </w:r>
      <w:r w:rsidRPr="00001CD2">
        <w:rPr>
          <w:i/>
        </w:rPr>
        <w:t>Fair Inequality</w:t>
      </w:r>
      <w:r>
        <w:t xml:space="preserve">, </w:t>
      </w:r>
      <w:r w:rsidRPr="00001CD2">
        <w:rPr>
          <w:i/>
        </w:rPr>
        <w:t>Super-Rich</w:t>
      </w:r>
      <w:r>
        <w:t xml:space="preserve"> and </w:t>
      </w:r>
      <w:r w:rsidRPr="00001CD2">
        <w:rPr>
          <w:i/>
        </w:rPr>
        <w:t>Fairly Large Inequality</w:t>
      </w:r>
      <w:r>
        <w:t xml:space="preserve"> scenarios</w:t>
      </w:r>
      <w:r w:rsidR="00301224">
        <w:t>,</w:t>
      </w:r>
      <w:r w:rsidR="00462BA1">
        <w:t xml:space="preserve"> and across all technologies </w:t>
      </w:r>
      <w:r w:rsidR="0017412F">
        <w:t>with the exceptions of</w:t>
      </w:r>
      <w:r w:rsidR="00462BA1">
        <w:t xml:space="preserve"> pu</w:t>
      </w:r>
      <w:r w:rsidR="00301224">
        <w:t>blic and private road transport –</w:t>
      </w:r>
      <w:r w:rsidR="00462BA1">
        <w:t xml:space="preserve"> for these, the energy intensities from the previous </w:t>
      </w:r>
      <w:r w:rsidR="00462BA1" w:rsidRPr="009D7823">
        <w:rPr>
          <w:i/>
        </w:rPr>
        <w:t>DLE</w:t>
      </w:r>
      <w:r w:rsidR="00462BA1">
        <w:t xml:space="preserve"> model are decreased based upon more recent l</w:t>
      </w:r>
      <w:r w:rsidR="0017412F">
        <w:t>iterature, as described below.</w:t>
      </w:r>
    </w:p>
    <w:p w14:paraId="0F29CC17" w14:textId="46A6F63C" w:rsidR="00001CD2" w:rsidRDefault="00F87198" w:rsidP="00E14CE0">
      <w:pPr>
        <w:rPr>
          <w:sz w:val="20"/>
        </w:rPr>
      </w:pPr>
      <w:r>
        <w:t>A</w:t>
      </w:r>
      <w:r w:rsidR="0017412F" w:rsidRPr="0017412F">
        <w:t xml:space="preserve">n analogous process is </w:t>
      </w:r>
      <w:r>
        <w:t xml:space="preserve">then </w:t>
      </w:r>
      <w:r w:rsidR="0017412F" w:rsidRPr="0017412F">
        <w:t>undertaken</w:t>
      </w:r>
      <w:r w:rsidR="0017412F">
        <w:t xml:space="preserve"> to develop the </w:t>
      </w:r>
      <w:r w:rsidR="0017412F" w:rsidRPr="0017412F">
        <w:rPr>
          <w:i/>
        </w:rPr>
        <w:t>Current Technology</w:t>
      </w:r>
      <w:r w:rsidR="0017412F">
        <w:t xml:space="preserve"> scenario</w:t>
      </w:r>
      <w:r w:rsidR="006171C6">
        <w:t xml:space="preserve"> (</w:t>
      </w:r>
      <w:r w:rsidR="006171C6" w:rsidRPr="006171C6">
        <w:rPr>
          <w:b/>
          <w:i/>
        </w:rPr>
        <w:t>CT</w:t>
      </w:r>
      <w:r w:rsidR="006171C6">
        <w:t>)</w:t>
      </w:r>
      <w:r w:rsidR="0017412F">
        <w:t xml:space="preserve">, </w:t>
      </w:r>
      <w:r w:rsidR="0017412F" w:rsidRPr="0017412F">
        <w:t xml:space="preserve">in which </w:t>
      </w:r>
      <w:r w:rsidR="00001CD2" w:rsidRPr="0017412F">
        <w:t>ambition is reduced so energy-efficienci</w:t>
      </w:r>
      <w:r w:rsidR="0017412F" w:rsidRPr="0017412F">
        <w:t xml:space="preserve">es reflect current </w:t>
      </w:r>
      <w:r>
        <w:t xml:space="preserve">widely used, but </w:t>
      </w:r>
      <w:r w:rsidR="0017412F" w:rsidRPr="0017412F">
        <w:t>best-practice</w:t>
      </w:r>
      <w:r>
        <w:t xml:space="preserve"> technologies</w:t>
      </w:r>
      <w:r w:rsidR="00301224">
        <w:t>. This</w:t>
      </w:r>
      <w:r w:rsidR="003C268C">
        <w:t xml:space="preserve"> </w:t>
      </w:r>
      <w:r w:rsidR="00301224">
        <w:t>i</w:t>
      </w:r>
      <w:r w:rsidR="003C268C">
        <w:t>s described</w:t>
      </w:r>
      <w:r w:rsidR="00301224">
        <w:t xml:space="preserve"> below</w:t>
      </w:r>
      <w:r w:rsidR="0017412F" w:rsidRPr="0017412F">
        <w:t>.</w:t>
      </w:r>
    </w:p>
    <w:p w14:paraId="47ADB2B8" w14:textId="686CF437" w:rsidR="00541C9A" w:rsidRDefault="00541C9A" w:rsidP="00180F55">
      <w:pPr>
        <w:pStyle w:val="Heading2"/>
      </w:pPr>
      <w:bookmarkStart w:id="16" w:name="_Toc91071618"/>
      <w:r>
        <w:t>Nutrition</w:t>
      </w:r>
      <w:bookmarkEnd w:id="16"/>
    </w:p>
    <w:p w14:paraId="6DAE25AA" w14:textId="290D95F7" w:rsidR="00807B4F" w:rsidRPr="00541C9A" w:rsidRDefault="00541C9A" w:rsidP="00541C9A">
      <w:r>
        <w:t xml:space="preserve">For </w:t>
      </w:r>
      <w:r w:rsidRPr="00541C9A">
        <w:rPr>
          <w:b/>
        </w:rPr>
        <w:t xml:space="preserve">food </w:t>
      </w:r>
      <w:r>
        <w:rPr>
          <w:b/>
        </w:rPr>
        <w:t xml:space="preserve">production &amp; </w:t>
      </w:r>
      <w:r w:rsidRPr="00541C9A">
        <w:rPr>
          <w:b/>
        </w:rPr>
        <w:t>supply</w:t>
      </w:r>
      <w:r w:rsidR="003A3F3B">
        <w:t xml:space="preserve">, </w:t>
      </w:r>
      <w:r w:rsidR="00605888">
        <w:t>I retreat upon the</w:t>
      </w:r>
      <w:r>
        <w:t xml:space="preserve"> </w:t>
      </w:r>
      <w:r w:rsidRPr="009D7823">
        <w:rPr>
          <w:i/>
        </w:rPr>
        <w:t>DLE</w:t>
      </w:r>
      <w:r>
        <w:t xml:space="preserve"> assumptions</w:t>
      </w:r>
      <w:r w:rsidR="00533F7E">
        <w:t xml:space="preserve"> </w:t>
      </w:r>
      <w:r w:rsidR="003A3F3B">
        <w:t>marginally</w:t>
      </w:r>
      <w:r w:rsidR="00A446DE">
        <w:t>, as the</w:t>
      </w:r>
      <w:r w:rsidR="006171C6">
        <w:t xml:space="preserve"> intensities used there</w:t>
      </w:r>
      <w:r w:rsidR="00A446DE">
        <w:t xml:space="preserve"> were relatively conservat</w:t>
      </w:r>
      <w:r w:rsidR="003A3F3B">
        <w:t>ive</w:t>
      </w:r>
      <w:r w:rsidR="00A446DE">
        <w:t>. F</w:t>
      </w:r>
      <w:r w:rsidR="00760166">
        <w:t xml:space="preserve">or </w:t>
      </w:r>
      <w:r w:rsidR="00807B4F">
        <w:t xml:space="preserve">production of </w:t>
      </w:r>
      <w:r w:rsidR="00760166">
        <w:t>crops</w:t>
      </w:r>
      <w:r w:rsidR="006171C6">
        <w:t>,</w:t>
      </w:r>
      <w:r w:rsidR="00760166">
        <w:t xml:space="preserve"> </w:t>
      </w:r>
      <w:r w:rsidR="00605888">
        <w:t>I</w:t>
      </w:r>
      <w:r w:rsidR="006171C6">
        <w:t xml:space="preserve"> </w:t>
      </w:r>
      <w:r w:rsidR="00605888">
        <w:t>assume</w:t>
      </w:r>
      <w:r w:rsidR="006171C6">
        <w:t xml:space="preserve"> </w:t>
      </w:r>
      <w:r>
        <w:t>4</w:t>
      </w:r>
      <w:r w:rsidR="00760166">
        <w:t xml:space="preserve">.5 units of </w:t>
      </w:r>
      <w:r w:rsidR="006171C6">
        <w:t>food-</w:t>
      </w:r>
      <w:r w:rsidR="00760166">
        <w:t>energy</w:t>
      </w:r>
      <w:r>
        <w:t xml:space="preserve"> </w:t>
      </w:r>
      <w:r w:rsidR="00760166">
        <w:t xml:space="preserve">out per </w:t>
      </w:r>
      <w:r w:rsidR="006171C6">
        <w:t>industrial-</w:t>
      </w:r>
      <w:r w:rsidR="00760166">
        <w:t>unit in</w:t>
      </w:r>
      <w:r w:rsidR="00605888">
        <w:t xml:space="preserve"> for the </w:t>
      </w:r>
      <w:r w:rsidR="00605888" w:rsidRPr="006171C6">
        <w:rPr>
          <w:i/>
        </w:rPr>
        <w:t>CT</w:t>
      </w:r>
      <w:r w:rsidR="00605888">
        <w:t xml:space="preserve"> scenario</w:t>
      </w:r>
      <w:r>
        <w:t xml:space="preserve">, which is current global </w:t>
      </w:r>
      <w:r w:rsidR="0015253D">
        <w:t>best-</w:t>
      </w:r>
      <w:r>
        <w:t>practic</w:t>
      </w:r>
      <w:r w:rsidR="00C45880">
        <w:t>e</w:t>
      </w:r>
      <w:r>
        <w:fldChar w:fldCharType="begin"/>
      </w:r>
      <w:r w:rsidR="0004567C">
        <w:instrText xml:space="preserve"> ADDIN EN.CITE &lt;EndNote&gt;&lt;Cite&gt;&lt;Author&gt;Pellegrini&lt;/Author&gt;&lt;Year&gt;2018&lt;/Year&gt;&lt;RecNum&gt;979&lt;/RecNum&gt;&lt;DisplayText&gt;[12]&lt;/DisplayText&gt;&lt;record&gt;&lt;rec-number&gt;979&lt;/rec-number&gt;&lt;foreign-keys&gt;&lt;key app="EN" db-id="trp9sxavnrpwwyeprv75wfdvdzzdv5x20asz" timestamp="1565082827"&gt;979&lt;/key&gt;&lt;/foreign-keys&gt;&lt;ref-type name="Journal Article"&gt;17&lt;/ref-type&gt;&lt;contributors&gt;&lt;authors&gt;&lt;author&gt;Pellegrini, Pedro&lt;/author&gt;&lt;author&gt;Fernández, Roberto J.&lt;/author&gt;&lt;/authors&gt;&lt;/contributors&gt;&lt;titles&gt;&lt;title&gt;Crop intensification, land use, and on-farm energy-use efficiency during the worldwide spread of the green revolution&lt;/title&gt;&lt;secondary-title&gt;Proceedings of the National Academy of Sciences&lt;/secondary-title&gt;&lt;/titles&gt;&lt;periodical&gt;&lt;full-title&gt;Proceedings of the National Academy of Sciences&lt;/full-title&gt;&lt;/periodical&gt;&lt;pages&gt;2335-2340&lt;/pages&gt;&lt;volume&gt;115&lt;/volume&gt;&lt;number&gt;10&lt;/number&gt;&lt;dates&gt;&lt;year&gt;2018&lt;/year&gt;&lt;/dates&gt;&lt;urls&gt;&lt;related-urls&gt;&lt;url&gt;https://www.pnas.org/content/pnas/115/10/2335.full.pdf&lt;/url&gt;&lt;/related-urls&gt;&lt;/urls&gt;&lt;electronic-resource-num&gt;10.1073/pnas.1717072115&lt;/electronic-resource-num&gt;&lt;/record&gt;&lt;/Cite&gt;&lt;/EndNote&gt;</w:instrText>
      </w:r>
      <w:r>
        <w:fldChar w:fldCharType="separate"/>
      </w:r>
      <w:r w:rsidR="0004567C">
        <w:rPr>
          <w:noProof/>
        </w:rPr>
        <w:t>[12]</w:t>
      </w:r>
      <w:r>
        <w:fldChar w:fldCharType="end"/>
      </w:r>
      <w:r w:rsidR="00346DD3">
        <w:t xml:space="preserve"> and equates to</w:t>
      </w:r>
      <w:r w:rsidR="00A01FC3">
        <w:t xml:space="preserve"> </w:t>
      </w:r>
      <w:r w:rsidR="006171C6">
        <w:t xml:space="preserve">an energy requirement of </w:t>
      </w:r>
      <w:r w:rsidR="00A01FC3" w:rsidRPr="00A01FC3">
        <w:rPr>
          <w:b/>
        </w:rPr>
        <w:t>0.22 GJ per 1 GJ of food</w:t>
      </w:r>
      <w:r w:rsidR="006171C6">
        <w:t xml:space="preserve">; </w:t>
      </w:r>
      <w:r w:rsidR="00346DD3">
        <w:t xml:space="preserve">slightly higher than the assumed </w:t>
      </w:r>
      <w:r w:rsidR="00346DD3" w:rsidRPr="009D7823">
        <w:rPr>
          <w:i/>
        </w:rPr>
        <w:t>DLE</w:t>
      </w:r>
      <w:r w:rsidR="00346DD3">
        <w:t xml:space="preserve"> value of 0.2 GJ in/GJ out.</w:t>
      </w:r>
      <w:r>
        <w:t xml:space="preserve"> </w:t>
      </w:r>
      <w:r w:rsidR="00807B4F">
        <w:t xml:space="preserve">For </w:t>
      </w:r>
      <w:r w:rsidR="006171C6">
        <w:t>animal-based foods,</w:t>
      </w:r>
      <w:r w:rsidR="00807B4F">
        <w:t xml:space="preserve"> I assume the same production </w:t>
      </w:r>
      <w:r w:rsidR="00533F7E">
        <w:t xml:space="preserve">energy </w:t>
      </w:r>
      <w:r w:rsidR="00807B4F">
        <w:t xml:space="preserve">intensities as in the </w:t>
      </w:r>
      <w:r w:rsidR="00807B4F" w:rsidRPr="009D7823">
        <w:rPr>
          <w:i/>
        </w:rPr>
        <w:t>DLE</w:t>
      </w:r>
      <w:r w:rsidR="00533F7E">
        <w:t xml:space="preserve"> </w:t>
      </w:r>
      <w:r w:rsidR="00605888">
        <w:t>model</w:t>
      </w:r>
      <w:r w:rsidR="00D810C9">
        <w:t xml:space="preserve"> – </w:t>
      </w:r>
      <w:r w:rsidR="00E76EDF">
        <w:rPr>
          <w:b/>
        </w:rPr>
        <w:t>3</w:t>
      </w:r>
      <w:r w:rsidR="00D810C9" w:rsidRPr="00A01FC3">
        <w:rPr>
          <w:b/>
        </w:rPr>
        <w:t xml:space="preserve"> GJ</w:t>
      </w:r>
      <w:r w:rsidR="00D810C9">
        <w:rPr>
          <w:b/>
        </w:rPr>
        <w:t xml:space="preserve"> in/</w:t>
      </w:r>
      <w:r w:rsidR="00D810C9" w:rsidRPr="00A01FC3">
        <w:rPr>
          <w:b/>
        </w:rPr>
        <w:t>GJ</w:t>
      </w:r>
      <w:r w:rsidR="00D810C9">
        <w:rPr>
          <w:b/>
        </w:rPr>
        <w:t xml:space="preserve"> out</w:t>
      </w:r>
      <w:r w:rsidR="00D810C9" w:rsidRPr="00A01FC3">
        <w:rPr>
          <w:b/>
        </w:rPr>
        <w:t xml:space="preserve"> </w:t>
      </w:r>
      <w:r w:rsidR="00D810C9" w:rsidRPr="00605888">
        <w:t>and</w:t>
      </w:r>
      <w:r w:rsidR="00D810C9">
        <w:t xml:space="preserve"> </w:t>
      </w:r>
      <w:r w:rsidR="00E76EDF" w:rsidRPr="00E76EDF">
        <w:rPr>
          <w:b/>
        </w:rPr>
        <w:t>1.5</w:t>
      </w:r>
      <w:r w:rsidR="00D810C9" w:rsidRPr="00A01FC3">
        <w:rPr>
          <w:b/>
        </w:rPr>
        <w:t xml:space="preserve"> GJ</w:t>
      </w:r>
      <w:r w:rsidR="00D810C9">
        <w:rPr>
          <w:b/>
        </w:rPr>
        <w:t xml:space="preserve"> in/</w:t>
      </w:r>
      <w:r w:rsidR="00D810C9" w:rsidRPr="00A01FC3">
        <w:rPr>
          <w:b/>
        </w:rPr>
        <w:t>GJ</w:t>
      </w:r>
      <w:r w:rsidR="00D810C9">
        <w:rPr>
          <w:b/>
        </w:rPr>
        <w:t xml:space="preserve"> out </w:t>
      </w:r>
      <w:r w:rsidR="00E76EDF">
        <w:t>for meat and other animal products, respectively</w:t>
      </w:r>
      <w:r w:rsidR="00D810C9">
        <w:t xml:space="preserve"> –</w:t>
      </w:r>
      <w:r w:rsidR="00605888">
        <w:t xml:space="preserve"> which </w:t>
      </w:r>
      <w:r w:rsidR="005600DE">
        <w:t>mirror</w:t>
      </w:r>
      <w:r w:rsidR="00346DD3">
        <w:t xml:space="preserve"> UK efficiencies</w:t>
      </w:r>
      <w:r w:rsidR="00605888">
        <w:t xml:space="preserve"> </w:t>
      </w:r>
      <w:r w:rsidR="00D810C9">
        <w:t>and</w:t>
      </w:r>
      <w:r w:rsidR="00346DD3">
        <w:t xml:space="preserve"> are</w:t>
      </w:r>
      <w:r w:rsidR="005600DE">
        <w:t xml:space="preserve"> thus</w:t>
      </w:r>
      <w:r w:rsidR="00346DD3">
        <w:t xml:space="preserve"> much higher than</w:t>
      </w:r>
      <w:r w:rsidR="00605888">
        <w:t xml:space="preserve"> in the</w:t>
      </w:r>
      <w:r w:rsidR="00346DD3">
        <w:t xml:space="preserve"> USA </w:t>
      </w:r>
      <w:r w:rsidR="00605888">
        <w:t>or the</w:t>
      </w:r>
      <w:r w:rsidR="00346DD3">
        <w:t xml:space="preserve"> global </w:t>
      </w:r>
      <w:r w:rsidR="00605888">
        <w:t>average</w:t>
      </w:r>
      <w:r w:rsidR="00533F7E">
        <w:t>.</w:t>
      </w:r>
      <w:r w:rsidR="00807B4F">
        <w:t xml:space="preserve"> </w:t>
      </w:r>
      <w:r w:rsidR="009B3234">
        <w:t>O</w:t>
      </w:r>
      <w:r w:rsidR="00807B4F">
        <w:t>vera</w:t>
      </w:r>
      <w:r w:rsidR="00533F7E">
        <w:t>ll supply chain intensities</w:t>
      </w:r>
      <w:r w:rsidR="00807B4F">
        <w:t xml:space="preserve"> </w:t>
      </w:r>
      <w:r w:rsidR="00533F7E">
        <w:t>are increased</w:t>
      </w:r>
      <w:r w:rsidR="009B3234">
        <w:t>, however,</w:t>
      </w:r>
      <w:r w:rsidR="00533F7E">
        <w:t xml:space="preserve"> by increasing </w:t>
      </w:r>
      <w:r w:rsidR="00807B4F">
        <w:t xml:space="preserve">the </w:t>
      </w:r>
      <w:r w:rsidR="00533F7E">
        <w:t>energy intensity</w:t>
      </w:r>
      <w:r w:rsidR="00807B4F">
        <w:t xml:space="preserve"> of processi</w:t>
      </w:r>
      <w:r w:rsidR="0005205E">
        <w:t>ng</w:t>
      </w:r>
      <w:r w:rsidR="00533F7E">
        <w:t xml:space="preserve">. </w:t>
      </w:r>
      <w:r w:rsidR="002D5F6A">
        <w:t>I</w:t>
      </w:r>
      <w:r w:rsidR="00533F7E">
        <w:t xml:space="preserve">n the </w:t>
      </w:r>
      <w:r w:rsidR="00533F7E" w:rsidRPr="009D7823">
        <w:rPr>
          <w:i/>
        </w:rPr>
        <w:t>DLE</w:t>
      </w:r>
      <w:r w:rsidR="00533F7E">
        <w:t xml:space="preserve"> model</w:t>
      </w:r>
      <w:r w:rsidR="00533F7E" w:rsidRPr="00533F7E">
        <w:t xml:space="preserve"> the energy use </w:t>
      </w:r>
      <w:r w:rsidR="009B3234">
        <w:t>of</w:t>
      </w:r>
      <w:r w:rsidR="00533F7E" w:rsidRPr="00533F7E">
        <w:t xml:space="preserve"> processing</w:t>
      </w:r>
      <w:r w:rsidR="00533F7E">
        <w:t xml:space="preserve"> was assumed to be 5</w:t>
      </w:r>
      <w:r w:rsidR="00533F7E" w:rsidRPr="00533F7E">
        <w:t>0% of that used in food production</w:t>
      </w:r>
      <w:r w:rsidR="000D782C">
        <w:t xml:space="preserve"> itself</w:t>
      </w:r>
      <w:r w:rsidR="004304DB">
        <w:t>, after a ~25</w:t>
      </w:r>
      <w:r w:rsidR="00A01FC3">
        <w:t>% reduction based upon an FAO estimate for pos</w:t>
      </w:r>
      <w:r w:rsidR="000D782C">
        <w:t>sible efficiency improvements. F</w:t>
      </w:r>
      <w:r w:rsidR="00A01FC3">
        <w:t xml:space="preserve">or the </w:t>
      </w:r>
      <w:r w:rsidR="00180F55" w:rsidRPr="00180F55">
        <w:rPr>
          <w:i/>
        </w:rPr>
        <w:t>current technology</w:t>
      </w:r>
      <w:r w:rsidR="00A01FC3">
        <w:t xml:space="preserve"> </w:t>
      </w:r>
      <w:r w:rsidR="00180F55">
        <w:t xml:space="preserve">scenario </w:t>
      </w:r>
      <w:r w:rsidR="004304DB">
        <w:t xml:space="preserve">I remove this </w:t>
      </w:r>
      <w:r w:rsidR="00A01FC3">
        <w:t xml:space="preserve">reduction, thus making processing </w:t>
      </w:r>
      <w:r w:rsidR="00A01FC3" w:rsidRPr="00A01FC3">
        <w:rPr>
          <w:b/>
        </w:rPr>
        <w:t>~65% of the energy used for food production</w:t>
      </w:r>
      <w:r w:rsidR="00A01FC3">
        <w:t>.</w:t>
      </w:r>
    </w:p>
    <w:p w14:paraId="4CE7EF61" w14:textId="6670DDF9" w:rsidR="00346DD3" w:rsidRDefault="00346DD3" w:rsidP="00346DD3">
      <w:r>
        <w:t xml:space="preserve">For </w:t>
      </w:r>
      <w:r w:rsidR="009B20D3" w:rsidRPr="009B20D3">
        <w:rPr>
          <w:b/>
        </w:rPr>
        <w:t>household</w:t>
      </w:r>
      <w:r w:rsidR="009B20D3">
        <w:t xml:space="preserve"> </w:t>
      </w:r>
      <w:r w:rsidRPr="00541C9A">
        <w:rPr>
          <w:b/>
        </w:rPr>
        <w:t>cooking</w:t>
      </w:r>
      <w:r w:rsidR="00105456">
        <w:t>,</w:t>
      </w:r>
      <w:r>
        <w:t xml:space="preserve"> current IEA energy use data</w:t>
      </w:r>
      <w:r w:rsidR="00105456">
        <w:t xml:space="preserve"> can be used</w:t>
      </w:r>
      <w:r>
        <w:fldChar w:fldCharType="begin"/>
      </w:r>
      <w:r w:rsidR="005D24CE">
        <w:instrText xml:space="preserve"> ADDIN EN.CITE &lt;EndNote&gt;&lt;Cite&gt;&lt;Author&gt;IEA&lt;/Author&gt;&lt;Year&gt;2017&lt;/Year&gt;&lt;RecNum&gt;1027&lt;/RecNum&gt;&lt;DisplayText&gt;[6]&lt;/DisplayText&gt;&lt;record&gt;&lt;rec-number&gt;1027&lt;/rec-number&gt;&lt;foreign-keys&gt;&lt;key app="EN" db-id="trp9sxavnrpwwyeprv75wfdvdzzdv5x20asz" timestamp="1570023024"&gt;1027&lt;/key&gt;&lt;/foreign-keys&gt;&lt;ref-type name="Report"&gt;27&lt;/ref-type&gt;&lt;contributors&gt;&lt;authors&gt;&lt;author&gt;IEA&lt;/author&gt;&lt;/authors&gt;&lt;/contributors&gt;&lt;titles&gt;&lt;title&gt;Energy Technology Perspectives 2017: Catalysing Energy Technology Transformations &lt;/title&gt;&lt;/titles&gt;&lt;dates&gt;&lt;year&gt;2017&lt;/year&gt;&lt;/dates&gt;&lt;publisher&gt;OECD/IEA&lt;/publisher&gt;&lt;urls&gt;&lt;/urls&gt;&lt;electronic-resource-num&gt;http://dx.doi.org/10.1787/energy_tech-2017-en&lt;/electronic-resource-num&gt;&lt;/record&gt;&lt;/Cite&gt;&lt;/EndNote&gt;</w:instrText>
      </w:r>
      <w:r>
        <w:fldChar w:fldCharType="separate"/>
      </w:r>
      <w:r w:rsidR="005D24CE">
        <w:rPr>
          <w:noProof/>
        </w:rPr>
        <w:t>[6]</w:t>
      </w:r>
      <w:r>
        <w:fldChar w:fldCharType="end"/>
      </w:r>
      <w:r w:rsidR="00105456">
        <w:t>, which</w:t>
      </w:r>
      <w:r>
        <w:t xml:space="preserve"> gives PJ for total </w:t>
      </w:r>
      <w:r w:rsidR="00FB793D">
        <w:t xml:space="preserve">direct </w:t>
      </w:r>
      <w:r>
        <w:t xml:space="preserve">residential end-use </w:t>
      </w:r>
      <w:r w:rsidR="00A4218B">
        <w:t xml:space="preserve">by region </w:t>
      </w:r>
      <w:r>
        <w:t>for various purposes,</w:t>
      </w:r>
      <w:r w:rsidR="00105456">
        <w:t xml:space="preserve"> including cooking. </w:t>
      </w:r>
      <w:r w:rsidR="00A4218B">
        <w:t>The lowest values are found in the EU and USA (~1.1 GJ/cap/yr), which can be converted to</w:t>
      </w:r>
      <w:r w:rsidR="00105456">
        <w:t xml:space="preserve"> </w:t>
      </w:r>
      <w:r w:rsidR="00A4218B" w:rsidRPr="00715D15">
        <w:t>2 KJ/kcal</w:t>
      </w:r>
      <w:r w:rsidR="00A4218B">
        <w:t xml:space="preserve">, </w:t>
      </w:r>
      <w:r w:rsidR="00105456">
        <w:t>assuming 1,500 kcal/cap/day of food is cooked in the home</w:t>
      </w:r>
      <w:r w:rsidR="00477F95">
        <w:rPr>
          <w:rStyle w:val="FootnoteReference"/>
        </w:rPr>
        <w:footnoteReference w:id="1"/>
      </w:r>
      <w:r w:rsidR="00105456">
        <w:t>.</w:t>
      </w:r>
      <w:r w:rsidR="00F63DB1">
        <w:t xml:space="preserve"> This</w:t>
      </w:r>
      <w:r w:rsidR="00A4218B">
        <w:t xml:space="preserve"> is a rough estimate, given uncertainty in the amount of food that is cooked at home. Nonetheless, it seems reasonable – it’s ~50% of the global average suggested by the FAO and 2.5 times larger than the </w:t>
      </w:r>
      <w:r w:rsidR="00A4218B" w:rsidRPr="009D7823">
        <w:rPr>
          <w:i/>
        </w:rPr>
        <w:t>DLE</w:t>
      </w:r>
      <w:r w:rsidR="00A4218B">
        <w:t xml:space="preserve"> value (0.8 KJ/kcal) – and hence </w:t>
      </w:r>
      <w:r w:rsidR="00715D15">
        <w:t>this</w:t>
      </w:r>
      <w:r w:rsidR="00A4218B">
        <w:t xml:space="preserve"> </w:t>
      </w:r>
      <w:r w:rsidR="00715D15" w:rsidRPr="00105456">
        <w:rPr>
          <w:b/>
        </w:rPr>
        <w:t>2 KJ/kcal</w:t>
      </w:r>
      <w:r w:rsidR="00715D15">
        <w:t xml:space="preserve"> is </w:t>
      </w:r>
      <w:r w:rsidR="00A4218B">
        <w:t>used for the CT scenario</w:t>
      </w:r>
      <w:r w:rsidR="00F63DB1">
        <w:t>.</w:t>
      </w:r>
    </w:p>
    <w:p w14:paraId="78D7498E" w14:textId="3E460FB7" w:rsidR="00346DD3" w:rsidRDefault="00346DD3" w:rsidP="00346DD3">
      <w:r>
        <w:t xml:space="preserve">For </w:t>
      </w:r>
      <w:r w:rsidRPr="009B20D3">
        <w:rPr>
          <w:b/>
        </w:rPr>
        <w:t>household</w:t>
      </w:r>
      <w:r>
        <w:t xml:space="preserve"> </w:t>
      </w:r>
      <w:r w:rsidRPr="00346DD3">
        <w:rPr>
          <w:b/>
        </w:rPr>
        <w:t>cold storage</w:t>
      </w:r>
      <w:r>
        <w:t xml:space="preserve">, </w:t>
      </w:r>
      <w:r w:rsidR="00C77C40">
        <w:t xml:space="preserve">the </w:t>
      </w:r>
      <w:r w:rsidR="00C77C40" w:rsidRPr="009D7823">
        <w:rPr>
          <w:i/>
        </w:rPr>
        <w:t>DLE</w:t>
      </w:r>
      <w:r w:rsidR="00C77C40">
        <w:t xml:space="preserve"> value was based upon the highest practical efficiency improvements possibl</w:t>
      </w:r>
      <w:r w:rsidR="00C45880">
        <w:t>e as suggested by Cullen et al.</w:t>
      </w:r>
      <w:r w:rsidR="00C77C40">
        <w:fldChar w:fldCharType="begin"/>
      </w:r>
      <w:r w:rsidR="0004567C">
        <w:instrText xml:space="preserve"> ADDIN EN.CITE &lt;EndNote&gt;&lt;Cite&gt;&lt;Author&gt;Cullen&lt;/Author&gt;&lt;Year&gt;2011&lt;/Year&gt;&lt;RecNum&gt;863&lt;/RecNum&gt;&lt;DisplayText&gt;[13]&lt;/DisplayText&gt;&lt;record&gt;&lt;rec-number&gt;863&lt;/rec-number&gt;&lt;foreign-keys&gt;&lt;key app="EN" db-id="trp9sxavnrpwwyeprv75wfdvdzzdv5x20asz" timestamp="1554111484"&gt;863&lt;/key&gt;&lt;/foreign-keys&gt;&lt;ref-type name="Journal Article"&gt;17&lt;/ref-type&gt;&lt;contributors&gt;&lt;authors&gt;&lt;author&gt;Cullen, Jonathan M.&lt;/author&gt;&lt;author&gt;Allwood, Julian M.&lt;/author&gt;&lt;author&gt;Borgstein, Edward H.&lt;/author&gt;&lt;/authors&gt;&lt;/contributors&gt;&lt;titles&gt;&lt;title&gt;Reducing Energy Demand: What Are the Practical Limits?&lt;/title&gt;&lt;secondary-title&gt;Environmental Science &amp;amp; Technology&lt;/secondary-title&gt;&lt;/titles&gt;&lt;periodical&gt;&lt;full-title&gt;Environmental science &amp;amp; technology&lt;/full-title&gt;&lt;/periodical&gt;&lt;pages&gt;1711-1718&lt;/pages&gt;&lt;volume&gt;45&lt;/volume&gt;&lt;number&gt;4&lt;/number&gt;&lt;dates&gt;&lt;year&gt;2011&lt;/year&gt;&lt;pub-dates&gt;&lt;date&gt;2011/02/15&lt;/date&gt;&lt;/pub-dates&gt;&lt;/dates&gt;&lt;publisher&gt;American Chemical Society&lt;/publisher&gt;&lt;isbn&gt;0013-936X&lt;/isbn&gt;&lt;urls&gt;&lt;related-urls&gt;&lt;url&gt;https://doi.org/10.1021/es102641n&lt;/url&gt;&lt;url&gt;https://pubs.acs.org/doi/pdfplus/10.1021/es102641n&lt;/url&gt;&lt;/related-urls&gt;&lt;/urls&gt;&lt;electronic-resource-num&gt;10.1021/es102641n&lt;/electronic-resource-num&gt;&lt;/record&gt;&lt;/Cite&gt;&lt;/EndNote&gt;</w:instrText>
      </w:r>
      <w:r w:rsidR="00C77C40">
        <w:fldChar w:fldCharType="separate"/>
      </w:r>
      <w:r w:rsidR="0004567C">
        <w:rPr>
          <w:noProof/>
        </w:rPr>
        <w:t>[13]</w:t>
      </w:r>
      <w:r w:rsidR="00C77C40">
        <w:fldChar w:fldCharType="end"/>
      </w:r>
      <w:r w:rsidR="00C77C40">
        <w:t>, which imply</w:t>
      </w:r>
      <w:r w:rsidR="00FB793D">
        <w:t xml:space="preserve"> direct</w:t>
      </w:r>
      <w:r w:rsidR="00C77C40">
        <w:t xml:space="preserve"> energy consumption of 120 kWh/yr per appliance. Cullen et al. also report that new cold storage appliances in the USA in 2001 had an a</w:t>
      </w:r>
      <w:r w:rsidR="00A341E9">
        <w:t>verage energy use of 450 kWh/</w:t>
      </w:r>
      <w:r w:rsidR="009125D7">
        <w:t>y</w:t>
      </w:r>
      <w:r w:rsidR="00A341E9">
        <w:t>ear. C</w:t>
      </w:r>
      <w:r w:rsidR="009125D7">
        <w:t xml:space="preserve">urrently, </w:t>
      </w:r>
      <w:r w:rsidR="003D1587">
        <w:t xml:space="preserve">many </w:t>
      </w:r>
      <w:r w:rsidR="009125D7">
        <w:t>h</w:t>
      </w:r>
      <w:r w:rsidR="00C77C40">
        <w:t>igh-efficiency cold storage</w:t>
      </w:r>
      <w:r w:rsidR="009125D7">
        <w:t xml:space="preserve"> appliances that</w:t>
      </w:r>
      <w:r w:rsidR="00C77C40">
        <w:t xml:space="preserve"> </w:t>
      </w:r>
      <w:r w:rsidR="003D1587">
        <w:t>are</w:t>
      </w:r>
      <w:r w:rsidR="00C77C40">
        <w:t xml:space="preserve"> A</w:t>
      </w:r>
      <w:r w:rsidR="00CF0592">
        <w:t>-</w:t>
      </w:r>
      <w:r w:rsidR="003D1587">
        <w:t>rated</w:t>
      </w:r>
      <w:r w:rsidR="00C77C40">
        <w:t xml:space="preserve"> </w:t>
      </w:r>
      <w:r w:rsidR="009125D7">
        <w:t xml:space="preserve">on the EU </w:t>
      </w:r>
      <w:r w:rsidR="00C77C40">
        <w:t>energy labelling</w:t>
      </w:r>
      <w:r w:rsidR="00A341E9">
        <w:t xml:space="preserve"> scale</w:t>
      </w:r>
      <w:r w:rsidR="009125D7">
        <w:t xml:space="preserve"> have energy usage of around </w:t>
      </w:r>
      <w:r w:rsidR="009125D7" w:rsidRPr="009125D7">
        <w:rPr>
          <w:b/>
        </w:rPr>
        <w:t>250 kWh/yr</w:t>
      </w:r>
      <w:r w:rsidR="009125D7">
        <w:t xml:space="preserve">; </w:t>
      </w:r>
      <w:r w:rsidR="00715D15">
        <w:t>I</w:t>
      </w:r>
      <w:r w:rsidR="009125D7">
        <w:t xml:space="preserve"> take this value as current best practice for </w:t>
      </w:r>
      <w:r w:rsidR="00A7620C">
        <w:t xml:space="preserve">the </w:t>
      </w:r>
      <w:r w:rsidR="00A7620C">
        <w:rPr>
          <w:i/>
        </w:rPr>
        <w:t xml:space="preserve">CT </w:t>
      </w:r>
      <w:r w:rsidR="00A7620C">
        <w:t>scenario</w:t>
      </w:r>
      <w:r w:rsidR="009125D7">
        <w:t>.</w:t>
      </w:r>
    </w:p>
    <w:p w14:paraId="762DCD4F" w14:textId="64B687FD" w:rsidR="00513102" w:rsidRDefault="00513102" w:rsidP="00180F55">
      <w:pPr>
        <w:pStyle w:val="Heading2"/>
      </w:pPr>
      <w:bookmarkStart w:id="17" w:name="_Toc91071619"/>
      <w:r>
        <w:lastRenderedPageBreak/>
        <w:t>Shelter and living conditions</w:t>
      </w:r>
      <w:bookmarkEnd w:id="17"/>
    </w:p>
    <w:p w14:paraId="562A524C" w14:textId="75278E96" w:rsidR="00513102" w:rsidRDefault="009B20D3" w:rsidP="009E5C9A">
      <w:r>
        <w:t xml:space="preserve">For </w:t>
      </w:r>
      <w:r w:rsidRPr="002B3E62">
        <w:rPr>
          <w:b/>
        </w:rPr>
        <w:t>thermal comfort</w:t>
      </w:r>
      <w:r w:rsidR="002B3E62">
        <w:t xml:space="preserve"> in homes</w:t>
      </w:r>
      <w:r>
        <w:t>,</w:t>
      </w:r>
      <w:r w:rsidR="002B3E62">
        <w:t xml:space="preserve"> the </w:t>
      </w:r>
      <w:r w:rsidR="002B3E62" w:rsidRPr="009D7823">
        <w:rPr>
          <w:i/>
        </w:rPr>
        <w:t>DLE</w:t>
      </w:r>
      <w:r w:rsidR="002B3E62">
        <w:t xml:space="preserve"> model used data from the Global Performance Buildings Network</w:t>
      </w:r>
      <w:r w:rsidR="009E5C9A">
        <w:fldChar w:fldCharType="begin"/>
      </w:r>
      <w:r w:rsidR="0004567C">
        <w:instrText xml:space="preserve"> ADDIN EN.CITE &lt;EndNote&gt;&lt;Cite&gt;&lt;Author&gt;GBPN&lt;/Author&gt;&lt;Year&gt;2012&lt;/Year&gt;&lt;RecNum&gt;1019&lt;/RecNum&gt;&lt;DisplayText&gt;[14]&lt;/DisplayText&gt;&lt;record&gt;&lt;rec-number&gt;1019&lt;/rec-number&gt;&lt;foreign-keys&gt;&lt;key app="EN" db-id="trp9sxavnrpwwyeprv75wfdvdzzdv5x20asz" timestamp="1567683431"&gt;1019&lt;/key&gt;&lt;/foreign-keys&gt;&lt;ref-type name="Dataset"&gt;59&lt;/ref-type&gt;&lt;contributors&gt;&lt;authors&gt;&lt;author&gt;GBPN&lt;/author&gt;&lt;/authors&gt;&lt;secondary-authors&gt;&lt;author&gt;Global Buildings Performance Network&lt;/author&gt;&lt;/secondary-authors&gt;&lt;/contributors&gt;&lt;titles&gt;&lt;title&gt;Tool for Building Energy Performance Scenarios&lt;/title&gt;&lt;/titles&gt;&lt;dates&gt;&lt;year&gt;2012&lt;/year&gt;&lt;/dates&gt;&lt;pub-location&gt;Centre for Climate Change and Sustainable Energy Policy (3CSEP), Central European University&lt;/pub-location&gt;&lt;urls&gt;&lt;related-urls&gt;&lt;url&gt;&lt;style face="underline" font="default" size="100%"&gt;http://www.gbpn.org/databases-tools/mrv-tool/about&lt;/style&gt;&lt;/url&gt;&lt;/related-urls&gt;&lt;/urls&gt;&lt;/record&gt;&lt;/Cite&gt;&lt;/EndNote&gt;</w:instrText>
      </w:r>
      <w:r w:rsidR="009E5C9A">
        <w:fldChar w:fldCharType="separate"/>
      </w:r>
      <w:r w:rsidR="0004567C">
        <w:rPr>
          <w:noProof/>
        </w:rPr>
        <w:t>[14]</w:t>
      </w:r>
      <w:r w:rsidR="009E5C9A">
        <w:fldChar w:fldCharType="end"/>
      </w:r>
      <w:r w:rsidR="009E5C9A">
        <w:t>. This</w:t>
      </w:r>
      <w:r>
        <w:t xml:space="preserve"> </w:t>
      </w:r>
      <w:r w:rsidR="009E5C9A">
        <w:t>offers final energy use for both space heating and cooling across different climate zones</w:t>
      </w:r>
      <w:r w:rsidR="009E5C9A" w:rsidRPr="009E5C9A">
        <w:t xml:space="preserve"> </w:t>
      </w:r>
      <w:r w:rsidR="009E5C9A">
        <w:t xml:space="preserve">based upon </w:t>
      </w:r>
      <w:r w:rsidR="009E5C9A" w:rsidRPr="009E5C9A">
        <w:rPr>
          <w:i/>
        </w:rPr>
        <w:t>Heating</w:t>
      </w:r>
      <w:r w:rsidR="009E5C9A">
        <w:t xml:space="preserve"> and </w:t>
      </w:r>
      <w:r w:rsidR="009E5C9A" w:rsidRPr="009E5C9A">
        <w:rPr>
          <w:i/>
        </w:rPr>
        <w:t>Cooling Degree Days</w:t>
      </w:r>
      <w:r w:rsidR="00A71DAB">
        <w:t>;</w:t>
      </w:r>
      <w:r w:rsidR="009E5C9A">
        <w:t xml:space="preserve"> </w:t>
      </w:r>
      <w:r w:rsidR="00A71DAB">
        <w:t>for urban and rural buildings;</w:t>
      </w:r>
      <w:r w:rsidR="009E5C9A">
        <w:t xml:space="preserve"> for various building types (residential, hotels, educational, etc.)</w:t>
      </w:r>
      <w:r w:rsidR="00A71DAB">
        <w:t>; and</w:t>
      </w:r>
      <w:r w:rsidR="009E5C9A">
        <w:t xml:space="preserve"> </w:t>
      </w:r>
      <w:r w:rsidR="00A71DAB">
        <w:t xml:space="preserve">for </w:t>
      </w:r>
      <w:r w:rsidR="009E5C9A">
        <w:t xml:space="preserve">different technology standards. The </w:t>
      </w:r>
      <w:r w:rsidR="009E5C9A" w:rsidRPr="009D7823">
        <w:rPr>
          <w:i/>
        </w:rPr>
        <w:t>DLE</w:t>
      </w:r>
      <w:r w:rsidR="009E5C9A">
        <w:t xml:space="preserve"> model used the technology standards with the lowest energy use, namely </w:t>
      </w:r>
      <w:r w:rsidR="009E5C9A" w:rsidRPr="009E5C9A">
        <w:rPr>
          <w:i/>
        </w:rPr>
        <w:t>advanced new buildings</w:t>
      </w:r>
      <w:r w:rsidR="009E5C9A">
        <w:t xml:space="preserve">. In contrast, for the </w:t>
      </w:r>
      <w:r w:rsidR="00A7620C">
        <w:rPr>
          <w:i/>
        </w:rPr>
        <w:t xml:space="preserve">CT </w:t>
      </w:r>
      <w:r w:rsidR="00A7620C">
        <w:t xml:space="preserve">scenario </w:t>
      </w:r>
      <w:r w:rsidR="00022AD3">
        <w:t>I</w:t>
      </w:r>
      <w:r w:rsidR="009E5C9A">
        <w:t xml:space="preserve"> use the data for</w:t>
      </w:r>
      <w:r w:rsidR="00A71DAB">
        <w:t xml:space="preserve"> the category </w:t>
      </w:r>
      <w:r w:rsidR="00022AD3">
        <w:rPr>
          <w:i/>
        </w:rPr>
        <w:t>m</w:t>
      </w:r>
      <w:r w:rsidR="00A71DAB" w:rsidRPr="00A71DAB">
        <w:rPr>
          <w:i/>
        </w:rPr>
        <w:t>oder</w:t>
      </w:r>
      <w:r w:rsidR="00A71DAB">
        <w:rPr>
          <w:i/>
        </w:rPr>
        <w:t>ately a</w:t>
      </w:r>
      <w:r w:rsidR="00A71DAB" w:rsidRPr="00A71DAB">
        <w:rPr>
          <w:i/>
        </w:rPr>
        <w:t>dvanced</w:t>
      </w:r>
      <w:r w:rsidR="00A71DAB">
        <w:rPr>
          <w:i/>
        </w:rPr>
        <w:t xml:space="preserve"> new b</w:t>
      </w:r>
      <w:r w:rsidR="00A71DAB" w:rsidRPr="00A71DAB">
        <w:rPr>
          <w:i/>
        </w:rPr>
        <w:t xml:space="preserve">uilds &amp; </w:t>
      </w:r>
      <w:r w:rsidR="00022AD3">
        <w:rPr>
          <w:i/>
        </w:rPr>
        <w:t>d</w:t>
      </w:r>
      <w:r w:rsidR="00A71DAB">
        <w:rPr>
          <w:i/>
        </w:rPr>
        <w:t>eep r</w:t>
      </w:r>
      <w:r w:rsidR="00A71DAB" w:rsidRPr="00A71DAB">
        <w:rPr>
          <w:i/>
        </w:rPr>
        <w:t>etrofits</w:t>
      </w:r>
      <w:r w:rsidR="00A71DAB">
        <w:t xml:space="preserve">. </w:t>
      </w:r>
      <w:r w:rsidR="00152BDD">
        <w:t xml:space="preserve">Accordingly, while in the </w:t>
      </w:r>
      <w:r w:rsidR="00152BDD" w:rsidRPr="009D7823">
        <w:rPr>
          <w:i/>
        </w:rPr>
        <w:t>DLE</w:t>
      </w:r>
      <w:r w:rsidR="00152BDD">
        <w:t xml:space="preserve"> </w:t>
      </w:r>
      <w:r w:rsidR="009D7823">
        <w:t>scenario</w:t>
      </w:r>
      <w:r w:rsidR="00A71DAB">
        <w:t xml:space="preserve"> final energy use </w:t>
      </w:r>
      <w:r w:rsidR="00152BDD">
        <w:t xml:space="preserve">ranged from </w:t>
      </w:r>
      <w:r w:rsidR="001F2996">
        <w:t>19</w:t>
      </w:r>
      <w:r w:rsidR="00152BDD">
        <w:t xml:space="preserve"> to </w:t>
      </w:r>
      <w:r w:rsidR="001F2996">
        <w:t>55</w:t>
      </w:r>
      <w:r w:rsidR="00152BDD">
        <w:t xml:space="preserve"> MJ/m</w:t>
      </w:r>
      <w:r w:rsidR="00152BDD" w:rsidRPr="00152BDD">
        <w:rPr>
          <w:vertAlign w:val="superscript"/>
        </w:rPr>
        <w:t>2</w:t>
      </w:r>
      <w:r w:rsidR="001F2996">
        <w:t xml:space="preserve"> depending upon climate,</w:t>
      </w:r>
      <w:r w:rsidR="00152BDD">
        <w:t xml:space="preserve"> </w:t>
      </w:r>
      <w:r w:rsidR="006C3A36">
        <w:t xml:space="preserve">intensities in </w:t>
      </w:r>
      <w:r w:rsidR="00152BDD">
        <w:t xml:space="preserve">the </w:t>
      </w:r>
      <w:r w:rsidR="00A7620C">
        <w:rPr>
          <w:i/>
        </w:rPr>
        <w:t>CT</w:t>
      </w:r>
      <w:r w:rsidR="00180F55">
        <w:t xml:space="preserve"> </w:t>
      </w:r>
      <w:r w:rsidR="009D7823">
        <w:t>scenario</w:t>
      </w:r>
      <w:r w:rsidR="00152BDD">
        <w:t xml:space="preserve"> </w:t>
      </w:r>
      <w:r w:rsidR="006C3A36">
        <w:t>are 3-4 times higher on ave</w:t>
      </w:r>
      <w:r w:rsidR="00556C20">
        <w:t>rage and range</w:t>
      </w:r>
      <w:r w:rsidR="00152BDD">
        <w:t xml:space="preserve"> </w:t>
      </w:r>
      <w:r w:rsidR="006C3A36">
        <w:t>from</w:t>
      </w:r>
      <w:r w:rsidR="00152BDD">
        <w:t xml:space="preserve"> </w:t>
      </w:r>
      <w:r w:rsidR="001F2996">
        <w:rPr>
          <w:b/>
        </w:rPr>
        <w:t>46-262</w:t>
      </w:r>
      <w:r w:rsidR="00152BDD" w:rsidRPr="005B4510">
        <w:rPr>
          <w:b/>
        </w:rPr>
        <w:t xml:space="preserve"> MJ/m</w:t>
      </w:r>
      <w:r w:rsidR="00152BDD" w:rsidRPr="005B4510">
        <w:rPr>
          <w:b/>
          <w:vertAlign w:val="superscript"/>
        </w:rPr>
        <w:t>2</w:t>
      </w:r>
      <w:r w:rsidR="00152BDD">
        <w:t>.</w:t>
      </w:r>
      <w:r w:rsidR="00E23B49">
        <w:t xml:space="preserve"> </w:t>
      </w:r>
      <w:r w:rsidR="008C61D2">
        <w:t>I</w:t>
      </w:r>
      <w:r w:rsidR="00E23B49">
        <w:t xml:space="preserve"> take an identical approach for commercial and public buildings, leading to the ranges reported in the table below.</w:t>
      </w:r>
    </w:p>
    <w:p w14:paraId="30A41E87" w14:textId="0B3DEEC2" w:rsidR="00370CFB" w:rsidRDefault="00370CFB" w:rsidP="009E5C9A">
      <w:r>
        <w:t xml:space="preserve">For </w:t>
      </w:r>
      <w:r w:rsidR="00CF3854">
        <w:t xml:space="preserve">the energy embodied in </w:t>
      </w:r>
      <w:r>
        <w:rPr>
          <w:b/>
        </w:rPr>
        <w:t>residential construction</w:t>
      </w:r>
      <w:r>
        <w:t xml:space="preserve">, </w:t>
      </w:r>
      <w:r w:rsidR="00CF3854">
        <w:t>data in the literature vary substantially. T</w:t>
      </w:r>
      <w:r>
        <w:t xml:space="preserve">he </w:t>
      </w:r>
      <w:r w:rsidRPr="009D7823">
        <w:rPr>
          <w:i/>
        </w:rPr>
        <w:t>DLE</w:t>
      </w:r>
      <w:r>
        <w:t xml:space="preserve"> model used </w:t>
      </w:r>
      <w:r w:rsidR="00887588">
        <w:t>values at the low</w:t>
      </w:r>
      <w:r>
        <w:t xml:space="preserve"> end of that found in three papers reviewing timber-, concrete</w:t>
      </w:r>
      <w:r w:rsidR="00CF3854">
        <w:t xml:space="preserve">- and steel-based construction. A value </w:t>
      </w:r>
      <w:r>
        <w:t>of 30 MJ/m</w:t>
      </w:r>
      <w:r w:rsidRPr="00370CFB">
        <w:rPr>
          <w:vertAlign w:val="superscript"/>
        </w:rPr>
        <w:t>2</w:t>
      </w:r>
      <w:r w:rsidR="00CF3854">
        <w:t>/yr</w:t>
      </w:r>
      <w:r>
        <w:t xml:space="preserve"> </w:t>
      </w:r>
      <w:r w:rsidR="00CF3854">
        <w:t xml:space="preserve">was assumed </w:t>
      </w:r>
      <w:r>
        <w:t>for</w:t>
      </w:r>
      <w:r w:rsidR="00CF3854">
        <w:t xml:space="preserve"> regions where sufficient timber is available for construction, and 50 MJ/m</w:t>
      </w:r>
      <w:r w:rsidR="00CF3854" w:rsidRPr="00370CFB">
        <w:rPr>
          <w:vertAlign w:val="superscript"/>
        </w:rPr>
        <w:t>2</w:t>
      </w:r>
      <w:r w:rsidR="00CF3854">
        <w:t>/yr where more energy-intensive materials must instead be used (concrete &amp; steel). Values not mu</w:t>
      </w:r>
      <w:r w:rsidR="00136472">
        <w:t>ch larger than these (i.e. ~50-75</w:t>
      </w:r>
      <w:r w:rsidR="00CF3854">
        <w:t xml:space="preserve"> MJ/m</w:t>
      </w:r>
      <w:r w:rsidR="00CF3854" w:rsidRPr="00CF3854">
        <w:rPr>
          <w:vertAlign w:val="superscript"/>
        </w:rPr>
        <w:t>2</w:t>
      </w:r>
      <w:r w:rsidR="00CF3854">
        <w:t xml:space="preserve">/yr) are </w:t>
      </w:r>
      <w:r w:rsidR="001F3240">
        <w:t>suggested</w:t>
      </w:r>
      <w:r w:rsidR="00CF3854">
        <w:t xml:space="preserve"> even for houses designe</w:t>
      </w:r>
      <w:r w:rsidR="00C45880">
        <w:t>d for low operational energy use</w:t>
      </w:r>
      <w:r w:rsidR="00CF3854">
        <w:fldChar w:fldCharType="begin"/>
      </w:r>
      <w:r w:rsidR="0004567C">
        <w:instrText xml:space="preserve"> ADDIN EN.CITE &lt;EndNote&gt;&lt;Cite&gt;&lt;Author&gt;Sartori&lt;/Author&gt;&lt;Year&gt;2007&lt;/Year&gt;&lt;RecNum&gt;1455&lt;/RecNum&gt;&lt;DisplayText&gt;[15]&lt;/DisplayText&gt;&lt;record&gt;&lt;rec-number&gt;1455&lt;/rec-number&gt;&lt;foreign-keys&gt;&lt;key app="EN" db-id="trp9sxavnrpwwyeprv75wfdvdzzdv5x20asz" timestamp="1619176200"&gt;1455&lt;/key&gt;&lt;/foreign-keys&gt;&lt;ref-type name="Journal Article"&gt;17&lt;/ref-type&gt;&lt;contributors&gt;&lt;authors&gt;&lt;author&gt;Sartori, I.&lt;/author&gt;&lt;author&gt;Hestnes, A. G.&lt;/author&gt;&lt;/authors&gt;&lt;/contributors&gt;&lt;titles&gt;&lt;title&gt;Energy use in the life cycle of conventional and low-energy buildings: A review article&lt;/title&gt;&lt;secondary-title&gt;Energy and Buildings&lt;/secondary-title&gt;&lt;/titles&gt;&lt;periodical&gt;&lt;full-title&gt;Energy and Buildings&lt;/full-title&gt;&lt;/periodical&gt;&lt;pages&gt;249-257&lt;/pages&gt;&lt;volume&gt;39&lt;/volume&gt;&lt;number&gt;3&lt;/number&gt;&lt;keywords&gt;&lt;keyword&gt;Life cycle&lt;/keyword&gt;&lt;keyword&gt;Operating energy&lt;/keyword&gt;&lt;keyword&gt;Embodied energy&lt;/keyword&gt;&lt;keyword&gt;Low-energy&lt;/keyword&gt;&lt;keyword&gt;Solar house&lt;/keyword&gt;&lt;keyword&gt;Passive house&lt;/keyword&gt;&lt;/keywords&gt;&lt;dates&gt;&lt;year&gt;2007&lt;/year&gt;&lt;pub-dates&gt;&lt;date&gt;2007/03/01/&lt;/date&gt;&lt;/pub-dates&gt;&lt;/dates&gt;&lt;isbn&gt;0378-7788&lt;/isbn&gt;&lt;urls&gt;&lt;related-urls&gt;&lt;url&gt;https://www.sciencedirect.com/science/article/pii/S0378778806001873&lt;/url&gt;&lt;/related-urls&gt;&lt;/urls&gt;&lt;electronic-resource-num&gt;https://doi.org/10.1016/j.enbuild.2006.07.001&lt;/electronic-resource-num&gt;&lt;/record&gt;&lt;/Cite&gt;&lt;/EndNote&gt;</w:instrText>
      </w:r>
      <w:r w:rsidR="00CF3854">
        <w:fldChar w:fldCharType="separate"/>
      </w:r>
      <w:r w:rsidR="0004567C">
        <w:rPr>
          <w:noProof/>
        </w:rPr>
        <w:t>[15]</w:t>
      </w:r>
      <w:r w:rsidR="00CF3854">
        <w:fldChar w:fldCharType="end"/>
      </w:r>
      <w:r w:rsidR="00136472">
        <w:t>.</w:t>
      </w:r>
      <w:r w:rsidR="00CF3854">
        <w:t xml:space="preserve"> </w:t>
      </w:r>
      <w:r w:rsidR="00136472">
        <w:t>I</w:t>
      </w:r>
      <w:r w:rsidR="00CF3854">
        <w:t xml:space="preserve">n the </w:t>
      </w:r>
      <w:r w:rsidR="00A7620C">
        <w:rPr>
          <w:i/>
        </w:rPr>
        <w:t xml:space="preserve">CT </w:t>
      </w:r>
      <w:r w:rsidR="00A7620C">
        <w:t>scenario</w:t>
      </w:r>
      <w:r w:rsidR="00CF3854">
        <w:t xml:space="preserve"> </w:t>
      </w:r>
      <w:r w:rsidR="00887588">
        <w:t>I</w:t>
      </w:r>
      <w:r w:rsidR="00CF3854">
        <w:t xml:space="preserve"> </w:t>
      </w:r>
      <w:r w:rsidR="006E5BD3">
        <w:t xml:space="preserve">increase the </w:t>
      </w:r>
      <w:r w:rsidR="006E5BD3" w:rsidRPr="009D7823">
        <w:rPr>
          <w:i/>
        </w:rPr>
        <w:t>DLE</w:t>
      </w:r>
      <w:r w:rsidR="006E5BD3">
        <w:t xml:space="preserve"> values 50%, giving</w:t>
      </w:r>
      <w:r w:rsidR="00CF3854">
        <w:t xml:space="preserve"> </w:t>
      </w:r>
      <w:r w:rsidR="002D30FA">
        <w:rPr>
          <w:b/>
        </w:rPr>
        <w:t>45</w:t>
      </w:r>
      <w:r w:rsidR="006E5BD3">
        <w:rPr>
          <w:b/>
        </w:rPr>
        <w:t xml:space="preserve"> and 75</w:t>
      </w:r>
      <w:r w:rsidR="00CF3854" w:rsidRPr="00CF3854">
        <w:rPr>
          <w:b/>
        </w:rPr>
        <w:t xml:space="preserve"> MJ/m</w:t>
      </w:r>
      <w:r w:rsidR="00CF3854" w:rsidRPr="00CF3854">
        <w:rPr>
          <w:b/>
          <w:vertAlign w:val="superscript"/>
        </w:rPr>
        <w:t>2</w:t>
      </w:r>
      <w:r w:rsidR="00CF3854" w:rsidRPr="00CF3854">
        <w:rPr>
          <w:b/>
        </w:rPr>
        <w:t>/yr</w:t>
      </w:r>
      <w:r w:rsidR="00CF3854">
        <w:t xml:space="preserve"> as the regionally dependent energy intensities of construction.</w:t>
      </w:r>
      <w:r w:rsidR="00CF3854" w:rsidRPr="00CF3854">
        <w:t xml:space="preserve"> </w:t>
      </w:r>
      <w:r w:rsidR="009C49B4">
        <w:t xml:space="preserve">Again, </w:t>
      </w:r>
      <w:r w:rsidR="00887588">
        <w:t>I</w:t>
      </w:r>
      <w:r w:rsidR="009C49B4">
        <w:t xml:space="preserve"> take an identical approach for commercial and public buildings, increasing the </w:t>
      </w:r>
      <w:r w:rsidR="009C49B4" w:rsidRPr="009D7823">
        <w:rPr>
          <w:i/>
        </w:rPr>
        <w:t>DLE</w:t>
      </w:r>
      <w:r w:rsidR="009C49B4">
        <w:t xml:space="preserve"> values by 50%.</w:t>
      </w:r>
    </w:p>
    <w:p w14:paraId="2333F09E" w14:textId="03F5356D" w:rsidR="00D1435A" w:rsidRDefault="00D1435A" w:rsidP="009E5C9A">
      <w:r>
        <w:t xml:space="preserve">For </w:t>
      </w:r>
      <w:r>
        <w:rPr>
          <w:b/>
        </w:rPr>
        <w:t>illumination</w:t>
      </w:r>
      <w:r>
        <w:t xml:space="preserve">, the </w:t>
      </w:r>
      <w:r w:rsidRPr="009D7823">
        <w:rPr>
          <w:i/>
        </w:rPr>
        <w:t>DLE</w:t>
      </w:r>
      <w:r>
        <w:t xml:space="preserve"> model assumed highly efficient LEDs with an efficacy of 150 lm/W. For the </w:t>
      </w:r>
      <w:r w:rsidR="00A7620C">
        <w:rPr>
          <w:i/>
        </w:rPr>
        <w:t xml:space="preserve">CT </w:t>
      </w:r>
      <w:r w:rsidR="00A7620C">
        <w:t>scenario</w:t>
      </w:r>
      <w:r>
        <w:t xml:space="preserve">, </w:t>
      </w:r>
      <w:r w:rsidR="00D9209D">
        <w:t>I</w:t>
      </w:r>
      <w:r>
        <w:t xml:space="preserve"> assume more moderate efficiency LEDs are deployed with efficacy of </w:t>
      </w:r>
      <w:r w:rsidR="00975EFB">
        <w:rPr>
          <w:b/>
        </w:rPr>
        <w:t>10</w:t>
      </w:r>
      <w:r w:rsidRPr="00D1435A">
        <w:rPr>
          <w:b/>
        </w:rPr>
        <w:t>0 lm/W</w:t>
      </w:r>
      <w:r>
        <w:t>, which is nonetheless much higher than traditional bulbs.</w:t>
      </w:r>
    </w:p>
    <w:p w14:paraId="471A902F" w14:textId="3705B089" w:rsidR="009305BD" w:rsidRDefault="00C0048C" w:rsidP="009E5C9A">
      <w:r>
        <w:t xml:space="preserve">For </w:t>
      </w:r>
      <w:r w:rsidRPr="00C0048C">
        <w:rPr>
          <w:b/>
        </w:rPr>
        <w:t>water heating</w:t>
      </w:r>
      <w:r>
        <w:t xml:space="preserve">, </w:t>
      </w:r>
      <w:r w:rsidR="00DD4FF1">
        <w:t xml:space="preserve">I use the same heat transfer efficiency of 95% as in the </w:t>
      </w:r>
      <w:r w:rsidR="00DD4FF1" w:rsidRPr="009D7823">
        <w:rPr>
          <w:i/>
        </w:rPr>
        <w:t>DLE</w:t>
      </w:r>
      <w:r w:rsidR="00DD4FF1">
        <w:t xml:space="preserve"> model, while assuming a point-of-use system with no distribution losses, but I raise the boiler outlet temperature from 50</w:t>
      </w:r>
      <w:r w:rsidR="00DD4FF1" w:rsidRPr="00DD4FF1">
        <w:t>°c</w:t>
      </w:r>
      <w:r w:rsidR="00DD4FF1">
        <w:t xml:space="preserve"> to 65</w:t>
      </w:r>
      <w:r w:rsidR="00DD4FF1" w:rsidRPr="00DD4FF1">
        <w:t>°c</w:t>
      </w:r>
      <w:r w:rsidR="00DD4FF1">
        <w:t xml:space="preserve"> to reflect more typical current operation</w:t>
      </w:r>
      <w:r>
        <w:t>.</w:t>
      </w:r>
      <w:r w:rsidR="00DD4FF1">
        <w:t xml:space="preserve"> This raises the energy intensities </w:t>
      </w:r>
      <w:r w:rsidR="00A7620C">
        <w:t xml:space="preserve">in the </w:t>
      </w:r>
      <w:r w:rsidR="00A7620C">
        <w:rPr>
          <w:i/>
        </w:rPr>
        <w:t xml:space="preserve">CT </w:t>
      </w:r>
      <w:r w:rsidR="00A7620C">
        <w:t xml:space="preserve">scenario </w:t>
      </w:r>
      <w:r w:rsidR="00DD4FF1">
        <w:t>across the regions</w:t>
      </w:r>
      <w:r w:rsidR="001E6061">
        <w:t xml:space="preserve"> – which</w:t>
      </w:r>
      <w:r w:rsidR="00807065">
        <w:t xml:space="preserve"> </w:t>
      </w:r>
      <w:r w:rsidR="001E6061">
        <w:t>vary with ambient temperature</w:t>
      </w:r>
      <w:r w:rsidR="00807065">
        <w:t xml:space="preserve"> in the </w:t>
      </w:r>
      <w:r w:rsidR="00807065" w:rsidRPr="009D7823">
        <w:rPr>
          <w:i/>
        </w:rPr>
        <w:t>DLE</w:t>
      </w:r>
      <w:r w:rsidR="00807065">
        <w:t xml:space="preserve"> model</w:t>
      </w:r>
      <w:r w:rsidR="001E6061">
        <w:t xml:space="preserve"> –</w:t>
      </w:r>
      <w:r w:rsidR="00DD4FF1">
        <w:t xml:space="preserve"> from 96-220 KJ/L to </w:t>
      </w:r>
      <w:r w:rsidR="00DD4FF1" w:rsidRPr="00DD4FF1">
        <w:rPr>
          <w:b/>
        </w:rPr>
        <w:t>162-287 KJ/L</w:t>
      </w:r>
      <w:r w:rsidR="00DD4FF1">
        <w:t xml:space="preserve">. </w:t>
      </w:r>
    </w:p>
    <w:p w14:paraId="1AA2B37E" w14:textId="669FD5F6" w:rsidR="00C0048C" w:rsidRDefault="009305BD" w:rsidP="009E5C9A">
      <w:r>
        <w:t>F</w:t>
      </w:r>
      <w:r w:rsidR="00DD4FF1">
        <w:t xml:space="preserve">or </w:t>
      </w:r>
      <w:r w:rsidR="00DD4FF1" w:rsidRPr="009305BD">
        <w:rPr>
          <w:b/>
        </w:rPr>
        <w:t>water supply</w:t>
      </w:r>
      <w:r w:rsidR="008A57FC">
        <w:t xml:space="preserve"> – the infrastructure required to deliver water to homes –</w:t>
      </w:r>
      <w:r w:rsidR="00DD4FF1">
        <w:t xml:space="preserve"> I</w:t>
      </w:r>
      <w:r w:rsidR="00C0048C">
        <w:t xml:space="preserve"> use the same energy intensities as in the </w:t>
      </w:r>
      <w:r w:rsidR="00C0048C" w:rsidRPr="009D7823">
        <w:rPr>
          <w:i/>
        </w:rPr>
        <w:t>DLE</w:t>
      </w:r>
      <w:r w:rsidR="00C0048C">
        <w:t xml:space="preserve"> </w:t>
      </w:r>
      <w:r w:rsidR="009D7823">
        <w:t>scenario</w:t>
      </w:r>
      <w:r w:rsidR="00C0048C">
        <w:t>, as these were already based upon widely observed current values.</w:t>
      </w:r>
    </w:p>
    <w:p w14:paraId="6ECCB74C" w14:textId="0BBAB3B3" w:rsidR="00F035DC" w:rsidRDefault="00F035DC" w:rsidP="00180F55">
      <w:pPr>
        <w:pStyle w:val="Heading2"/>
      </w:pPr>
      <w:bookmarkStart w:id="18" w:name="_Toc91071620"/>
      <w:r>
        <w:t>Mobility</w:t>
      </w:r>
      <w:bookmarkEnd w:id="18"/>
    </w:p>
    <w:p w14:paraId="3EA0C63C" w14:textId="23188DF4" w:rsidR="003E3C90" w:rsidRDefault="000072E5" w:rsidP="003E3C90">
      <w:pPr>
        <w:rPr>
          <w:i/>
        </w:rPr>
      </w:pPr>
      <w:r>
        <w:t xml:space="preserve">For </w:t>
      </w:r>
      <w:r w:rsidRPr="003E3C90">
        <w:rPr>
          <w:b/>
        </w:rPr>
        <w:t>private surface transport</w:t>
      </w:r>
      <w:r w:rsidR="00045570" w:rsidRPr="00045570">
        <w:t xml:space="preserve"> </w:t>
      </w:r>
      <w:r w:rsidR="00045570">
        <w:t>(i.e. cars)</w:t>
      </w:r>
      <w:r>
        <w:t xml:space="preserve">, I set the </w:t>
      </w:r>
      <w:r w:rsidR="00A7620C">
        <w:rPr>
          <w:i/>
        </w:rPr>
        <w:t xml:space="preserve">CT </w:t>
      </w:r>
      <w:r w:rsidR="00A7620C">
        <w:t>scenario</w:t>
      </w:r>
      <w:r w:rsidR="00180F55">
        <w:t xml:space="preserve"> </w:t>
      </w:r>
      <w:r w:rsidR="00E26A25">
        <w:t xml:space="preserve">direct </w:t>
      </w:r>
      <w:r>
        <w:t>energy</w:t>
      </w:r>
      <w:r w:rsidR="003E3C90">
        <w:t xml:space="preserve"> intensity</w:t>
      </w:r>
      <w:r w:rsidRPr="000072E5">
        <w:t xml:space="preserve"> </w:t>
      </w:r>
      <w:r w:rsidR="003E3C90">
        <w:t>equal to that</w:t>
      </w:r>
      <w:r>
        <w:t xml:space="preserve"> used in the previous</w:t>
      </w:r>
      <w:r w:rsidRPr="000072E5">
        <w:t xml:space="preserve"> DLE</w:t>
      </w:r>
      <w:r>
        <w:t xml:space="preserve"> model, </w:t>
      </w:r>
      <w:r w:rsidR="003E3C90">
        <w:t>which was</w:t>
      </w:r>
      <w:r>
        <w:t xml:space="preserve"> relatively conservative and in</w:t>
      </w:r>
      <w:r w:rsidR="003E3C90">
        <w:t xml:space="preserve"> </w:t>
      </w:r>
      <w:r>
        <w:t xml:space="preserve">line with widely used current technologies. Specifically, the </w:t>
      </w:r>
      <w:r w:rsidR="00D5291C">
        <w:t xml:space="preserve">previous </w:t>
      </w:r>
      <w:r w:rsidRPr="009D7823">
        <w:rPr>
          <w:i/>
        </w:rPr>
        <w:t>DLE</w:t>
      </w:r>
      <w:r>
        <w:t xml:space="preserve"> direct energy intensity for cars was </w:t>
      </w:r>
      <w:r w:rsidRPr="000072E5">
        <w:rPr>
          <w:b/>
        </w:rPr>
        <w:t>0.34 MJ/pkm</w:t>
      </w:r>
      <w:r>
        <w:t>, which is close to the value reported by Onat et al.</w:t>
      </w:r>
      <w:r>
        <w:fldChar w:fldCharType="begin"/>
      </w:r>
      <w:r w:rsidR="0004567C">
        <w:instrText xml:space="preserve"> ADDIN EN.CITE &lt;EndNote&gt;&lt;Cite&gt;&lt;Author&gt;Onat&lt;/Author&gt;&lt;Year&gt;2015&lt;/Year&gt;&lt;RecNum&gt;1469&lt;/RecNum&gt;&lt;DisplayText&gt;[16]&lt;/DisplayText&gt;&lt;record&gt;&lt;rec-number&gt;1469&lt;/rec-number&gt;&lt;foreign-keys&gt;&lt;key app="EN" db-id="trp9sxavnrpwwyeprv75wfdvdzzdv5x20asz" timestamp="1619355822"&gt;1469&lt;/key&gt;&lt;/foreign-keys&gt;&lt;ref-type name="Journal Article"&gt;17&lt;/ref-type&gt;&lt;contributors&gt;&lt;authors&gt;&lt;author&gt;Onat, Nuri Cihat&lt;/author&gt;&lt;author&gt;Kucukvar, Murat&lt;/author&gt;&lt;author&gt;Tatari, Omer&lt;/author&gt;&lt;/authors&gt;&lt;/contributors&gt;&lt;titles&gt;&lt;title&gt;Conventional, hybrid, plug-in hybrid or electric vehicles? State-based comparative carbon and energy footprint analysis in the United States&lt;/title&gt;&lt;secondary-title&gt;Applied Energy&lt;/secondary-title&gt;&lt;/titles&gt;&lt;periodical&gt;&lt;full-title&gt;Applied Energy&lt;/full-title&gt;&lt;abbr-1&gt;Appl. Energy&lt;/abbr-1&gt;&lt;/periodical&gt;&lt;pages&gt;36-49&lt;/pages&gt;&lt;volume&gt;150&lt;/volume&gt;&lt;keywords&gt;&lt;keyword&gt;Electric vehicles&lt;/keyword&gt;&lt;keyword&gt;Carbon footprint&lt;/keyword&gt;&lt;keyword&gt;Energy consumption&lt;/keyword&gt;&lt;keyword&gt;Regional variations&lt;/keyword&gt;&lt;keyword&gt;Life cycle assessment&lt;/keyword&gt;&lt;/keywords&gt;&lt;dates&gt;&lt;year&gt;2015&lt;/year&gt;&lt;pub-dates&gt;&lt;date&gt;2015/07/15/&lt;/date&gt;&lt;/pub-dates&gt;&lt;/dates&gt;&lt;isbn&gt;0306-2619&lt;/isbn&gt;&lt;urls&gt;&lt;related-urls&gt;&lt;url&gt;https://www.sciencedirect.com/science/article/pii/S0306261915004407&lt;/url&gt;&lt;/related-urls&gt;&lt;/urls&gt;&lt;electronic-resource-num&gt;https://doi.org/10.1016/j.apenergy.2015.04.001&lt;/electronic-resource-num&gt;&lt;/record&gt;&lt;/Cite&gt;&lt;/EndNote&gt;</w:instrText>
      </w:r>
      <w:r>
        <w:fldChar w:fldCharType="separate"/>
      </w:r>
      <w:r w:rsidR="0004567C">
        <w:rPr>
          <w:noProof/>
        </w:rPr>
        <w:t>[16]</w:t>
      </w:r>
      <w:r>
        <w:fldChar w:fldCharType="end"/>
      </w:r>
      <w:r>
        <w:t xml:space="preserve"> for various current electric vehicles</w:t>
      </w:r>
      <w:r>
        <w:rPr>
          <w:rStyle w:val="FootnoteReference"/>
        </w:rPr>
        <w:footnoteReference w:id="2"/>
      </w:r>
      <w:r>
        <w:t xml:space="preserve"> and a little less that reported by Chester et al.</w:t>
      </w:r>
      <w:r>
        <w:fldChar w:fldCharType="begin">
          <w:fldData xml:space="preserve">PEVuZE5vdGU+PENpdGU+PEF1dGhvcj5DaGVzdGVyPC9BdXRob3I+PFllYXI+MjAxMzwvWWVhcj48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</w:fldData>
        </w:fldChar>
      </w:r>
      <w:r w:rsidR="0004567C">
        <w:instrText xml:space="preserve"> ADDIN EN.CITE </w:instrText>
      </w:r>
      <w:r w:rsidR="0004567C">
        <w:fldChar w:fldCharType="begin">
          <w:fldData xml:space="preserve">PEVuZE5vdGU+PENpdGU+PEF1dGhvcj5DaGVzdGVyPC9BdXRob3I+PFllYXI+MjAxMzwvWWVhcj48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</w:fldData>
        </w:fldChar>
      </w:r>
      <w:r w:rsidR="0004567C">
        <w:instrText xml:space="preserve"> ADDIN EN.CITE.DATA </w:instrText>
      </w:r>
      <w:r w:rsidR="0004567C">
        <w:fldChar w:fldCharType="end"/>
      </w:r>
      <w:r>
        <w:fldChar w:fldCharType="separate"/>
      </w:r>
      <w:r w:rsidR="0004567C">
        <w:rPr>
          <w:noProof/>
        </w:rPr>
        <w:t>[17, 18]</w:t>
      </w:r>
      <w:r>
        <w:fldChar w:fldCharType="end"/>
      </w:r>
      <w:r w:rsidR="00720D67">
        <w:t xml:space="preserve"> for current high-efficiency ICE vehicles (55mpg)</w:t>
      </w:r>
      <w:r w:rsidR="00720D67">
        <w:rPr>
          <w:rStyle w:val="FootnoteReference"/>
        </w:rPr>
        <w:footnoteReference w:id="3"/>
      </w:r>
      <w:r>
        <w:t>.</w:t>
      </w:r>
      <w:r w:rsidR="003E3C90" w:rsidRPr="003E3C90">
        <w:rPr>
          <w:i/>
        </w:rPr>
        <w:t xml:space="preserve"> </w:t>
      </w:r>
      <w:r w:rsidR="003E3C90">
        <w:t xml:space="preserve">The </w:t>
      </w:r>
      <w:r w:rsidR="003E3C90" w:rsidRPr="009D7823">
        <w:rPr>
          <w:i/>
        </w:rPr>
        <w:t>DLE</w:t>
      </w:r>
      <w:r w:rsidR="003E3C90">
        <w:t xml:space="preserve"> </w:t>
      </w:r>
      <w:r w:rsidR="00C91B6E">
        <w:t>energy intensity</w:t>
      </w:r>
      <w:r w:rsidR="003E3C90">
        <w:t xml:space="preserve"> is update</w:t>
      </w:r>
      <w:r w:rsidR="00C45880">
        <w:t>d based upon data in Cox et al.</w:t>
      </w:r>
      <w:r w:rsidR="003E3C90">
        <w:fldChar w:fldCharType="begin"/>
      </w:r>
      <w:r w:rsidR="0004567C">
        <w:instrText xml:space="preserve"> ADDIN EN.CITE &lt;EndNote&gt;&lt;Cite&gt;&lt;Author&gt;Cox&lt;/Author&gt;&lt;Year&gt;2018&lt;/Year&gt;&lt;RecNum&gt;1470&lt;/RecNum&gt;&lt;DisplayText&gt;[19]&lt;/DisplayText&gt;&lt;record&gt;&lt;rec-number&gt;1470&lt;/rec-number&gt;&lt;foreign-keys&gt;&lt;key app="EN" db-id="trp9sxavnrpwwyeprv75wfdvdzzdv5x20asz" timestamp="1619355826"&gt;1470&lt;/key&gt;&lt;/foreign-keys&gt;&lt;ref-type name="Journal Article"&gt;17&lt;/ref-type&gt;&lt;contributors&gt;&lt;authors&gt;&lt;author&gt;Cox, Brian&lt;/author&gt;&lt;author&gt;Mutel, Christopher L.&lt;/author&gt;&lt;author&gt;Bauer, Christian&lt;/author&gt;&lt;author&gt;Mendoza Beltran, Angelica&lt;/author&gt;&lt;author&gt;van Vuuren, Detlef P.&lt;/author&gt;&lt;/authors&gt;&lt;/contributors&gt;&lt;titles&gt;&lt;title&gt;Uncertain Environmental Footprint of Current and Future Battery Electric Vehicles&lt;/title&gt;&lt;secondary-title&gt;Environmental Science &amp;amp; Technology&lt;/secondary-title&gt;&lt;/titles&gt;&lt;periodical&gt;&lt;full-title&gt;Environmental science &amp;amp; technology&lt;/full-title&gt;&lt;/periodical&gt;&lt;pages&gt;4989-4995&lt;/pages&gt;&lt;volume&gt;52&lt;/volume&gt;&lt;number&gt;8&lt;/number&gt;&lt;dates&gt;&lt;year&gt;2018&lt;/year&gt;&lt;pub-dates&gt;&lt;date&gt;2018/04/17&lt;/date&gt;&lt;/pub-dates&gt;&lt;/dates&gt;&lt;publisher&gt;American Chemical Society&lt;/publisher&gt;&lt;isbn&gt;0013-936X&lt;/isbn&gt;&lt;urls&gt;&lt;related-urls&gt;&lt;url&gt;https://doi.org/10.1021/acs.est.8b00261&lt;/url&gt;&lt;/related-urls&gt;&lt;/urls&gt;&lt;electronic-resource-num&gt;10.1021/acs.est.8b00261&lt;/electronic-resource-num&gt;&lt;/record&gt;&lt;/Cite&gt;&lt;/EndNote&gt;</w:instrText>
      </w:r>
      <w:r w:rsidR="003E3C90">
        <w:fldChar w:fldCharType="separate"/>
      </w:r>
      <w:r w:rsidR="0004567C">
        <w:rPr>
          <w:noProof/>
        </w:rPr>
        <w:t>[19]</w:t>
      </w:r>
      <w:r w:rsidR="003E3C90">
        <w:fldChar w:fldCharType="end"/>
      </w:r>
      <w:r w:rsidR="003E3C90">
        <w:t xml:space="preserve">, which offers a long-term (most-likely) estimate of ~15 kWh/100km for future </w:t>
      </w:r>
      <w:r w:rsidR="00045570">
        <w:t>electric vehicles with autonomous control implemented to improve efficiency.</w:t>
      </w:r>
      <w:r w:rsidR="003E3C90">
        <w:t xml:space="preserve"> </w:t>
      </w:r>
      <w:r w:rsidR="00045570">
        <w:t>This</w:t>
      </w:r>
      <w:r w:rsidR="003E3C90">
        <w:t xml:space="preserve"> converts to </w:t>
      </w:r>
      <w:r w:rsidR="003E3C90" w:rsidRPr="00835278">
        <w:rPr>
          <w:b/>
        </w:rPr>
        <w:t>0.1</w:t>
      </w:r>
      <w:r w:rsidR="003E3C90">
        <w:rPr>
          <w:b/>
        </w:rPr>
        <w:t>6</w:t>
      </w:r>
      <w:r w:rsidR="003E3C90" w:rsidRPr="00835278">
        <w:rPr>
          <w:b/>
        </w:rPr>
        <w:t xml:space="preserve"> MJ/pkm</w:t>
      </w:r>
      <w:r w:rsidR="003E3C90">
        <w:t xml:space="preserve"> assuming an occupancy rate of 3.</w:t>
      </w:r>
    </w:p>
    <w:p w14:paraId="17DBE62B" w14:textId="77777777" w:rsidR="004676B0" w:rsidRDefault="004676B0" w:rsidP="005A42FA"/>
    <w:p w14:paraId="38E1CDBB" w14:textId="13B4BDA4" w:rsidR="00EB3B67" w:rsidRPr="00045570" w:rsidRDefault="00045570" w:rsidP="005A42FA">
      <w:r>
        <w:lastRenderedPageBreak/>
        <w:t>F</w:t>
      </w:r>
      <w:r w:rsidRPr="003E3C90">
        <w:t xml:space="preserve">or </w:t>
      </w:r>
      <w:r w:rsidRPr="003E3C90">
        <w:rPr>
          <w:b/>
        </w:rPr>
        <w:t>public road transport</w:t>
      </w:r>
      <w:r>
        <w:t xml:space="preserve"> (i.e. </w:t>
      </w:r>
      <w:r w:rsidRPr="00045570">
        <w:t>buses</w:t>
      </w:r>
      <w:r>
        <w:t xml:space="preserve">), I set the </w:t>
      </w:r>
      <w:r w:rsidR="00632BAD">
        <w:rPr>
          <w:i/>
        </w:rPr>
        <w:t xml:space="preserve">CT </w:t>
      </w:r>
      <w:r w:rsidR="00632BAD">
        <w:t>scenario</w:t>
      </w:r>
      <w:r w:rsidR="00180F55">
        <w:t xml:space="preserve"> </w:t>
      </w:r>
      <w:r w:rsidR="00E26A25">
        <w:t xml:space="preserve">direct </w:t>
      </w:r>
      <w:r>
        <w:t>energy intensity</w:t>
      </w:r>
      <w:r w:rsidRPr="000072E5">
        <w:t xml:space="preserve"> </w:t>
      </w:r>
      <w:r>
        <w:t>equal to that used in the previous</w:t>
      </w:r>
      <w:r w:rsidRPr="000072E5">
        <w:t xml:space="preserve"> DLE</w:t>
      </w:r>
      <w:r>
        <w:t xml:space="preserve"> model, for the same </w:t>
      </w:r>
      <w:r w:rsidR="00632BAD">
        <w:t>logic</w:t>
      </w:r>
      <w:r>
        <w:t xml:space="preserve"> as for cars. T</w:t>
      </w:r>
      <w:r w:rsidR="003E3C90">
        <w:t>he previous</w:t>
      </w:r>
      <w:r w:rsidR="003E3C90" w:rsidRPr="003E3C90">
        <w:t xml:space="preserve"> </w:t>
      </w:r>
      <w:r w:rsidR="003E3C90" w:rsidRPr="009D7823">
        <w:rPr>
          <w:i/>
        </w:rPr>
        <w:t>DLE</w:t>
      </w:r>
      <w:r w:rsidR="003E3C90">
        <w:t xml:space="preserve"> value was </w:t>
      </w:r>
      <w:r w:rsidR="003E3C90" w:rsidRPr="003E3C90">
        <w:rPr>
          <w:b/>
        </w:rPr>
        <w:t>0.18 MJ/pkm</w:t>
      </w:r>
      <w:r>
        <w:t>,</w:t>
      </w:r>
      <w:r w:rsidR="003E3C90">
        <w:t xml:space="preserve"> </w:t>
      </w:r>
      <w:r>
        <w:t>which</w:t>
      </w:r>
      <w:r w:rsidR="003E3C90">
        <w:t xml:space="preserve"> matches that achieved in some regions by 2050 in the IEA’s 2DS scenario when more efficient technologies are assumed to have become widespread, but remains significantly higher than reported for efficient electric buses today.</w:t>
      </w:r>
      <w:r>
        <w:t xml:space="preserve"> </w:t>
      </w:r>
      <w:r w:rsidR="00E51486">
        <w:t>Lajunen</w:t>
      </w:r>
      <w:r w:rsidR="00E51486">
        <w:fldChar w:fldCharType="begin"/>
      </w:r>
      <w:r w:rsidR="0004567C">
        <w:instrText xml:space="preserve"> ADDIN EN.CITE &lt;EndNote&gt;&lt;Cite&gt;&lt;Author&gt;Lajunen&lt;/Author&gt;&lt;Year&gt;2018&lt;/Year&gt;&lt;RecNum&gt;1471&lt;/RecNum&gt;&lt;DisplayText&gt;[20]&lt;/DisplayText&gt;&lt;record&gt;&lt;rec-number&gt;1471&lt;/rec-number&gt;&lt;foreign-keys&gt;&lt;key app="EN" db-id="trp9sxavnrpwwyeprv75wfdvdzzdv5x20asz" timestamp="1619355829"&gt;1471&lt;/key&gt;&lt;/foreign-keys&gt;&lt;ref-type name="Journal Article"&gt;17&lt;/ref-type&gt;&lt;contributors&gt;&lt;authors&gt;&lt;author&gt;Lajunen, Antti&lt;/author&gt;&lt;/authors&gt;&lt;/contributors&gt;&lt;titles&gt;&lt;title&gt;Lifecycle costs and charging requirements of electric buses with different charging methods&lt;/title&gt;&lt;secondary-title&gt;Journal of Cleaner Production&lt;/secondary-title&gt;&lt;/titles&gt;&lt;periodical&gt;&lt;full-title&gt;Journal of Cleaner Production&lt;/full-title&gt;&lt;abbr-1&gt;J. Clean Prod.&lt;/abbr-1&gt;&lt;/periodical&gt;&lt;pages&gt;56-67&lt;/pages&gt;&lt;volume&gt;172&lt;/volume&gt;&lt;keywords&gt;&lt;keyword&gt;Electric bus&lt;/keyword&gt;&lt;keyword&gt;Charging power&lt;/keyword&gt;&lt;keyword&gt;Energy consumption&lt;/keyword&gt;&lt;keyword&gt;Lifecycle costs&lt;/keyword&gt;&lt;keyword&gt;Route simulation&lt;/keyword&gt;&lt;/keywords&gt;&lt;dates&gt;&lt;year&gt;2018&lt;/year&gt;&lt;pub-dates&gt;&lt;date&gt;2018/01/20/&lt;/date&gt;&lt;/pub-dates&gt;&lt;/dates&gt;&lt;isbn&gt;0959-6526&lt;/isbn&gt;&lt;urls&gt;&lt;related-urls&gt;&lt;url&gt;https://www.sciencedirect.com/science/article/pii/S0959652617323594&lt;/url&gt;&lt;/related-urls&gt;&lt;/urls&gt;&lt;electronic-resource-num&gt;https://doi.org/10.1016/j.jclepro.2017.10.066&lt;/electronic-resource-num&gt;&lt;/record&gt;&lt;/Cite&gt;&lt;/EndNote&gt;</w:instrText>
      </w:r>
      <w:r w:rsidR="00E51486">
        <w:fldChar w:fldCharType="separate"/>
      </w:r>
      <w:r w:rsidR="0004567C">
        <w:rPr>
          <w:noProof/>
        </w:rPr>
        <w:t>[20]</w:t>
      </w:r>
      <w:r w:rsidR="00E51486">
        <w:fldChar w:fldCharType="end"/>
      </w:r>
      <w:r w:rsidR="00BA2498">
        <w:t xml:space="preserve"> and </w:t>
      </w:r>
      <w:r w:rsidR="00BA2498" w:rsidRPr="001F623E">
        <w:t>L</w:t>
      </w:r>
      <w:r w:rsidR="001F623E" w:rsidRPr="001F623E">
        <w:t>ajunen and Liperman</w:t>
      </w:r>
      <w:r w:rsidR="001F623E" w:rsidRPr="001F623E">
        <w:fldChar w:fldCharType="begin"/>
      </w:r>
      <w:r w:rsidR="0004567C">
        <w:instrText xml:space="preserve"> ADDIN EN.CITE &lt;EndNote&gt;&lt;Cite&gt;&lt;Author&gt;Lajunen&lt;/Author&gt;&lt;Year&gt;2016&lt;/Year&gt;&lt;RecNum&gt;1472&lt;/RecNum&gt;&lt;DisplayText&gt;[21]&lt;/DisplayText&gt;&lt;record&gt;&lt;rec-number&gt;1472&lt;/rec-number&gt;&lt;foreign-keys&gt;&lt;key app="EN" db-id="trp9sxavnrpwwyeprv75wfdvdzzdv5x20asz" timestamp="1619443120"&gt;1472&lt;/key&gt;&lt;/foreign-keys&gt;&lt;ref-type name="Journal Article"&gt;17&lt;/ref-type&gt;&lt;contributors&gt;&lt;authors&gt;&lt;author&gt;Lajunen, Antti&lt;/author&gt;&lt;author&gt;Lipman, Timothy&lt;/author&gt;&lt;/authors&gt;&lt;/contributors&gt;&lt;titles&gt;&lt;title&gt;Lifecycle cost assessment and carbon dioxide emissions of diesel, natural gas, hybrid electric, fuel cell hybrid and electric transit buses&lt;/title&gt;&lt;secondary-title&gt;Energy&lt;/secondary-title&gt;&lt;/titles&gt;&lt;periodical&gt;&lt;full-title&gt;Energy&lt;/full-title&gt;&lt;/periodical&gt;&lt;pages&gt;329-342&lt;/pages&gt;&lt;volume&gt;106&lt;/volume&gt;&lt;keywords&gt;&lt;keyword&gt;Lifecycle costs&lt;/keyword&gt;&lt;keyword&gt;Carbon dioxide emissions&lt;/keyword&gt;&lt;keyword&gt;City bus&lt;/keyword&gt;&lt;keyword&gt;Hybrid&lt;/keyword&gt;&lt;keyword&gt;Fuel cell&lt;/keyword&gt;&lt;keyword&gt;Battery&lt;/keyword&gt;&lt;/keywords&gt;&lt;dates&gt;&lt;year&gt;2016&lt;/year&gt;&lt;pub-dates&gt;&lt;date&gt;2016/07/01/&lt;/date&gt;&lt;/pub-dates&gt;&lt;/dates&gt;&lt;isbn&gt;0360-5442&lt;/isbn&gt;&lt;urls&gt;&lt;related-urls&gt;&lt;url&gt;https://www.sciencedirect.com/science/article/pii/S036054421630319X&lt;/url&gt;&lt;/related-urls&gt;&lt;/urls&gt;&lt;electronic-resource-num&gt;https://doi.org/10.1016/j.energy.2016.03.075&lt;/electronic-resource-num&gt;&lt;/record&gt;&lt;/Cite&gt;&lt;/EndNote&gt;</w:instrText>
      </w:r>
      <w:r w:rsidR="001F623E" w:rsidRPr="001F623E">
        <w:fldChar w:fldCharType="separate"/>
      </w:r>
      <w:r w:rsidR="0004567C">
        <w:rPr>
          <w:noProof/>
        </w:rPr>
        <w:t>[21]</w:t>
      </w:r>
      <w:r w:rsidR="001F623E" w:rsidRPr="001F623E">
        <w:fldChar w:fldCharType="end"/>
      </w:r>
      <w:r w:rsidR="00BA2498">
        <w:t xml:space="preserve"> suggest</w:t>
      </w:r>
      <w:r w:rsidR="00EB3B67">
        <w:t xml:space="preserve"> 1 kWh/km for </w:t>
      </w:r>
      <w:r w:rsidR="00BA2498">
        <w:t xml:space="preserve">current </w:t>
      </w:r>
      <w:r w:rsidR="00EB3B67">
        <w:t>electric bus</w:t>
      </w:r>
      <w:r w:rsidR="00BA2498">
        <w:t>es</w:t>
      </w:r>
      <w:r w:rsidR="00EB3B67">
        <w:t xml:space="preserve"> with </w:t>
      </w:r>
      <w:r w:rsidR="00BA2498">
        <w:t>50 person</w:t>
      </w:r>
      <w:r w:rsidR="00EB3B67">
        <w:t xml:space="preserve"> capacity</w:t>
      </w:r>
      <w:r w:rsidR="00BA2498">
        <w:t xml:space="preserve"> is possible</w:t>
      </w:r>
      <w:r w:rsidR="00EB3B67">
        <w:t xml:space="preserve">, which converts to </w:t>
      </w:r>
      <w:r w:rsidR="00EB3B67" w:rsidRPr="00F263F0">
        <w:rPr>
          <w:b/>
        </w:rPr>
        <w:t>0.</w:t>
      </w:r>
      <w:r w:rsidR="00F263F0">
        <w:rPr>
          <w:b/>
        </w:rPr>
        <w:t>0</w:t>
      </w:r>
      <w:r w:rsidR="00F263F0" w:rsidRPr="00F263F0">
        <w:rPr>
          <w:b/>
        </w:rPr>
        <w:t>72 MJ/pkm</w:t>
      </w:r>
      <w:r w:rsidRPr="00045570">
        <w:t xml:space="preserve">; </w:t>
      </w:r>
      <w:r>
        <w:t xml:space="preserve">I take this </w:t>
      </w:r>
      <w:r w:rsidR="002C66F3">
        <w:t xml:space="preserve">value for </w:t>
      </w:r>
      <w:r>
        <w:t xml:space="preserve">the </w:t>
      </w:r>
      <w:r w:rsidR="002C66F3">
        <w:rPr>
          <w:i/>
        </w:rPr>
        <w:t xml:space="preserve">CT </w:t>
      </w:r>
      <w:r w:rsidR="002C66F3">
        <w:t>scenario</w:t>
      </w:r>
      <w:r>
        <w:t>.</w:t>
      </w:r>
    </w:p>
    <w:p w14:paraId="499E41EB" w14:textId="13F738E1" w:rsidR="005503C7" w:rsidRDefault="00045570" w:rsidP="00F035DC">
      <w:r w:rsidRPr="00045570">
        <w:t>For</w:t>
      </w:r>
      <w:r>
        <w:t xml:space="preserve"> </w:t>
      </w:r>
      <w:r w:rsidRPr="00045570">
        <w:rPr>
          <w:b/>
        </w:rPr>
        <w:t>rail transport</w:t>
      </w:r>
      <w:r>
        <w:t>,</w:t>
      </w:r>
      <w:r>
        <w:rPr>
          <w:i/>
        </w:rPr>
        <w:t xml:space="preserve"> </w:t>
      </w:r>
      <w:r>
        <w:t xml:space="preserve">the previous </w:t>
      </w:r>
      <w:r w:rsidRPr="009D7823">
        <w:rPr>
          <w:i/>
        </w:rPr>
        <w:t>DLE</w:t>
      </w:r>
      <w:r>
        <w:t xml:space="preserve"> value </w:t>
      </w:r>
      <w:r w:rsidR="00E26A25">
        <w:t xml:space="preserve">for direct energy </w:t>
      </w:r>
      <w:r>
        <w:t xml:space="preserve">is maintained for the current </w:t>
      </w:r>
      <w:r w:rsidRPr="009D7823">
        <w:rPr>
          <w:i/>
        </w:rPr>
        <w:t>DLE</w:t>
      </w:r>
      <w:r w:rsidR="009D7823">
        <w:t xml:space="preserve"> scenario</w:t>
      </w:r>
      <w:r>
        <w:t xml:space="preserve"> (</w:t>
      </w:r>
      <w:r w:rsidRPr="006017D6">
        <w:t>0.057 MJ/pkm</w:t>
      </w:r>
      <w:r>
        <w:t xml:space="preserve">), and the </w:t>
      </w:r>
      <w:r w:rsidR="007555E1">
        <w:rPr>
          <w:i/>
        </w:rPr>
        <w:t xml:space="preserve">CT </w:t>
      </w:r>
      <w:r w:rsidR="007555E1">
        <w:t>scenario</w:t>
      </w:r>
      <w:r w:rsidR="007555E1" w:rsidRPr="00045570">
        <w:t xml:space="preserve"> </w:t>
      </w:r>
      <w:r w:rsidR="00316017" w:rsidRPr="00045570">
        <w:t>estimate</w:t>
      </w:r>
      <w:r>
        <w:t xml:space="preserve"> is taken to be three times </w:t>
      </w:r>
      <w:r w:rsidR="0035789C">
        <w:t>t</w:t>
      </w:r>
      <w:r>
        <w:t>his at</w:t>
      </w:r>
      <w:r w:rsidR="0035789C">
        <w:t xml:space="preserve"> </w:t>
      </w:r>
      <w:r w:rsidR="00234880">
        <w:rPr>
          <w:b/>
        </w:rPr>
        <w:t>0.17</w:t>
      </w:r>
      <w:r w:rsidR="0035789C" w:rsidRPr="0035789C">
        <w:rPr>
          <w:b/>
        </w:rPr>
        <w:t xml:space="preserve"> MJ/pkm</w:t>
      </w:r>
      <w:r>
        <w:t>.</w:t>
      </w:r>
      <w:r w:rsidR="00316017">
        <w:t xml:space="preserve"> </w:t>
      </w:r>
      <w:r>
        <w:t>This is based upon the IEA 2DS scenario, which projects the energy intensity of rail to remain roughly constant for 2020-2050</w:t>
      </w:r>
      <w:r w:rsidR="00316017">
        <w:t xml:space="preserve"> at 0.16-0.18 MJ/pkm</w:t>
      </w:r>
      <w:r>
        <w:t>.</w:t>
      </w:r>
    </w:p>
    <w:p w14:paraId="5753BD0B" w14:textId="0DE03EEA" w:rsidR="005A6454" w:rsidRDefault="00E26A25" w:rsidP="00F035DC">
      <w:r>
        <w:t xml:space="preserve">The direct energy intensity </w:t>
      </w:r>
      <w:r w:rsidR="005A6454">
        <w:t xml:space="preserve">of </w:t>
      </w:r>
      <w:r w:rsidR="005A6454" w:rsidRPr="005A6454">
        <w:rPr>
          <w:b/>
        </w:rPr>
        <w:t>air transport</w:t>
      </w:r>
      <w:r w:rsidR="005A6454">
        <w:t xml:space="preserve"> </w:t>
      </w:r>
      <w:r w:rsidR="00FA1593">
        <w:t>is</w:t>
      </w:r>
      <w:r w:rsidR="005A6454">
        <w:t xml:space="preserve"> not changed for the </w:t>
      </w:r>
      <w:r w:rsidR="00FA1593">
        <w:rPr>
          <w:i/>
        </w:rPr>
        <w:t xml:space="preserve">CT </w:t>
      </w:r>
      <w:r w:rsidR="00FA1593">
        <w:t xml:space="preserve">scenario, </w:t>
      </w:r>
      <w:r w:rsidR="002E61BD">
        <w:t xml:space="preserve">as </w:t>
      </w:r>
      <w:r w:rsidR="006914B5">
        <w:t>technological development</w:t>
      </w:r>
      <w:r w:rsidR="002E61BD">
        <w:t xml:space="preserve"> in this</w:t>
      </w:r>
      <w:r w:rsidR="005A6454">
        <w:t xml:space="preserve"> sector is particularly difficult to estimate.</w:t>
      </w:r>
      <w:r w:rsidR="006914B5" w:rsidRPr="006914B5">
        <w:t xml:space="preserve"> For example, passenger aircraft in the 2000s were only as efficient as those of the 1950s, due to the invention </w:t>
      </w:r>
      <w:r w:rsidR="006914B5">
        <w:t>and widespread deployment of jet engines, which replaced the earlier propeller-driven aircrafts</w:t>
      </w:r>
      <w:r w:rsidR="006914B5">
        <w:fldChar w:fldCharType="begin"/>
      </w:r>
      <w:r w:rsidR="0004567C">
        <w:instrText xml:space="preserve"> ADDIN EN.CITE &lt;EndNote&gt;&lt;Cite&gt;&lt;Author&gt;Peeters&lt;/Author&gt;&lt;Year&gt;2005&lt;/Year&gt;&lt;RecNum&gt;945&lt;/RecNum&gt;&lt;DisplayText&gt;[22]&lt;/DisplayText&gt;&lt;record&gt;&lt;rec-number&gt;945&lt;/rec-number&gt;&lt;foreign-keys&gt;&lt;key app="EN" db-id="trp9sxavnrpwwyeprv75wfdvdzzdv5x20asz" timestamp="1560433892"&gt;945&lt;/key&gt;&lt;/foreign-keys&gt;&lt;ref-type name="Report"&gt;27&lt;/ref-type&gt;&lt;contributors&gt;&lt;authors&gt;&lt;author&gt;Peeters, P&lt;/author&gt;&lt;author&gt;Middel, J&lt;/author&gt;&lt;author&gt;Hoolhorst, A&lt;/author&gt;&lt;/authors&gt;&lt;/contributors&gt;&lt;titles&gt;&lt;title&gt;Fuel efficiency of commercial aircraft: An overview of historical and future trends&lt;/title&gt;&lt;/titles&gt;&lt;number&gt;NLR-CR-2005-669&lt;/number&gt;&lt;dates&gt;&lt;year&gt;2005&lt;/year&gt;&lt;/dates&gt;&lt;publisher&gt;National Aerospace Laboratory, the Netherlands&lt;/publisher&gt;&lt;urls&gt;&lt;/urls&gt;&lt;/record&gt;&lt;/Cite&gt;&lt;/EndNote&gt;</w:instrText>
      </w:r>
      <w:r w:rsidR="006914B5">
        <w:fldChar w:fldCharType="separate"/>
      </w:r>
      <w:r w:rsidR="0004567C">
        <w:rPr>
          <w:noProof/>
        </w:rPr>
        <w:t>[22]</w:t>
      </w:r>
      <w:r w:rsidR="006914B5">
        <w:fldChar w:fldCharType="end"/>
      </w:r>
      <w:r w:rsidR="006914B5" w:rsidRPr="006914B5">
        <w:t>.</w:t>
      </w:r>
      <w:r w:rsidR="006914B5">
        <w:t xml:space="preserve"> The direct intensities of </w:t>
      </w:r>
      <w:r w:rsidR="006914B5" w:rsidRPr="006914B5">
        <w:rPr>
          <w:b/>
        </w:rPr>
        <w:t>freight vehicles</w:t>
      </w:r>
      <w:r w:rsidR="006914B5">
        <w:t xml:space="preserve"> are also not changed for the </w:t>
      </w:r>
      <w:r w:rsidR="006914B5">
        <w:rPr>
          <w:i/>
        </w:rPr>
        <w:t xml:space="preserve">CT </w:t>
      </w:r>
      <w:r w:rsidR="006914B5">
        <w:t xml:space="preserve">scenario, as the IEA 2DS scenario suggests the </w:t>
      </w:r>
      <w:r w:rsidR="006914B5" w:rsidRPr="009D7823">
        <w:rPr>
          <w:i/>
        </w:rPr>
        <w:t>DLE</w:t>
      </w:r>
      <w:r w:rsidR="006914B5">
        <w:t xml:space="preserve"> values may be achieved globally by 2050.</w:t>
      </w:r>
    </w:p>
    <w:p w14:paraId="428845AF" w14:textId="47200724" w:rsidR="00741600" w:rsidRDefault="00E26A25" w:rsidP="00741600">
      <w:r>
        <w:t xml:space="preserve">For the indirect energy use in vehicle production, the previous </w:t>
      </w:r>
      <w:r w:rsidRPr="009D7823">
        <w:rPr>
          <w:i/>
        </w:rPr>
        <w:t>DLE</w:t>
      </w:r>
      <w:r>
        <w:t xml:space="preserve"> </w:t>
      </w:r>
      <w:r w:rsidR="009D7823">
        <w:t>model</w:t>
      </w:r>
      <w:r>
        <w:t xml:space="preserve"> applied a 33% reduction in energy intensities for all vehicles </w:t>
      </w:r>
      <w:r w:rsidR="00BC54C1">
        <w:t>based upon</w:t>
      </w:r>
      <w:r>
        <w:t xml:space="preserve"> a range of manufacturing improvements suggested by Allwood et al.</w:t>
      </w:r>
      <w:r w:rsidR="00BC54C1">
        <w:fldChar w:fldCharType="begin"/>
      </w:r>
      <w:r w:rsidR="0004567C">
        <w:instrText xml:space="preserve"> ADDIN EN.CITE &lt;EndNote&gt;&lt;Cite&gt;&lt;Author&gt;Allwood&lt;/Author&gt;&lt;Year&gt;2012&lt;/Year&gt;&lt;RecNum&gt;1076&lt;/RecNum&gt;&lt;DisplayText&gt;[23]&lt;/DisplayText&gt;&lt;record&gt;&lt;rec-number&gt;1076&lt;/rec-number&gt;&lt;foreign-keys&gt;&lt;key app="EN" db-id="trp9sxavnrpwwyeprv75wfdvdzzdv5x20asz" timestamp="1572290457"&gt;1076&lt;/key&gt;&lt;/foreign-keys&gt;&lt;ref-type name="Book"&gt;6&lt;/ref-type&gt;&lt;contributors&gt;&lt;authors&gt;&lt;author&gt;Allwood, Julian&lt;/author&gt;&lt;author&gt;Cullen, Jonathan&lt;/author&gt;&lt;author&gt;Carruth, Mark&lt;/author&gt;&lt;author&gt;Cooper, Daniel&lt;/author&gt;&lt;author&gt;McBrien, Martin&lt;/author&gt;&lt;author&gt;Milford, Rachel&lt;/author&gt;&lt;author&gt;Moynihan, Muiris&lt;/author&gt;&lt;author&gt;Patel, Alexandra&lt;/author&gt;&lt;/authors&gt;&lt;/contributors&gt;&lt;titles&gt;&lt;title&gt;Sustainable materials: with both eyes open&lt;/title&gt;&lt;/titles&gt;&lt;dates&gt;&lt;year&gt;2012&lt;/year&gt;&lt;/dates&gt;&lt;publisher&gt;Citeseer&lt;/publisher&gt;&lt;isbn&gt;190686005X&lt;/isbn&gt;&lt;urls&gt;&lt;/urls&gt;&lt;/record&gt;&lt;/Cite&gt;&lt;/EndNote&gt;</w:instrText>
      </w:r>
      <w:r w:rsidR="00BC54C1">
        <w:fldChar w:fldCharType="separate"/>
      </w:r>
      <w:r w:rsidR="0004567C">
        <w:rPr>
          <w:noProof/>
        </w:rPr>
        <w:t>[23]</w:t>
      </w:r>
      <w:r w:rsidR="00BC54C1">
        <w:fldChar w:fldCharType="end"/>
      </w:r>
      <w:r>
        <w:t xml:space="preserve"> for steel</w:t>
      </w:r>
      <w:r w:rsidR="001C4721">
        <w:t>. Effectively, this</w:t>
      </w:r>
      <w:r>
        <w:t xml:space="preserve"> </w:t>
      </w:r>
      <w:r w:rsidR="001C4721">
        <w:t>took</w:t>
      </w:r>
      <w:r>
        <w:t xml:space="preserve"> steel production as a proxy for the intensity of future vehicle production</w:t>
      </w:r>
      <w:r w:rsidR="00BC54C1">
        <w:t xml:space="preserve">. For the </w:t>
      </w:r>
      <w:r w:rsidR="001C4721">
        <w:rPr>
          <w:i/>
        </w:rPr>
        <w:t xml:space="preserve">CT </w:t>
      </w:r>
      <w:r w:rsidR="001C4721">
        <w:t>scenario</w:t>
      </w:r>
      <w:r w:rsidR="00BC54C1">
        <w:t xml:space="preserve"> </w:t>
      </w:r>
      <w:r w:rsidR="003C4227">
        <w:t>I</w:t>
      </w:r>
      <w:r w:rsidR="00BC54C1">
        <w:t xml:space="preserve"> remove this 33% improvement</w:t>
      </w:r>
      <w:r w:rsidR="00A84E61">
        <w:t xml:space="preserve">, thus obtaining intensities recorded in </w:t>
      </w:r>
      <w:r w:rsidR="00DB4D9E" w:rsidRPr="00DB4D9E">
        <w:rPr>
          <w:b/>
        </w:rPr>
        <w:t>T</w:t>
      </w:r>
      <w:r w:rsidR="00A84E61" w:rsidRPr="00DB4D9E">
        <w:rPr>
          <w:b/>
        </w:rPr>
        <w:t>able</w:t>
      </w:r>
      <w:r w:rsidR="00DB4D9E" w:rsidRPr="00DB4D9E">
        <w:rPr>
          <w:b/>
        </w:rPr>
        <w:t xml:space="preserve"> SI4</w:t>
      </w:r>
      <w:r w:rsidR="00B91058">
        <w:t xml:space="preserve"> for passenger and freight vehicles</w:t>
      </w:r>
      <w:r w:rsidR="003C4227">
        <w:t xml:space="preserve">. </w:t>
      </w:r>
    </w:p>
    <w:p w14:paraId="00E619A1" w14:textId="7DF22BA8" w:rsidR="00E474B9" w:rsidRDefault="00E474B9" w:rsidP="00180F55">
      <w:pPr>
        <w:pStyle w:val="Heading2"/>
      </w:pPr>
      <w:bookmarkStart w:id="19" w:name="_Toc91071621"/>
      <w:r>
        <w:t>Power</w:t>
      </w:r>
      <w:bookmarkEnd w:id="19"/>
    </w:p>
    <w:p w14:paraId="1671DACE" w14:textId="1FD1327C" w:rsidR="00273737" w:rsidRDefault="00E474B9" w:rsidP="00E474B9">
      <w:r>
        <w:t>The DLE model used data from Hertwich et al.</w:t>
      </w:r>
      <w:r>
        <w:fldChar w:fldCharType="begin"/>
      </w:r>
      <w:r w:rsidR="0004567C">
        <w:instrText xml:space="preserve"> ADDIN EN.CITE &lt;EndNote&gt;&lt;Cite&gt;&lt;Author&gt;Hertwich&lt;/Author&gt;&lt;Year&gt;2015&lt;/Year&gt;&lt;RecNum&gt;1065&lt;/RecNum&gt;&lt;DisplayText&gt;[24]&lt;/DisplayText&gt;&lt;record&gt;&lt;rec-number&gt;1065&lt;/rec-number&gt;&lt;foreign-keys&gt;&lt;key app="EN" db-id="trp9sxavnrpwwyeprv75wfdvdzzdv5x20asz" timestamp="1571404233"&gt;1065&lt;/key&gt;&lt;/foreign-keys&gt;&lt;ref-type name="Journal Article"&gt;17&lt;/ref-type&gt;&lt;contributors&gt;&lt;authors&gt;&lt;author&gt;Hertwich, Edgar G.&lt;/author&gt;&lt;author&gt;Gibon, Thomas&lt;/author&gt;&lt;author&gt;Bouman, Evert A.&lt;/author&gt;&lt;author&gt;Arvesen, Anders&lt;/author&gt;&lt;author&gt;Suh, Sangwon&lt;/author&gt;&lt;author&gt;Heath, Garvin A.&lt;/author&gt;&lt;author&gt;Bergesen, Joseph D.&lt;/author&gt;&lt;author&gt;Ramirez, Andrea&lt;/author&gt;&lt;author&gt;Vega, Mabel I.&lt;/author&gt;&lt;author&gt;Shi, Lei&lt;/author&gt;&lt;/authors&gt;&lt;/contributors&gt;&lt;titles&gt;&lt;title&gt;Integrated life-cycle assessment of electricity-supply scenarios confirms global environmental benefit of low-carbon technologies&lt;/title&gt;&lt;secondary-title&gt;Proceedings of the National Academy of Sciences&lt;/secondary-title&gt;&lt;/titles&gt;&lt;periodical&gt;&lt;full-title&gt;Proceedings of the National Academy of Sciences&lt;/full-title&gt;&lt;/periodical&gt;&lt;pages&gt;6277-6282&lt;/pages&gt;&lt;volume&gt;112&lt;/volume&gt;&lt;number&gt;20&lt;/number&gt;&lt;keywords&gt;&lt;keyword&gt;PP-CI, general&lt;/keyword&gt;&lt;/keywords&gt;&lt;dates&gt;&lt;year&gt;2015&lt;/year&gt;&lt;pub-dates&gt;&lt;date&gt;May 19, 2015&lt;/date&gt;&lt;/pub-dates&gt;&lt;/dates&gt;&lt;urls&gt;&lt;related-urls&gt;&lt;url&gt;http://www.pnas.org/content/112/20/6277.abstract&lt;/url&gt;&lt;url&gt;http://www.pnas.org/content/112/20/6277.full.pdf&lt;/url&gt;&lt;/related-urls&gt;&lt;/urls&gt;&lt;electronic-resource-num&gt;10.1073/pnas.1312753111&lt;/electronic-resource-num&gt;&lt;/record&gt;&lt;/Cite&gt;&lt;/EndNote&gt;</w:instrText>
      </w:r>
      <w:r>
        <w:fldChar w:fldCharType="separate"/>
      </w:r>
      <w:r w:rsidR="0004567C">
        <w:rPr>
          <w:noProof/>
        </w:rPr>
        <w:t>[24]</w:t>
      </w:r>
      <w:r>
        <w:fldChar w:fldCharType="end"/>
      </w:r>
      <w:r>
        <w:t xml:space="preserve"> to estimate the energy intensity of producing power generation infrastructure. They suggested 0.1-0.25 kWh of energy was required for every 1 kWh of electricity produced</w:t>
      </w:r>
      <w:r w:rsidR="0065237C">
        <w:t>,</w:t>
      </w:r>
      <w:r>
        <w:t xml:space="preserve"> depending upon the renewable technology used. The </w:t>
      </w:r>
      <w:r w:rsidRPr="009D7823">
        <w:rPr>
          <w:i/>
        </w:rPr>
        <w:t>DLE</w:t>
      </w:r>
      <w:r>
        <w:t xml:space="preserve"> model used </w:t>
      </w:r>
      <w:r w:rsidRPr="00E474B9">
        <w:rPr>
          <w:b/>
        </w:rPr>
        <w:t>0.15 kWh/kWh</w:t>
      </w:r>
      <w:r>
        <w:t xml:space="preserve"> to reflect a mix of generation technologies and I maintain that value here. For the </w:t>
      </w:r>
      <w:r w:rsidR="006E7AFA">
        <w:rPr>
          <w:i/>
        </w:rPr>
        <w:t xml:space="preserve">CT </w:t>
      </w:r>
      <w:r w:rsidR="006E7AFA">
        <w:t>scenario</w:t>
      </w:r>
      <w:r>
        <w:t xml:space="preserve"> I increase this to </w:t>
      </w:r>
      <w:r w:rsidRPr="00E474B9">
        <w:rPr>
          <w:b/>
        </w:rPr>
        <w:t>0.175 kWh/kWh</w:t>
      </w:r>
      <w:r>
        <w:t xml:space="preserve"> to be in the middle of</w:t>
      </w:r>
      <w:r w:rsidR="006E7AFA">
        <w:t xml:space="preserve"> the</w:t>
      </w:r>
      <w:r>
        <w:t xml:space="preserve"> </w:t>
      </w:r>
      <w:r w:rsidR="006E7AFA">
        <w:t xml:space="preserve">Hertwich et al. </w:t>
      </w:r>
      <w:r>
        <w:t>range.</w:t>
      </w:r>
    </w:p>
    <w:p w14:paraId="7FAEB0F7" w14:textId="77777777" w:rsidR="00F65CA7" w:rsidRDefault="00F65CA7" w:rsidP="00F65CA7">
      <w:pPr>
        <w:pStyle w:val="Heading2"/>
      </w:pPr>
      <w:bookmarkStart w:id="20" w:name="_Toc91071622"/>
      <w:r>
        <w:t>Fixed sectors</w:t>
      </w:r>
      <w:bookmarkEnd w:id="20"/>
    </w:p>
    <w:p w14:paraId="6BC7FA60" w14:textId="77777777" w:rsidR="00F65CA7" w:rsidRDefault="00F65CA7" w:rsidP="00F65CA7">
      <w:r>
        <w:t xml:space="preserve">For three sectors, the </w:t>
      </w:r>
      <w:r w:rsidRPr="00F65CA7">
        <w:rPr>
          <w:i/>
        </w:rPr>
        <w:t>DLE</w:t>
      </w:r>
      <w:r>
        <w:t xml:space="preserve"> and </w:t>
      </w:r>
      <w:r>
        <w:rPr>
          <w:i/>
        </w:rPr>
        <w:t>CT</w:t>
      </w:r>
      <w:r>
        <w:t xml:space="preserve"> intensities are assumed equal:</w:t>
      </w:r>
    </w:p>
    <w:p w14:paraId="71DD1E72" w14:textId="77777777" w:rsidR="00F65CA7" w:rsidRPr="00CF0592" w:rsidRDefault="00F65CA7" w:rsidP="00F65CA7">
      <w:r w:rsidRPr="00CF0592">
        <w:t>For</w:t>
      </w:r>
      <w:r>
        <w:rPr>
          <w:b/>
        </w:rPr>
        <w:t xml:space="preserve"> c</w:t>
      </w:r>
      <w:r w:rsidRPr="00CF0592">
        <w:rPr>
          <w:b/>
        </w:rPr>
        <w:t>lothing</w:t>
      </w:r>
      <w:r>
        <w:t xml:space="preserve"> and the direct energy use of washing and drying, the </w:t>
      </w:r>
      <w:r w:rsidRPr="00F65CA7">
        <w:rPr>
          <w:i/>
        </w:rPr>
        <w:t>DLE</w:t>
      </w:r>
      <w:r>
        <w:t xml:space="preserve"> values are already representative of A-rated washer-dryers: current market data suggests these require ~0.67 kWh/kg of clothes, which matches the 2.4 MJ/kg assumed in the </w:t>
      </w:r>
      <w:r w:rsidRPr="00F65CA7">
        <w:rPr>
          <w:i/>
        </w:rPr>
        <w:t>DLE</w:t>
      </w:r>
      <w:r>
        <w:t xml:space="preserve"> scenario. Similarly, for clothes production the </w:t>
      </w:r>
      <w:r w:rsidRPr="00F65CA7">
        <w:rPr>
          <w:i/>
        </w:rPr>
        <w:t>DLE</w:t>
      </w:r>
      <w:r>
        <w:t xml:space="preserve"> model already assumed commonly found best-practice values, so these too are retained for the </w:t>
      </w:r>
      <w:r>
        <w:rPr>
          <w:i/>
        </w:rPr>
        <w:t>CT</w:t>
      </w:r>
      <w:r>
        <w:t xml:space="preserve"> scenario.</w:t>
      </w:r>
    </w:p>
    <w:p w14:paraId="4AE5F912" w14:textId="6FEFED39" w:rsidR="00F65CA7" w:rsidRDefault="00F65CA7" w:rsidP="00F65CA7">
      <w:r>
        <w:t xml:space="preserve">For </w:t>
      </w:r>
      <w:r>
        <w:rPr>
          <w:b/>
        </w:rPr>
        <w:t>c</w:t>
      </w:r>
      <w:r w:rsidRPr="00CF0592">
        <w:rPr>
          <w:b/>
        </w:rPr>
        <w:t>ommunication &amp; information</w:t>
      </w:r>
      <w:r>
        <w:t xml:space="preserve"> the values the </w:t>
      </w:r>
      <w:r w:rsidRPr="00F65CA7">
        <w:rPr>
          <w:i/>
        </w:rPr>
        <w:t>DLE</w:t>
      </w:r>
      <w:r>
        <w:t xml:space="preserve"> model assumed represent current devices and network infrastructures. These are retained for the </w:t>
      </w:r>
      <w:r>
        <w:rPr>
          <w:i/>
        </w:rPr>
        <w:t>CT</w:t>
      </w:r>
      <w:r>
        <w:t xml:space="preserve"> scenario as efficiency improvements in this sector typically serve to support improvements in computing performance rather than reductions in energy use</w:t>
      </w:r>
      <w:r>
        <w:fldChar w:fldCharType="begin"/>
      </w:r>
      <w:r w:rsidR="0004567C">
        <w:instrText xml:space="preserve"> ADDIN EN.CITE &lt;EndNote&gt;&lt;Cite&gt;&lt;Author&gt;Williams&lt;/Author&gt;&lt;Year&gt;2011&lt;/Year&gt;&lt;RecNum&gt;1009&lt;/RecNum&gt;&lt;DisplayText&gt;[25]&lt;/DisplayText&gt;&lt;record&gt;&lt;rec-number&gt;1009&lt;/rec-number&gt;&lt;foreign-keys&gt;&lt;key app="EN" db-id="trp9sxavnrpwwyeprv75wfdvdzzdv5x20asz" timestamp="1567086798"&gt;1009&lt;/key&gt;&lt;/foreign-keys&gt;&lt;ref-type name="Journal Article"&gt;17&lt;/ref-type&gt;&lt;contributors&gt;&lt;authors&gt;&lt;author&gt;Williams, Eric&lt;/author&gt;&lt;/authors&gt;&lt;/contributors&gt;&lt;titles&gt;&lt;title&gt;Environmental effects of information and communications technologies&lt;/title&gt;&lt;secondary-title&gt;Nature&lt;/secondary-title&gt;&lt;/titles&gt;&lt;periodical&gt;&lt;full-title&gt;Nature&lt;/full-title&gt;&lt;/periodical&gt;&lt;pages&gt;354&lt;/pages&gt;&lt;volume&gt;479&lt;/volume&gt;&lt;keywords&gt;&lt;keyword&gt;Computers, laptops&lt;/keyword&gt;&lt;/keywords&gt;&lt;dates&gt;&lt;year&gt;2011&lt;/year&gt;&lt;pub-dates&gt;&lt;date&gt;11/16/online&lt;/date&gt;&lt;/pub-dates&gt;&lt;/dates&gt;&lt;publisher&gt;Nature Publishing Group, a division of Macmillan Publishers Limited. All Rights Reserved.&lt;/publisher&gt;&lt;urls&gt;&lt;related-urls&gt;&lt;url&gt;&lt;style face="underline" font="default" size="100%"&gt;https://doi.org/10.1038/nature10682&lt;/style&gt;&lt;/url&gt;&lt;/related-urls&gt;&lt;/urls&gt;&lt;electronic-resource-num&gt;10.1038/nature10682&lt;/electronic-resource-num&gt;&lt;/record&gt;&lt;/Cite&gt;&lt;/EndNote&gt;</w:instrText>
      </w:r>
      <w:r>
        <w:fldChar w:fldCharType="separate"/>
      </w:r>
      <w:r w:rsidR="0004567C">
        <w:rPr>
          <w:noProof/>
        </w:rPr>
        <w:t>[25]</w:t>
      </w:r>
      <w:r>
        <w:fldChar w:fldCharType="end"/>
      </w:r>
      <w:r>
        <w:t xml:space="preserve">. This trend is, of course, an example of a direct rebound effect, such as when improvements to car’s fuel efficiency result in more driving. However, for driving, the distance covered per person is capped in the model at levels assumed to be sufficient for decent living. In contrast, it is not at all clear how one would estimate the speed of communication and information </w:t>
      </w:r>
      <w:r>
        <w:lastRenderedPageBreak/>
        <w:t>technologies required for decent living. Only a partial answer can be suggested, namely: a similar speed to those one is socially involved with.</w:t>
      </w:r>
    </w:p>
    <w:p w14:paraId="7390F28A" w14:textId="77777777" w:rsidR="00F65CA7" w:rsidRDefault="00F65CA7" w:rsidP="00F65CA7">
      <w:r w:rsidRPr="00F05BC9">
        <w:t xml:space="preserve">For </w:t>
      </w:r>
      <w:r>
        <w:rPr>
          <w:b/>
        </w:rPr>
        <w:t>waste management</w:t>
      </w:r>
      <w:r>
        <w:t xml:space="preserve">, the </w:t>
      </w:r>
      <w:r w:rsidRPr="00F65CA7">
        <w:rPr>
          <w:i/>
        </w:rPr>
        <w:t>DLE</w:t>
      </w:r>
      <w:r>
        <w:t xml:space="preserve"> model took a crude approach of assuming the energy required to be equal to that used for water supply. A more detailed approach was considered infeasible given the difficulty in estimating waste generation in a world with such fundamentally different consumption patterns. I thus use the same values for both the </w:t>
      </w:r>
      <w:r w:rsidRPr="00F65CA7">
        <w:rPr>
          <w:i/>
        </w:rPr>
        <w:t>DLE</w:t>
      </w:r>
      <w:r>
        <w:t xml:space="preserve"> and </w:t>
      </w:r>
      <w:r>
        <w:rPr>
          <w:i/>
        </w:rPr>
        <w:t>CT</w:t>
      </w:r>
      <w:r>
        <w:t xml:space="preserve"> scenarios.</w:t>
      </w:r>
    </w:p>
    <w:p w14:paraId="58FBE3AC" w14:textId="11960104" w:rsidR="009D7823" w:rsidRPr="00950C87" w:rsidRDefault="009D7823" w:rsidP="009D7823">
      <w:pPr>
        <w:spacing w:before="360"/>
        <w:rPr>
          <w:sz w:val="21"/>
          <w:szCs w:val="21"/>
        </w:rPr>
      </w:pPr>
      <w:r w:rsidRPr="004676B0">
        <w:rPr>
          <w:b/>
          <w:sz w:val="21"/>
          <w:szCs w:val="21"/>
        </w:rPr>
        <w:t xml:space="preserve">Table SI4:  </w:t>
      </w:r>
      <w:r w:rsidRPr="004676B0">
        <w:rPr>
          <w:sz w:val="21"/>
          <w:szCs w:val="21"/>
        </w:rPr>
        <w:t xml:space="preserve">This includes all parameters that are modified for the </w:t>
      </w:r>
      <w:r w:rsidRPr="004676B0">
        <w:rPr>
          <w:i/>
          <w:sz w:val="21"/>
          <w:szCs w:val="21"/>
        </w:rPr>
        <w:t>CT</w:t>
      </w:r>
      <w:r w:rsidRPr="004676B0">
        <w:rPr>
          <w:sz w:val="21"/>
          <w:szCs w:val="21"/>
        </w:rPr>
        <w:t xml:space="preserve"> scenario. Parameter that are unchanged are not listed. Note, direct here is energy used directly by households. (Note: the intensity for production of planes includes production of fuels, which is fixed in the </w:t>
      </w:r>
      <w:r w:rsidRPr="004676B0">
        <w:rPr>
          <w:i/>
          <w:sz w:val="21"/>
          <w:szCs w:val="21"/>
        </w:rPr>
        <w:t>DLE</w:t>
      </w:r>
      <w:r w:rsidRPr="004676B0">
        <w:rPr>
          <w:sz w:val="21"/>
          <w:szCs w:val="21"/>
        </w:rPr>
        <w:t xml:space="preserve"> and </w:t>
      </w:r>
      <w:r w:rsidRPr="004676B0">
        <w:rPr>
          <w:i/>
          <w:sz w:val="21"/>
          <w:szCs w:val="21"/>
        </w:rPr>
        <w:t>CT</w:t>
      </w:r>
      <w:r w:rsidRPr="004676B0">
        <w:rPr>
          <w:sz w:val="21"/>
          <w:szCs w:val="21"/>
        </w:rPr>
        <w:t xml:space="preserve"> scenarios, hence why the latter</w:t>
      </w:r>
      <w:r w:rsidRPr="004676B0">
        <w:rPr>
          <w:i/>
          <w:sz w:val="21"/>
          <w:szCs w:val="21"/>
        </w:rPr>
        <w:t xml:space="preserve"> </w:t>
      </w:r>
      <w:r w:rsidRPr="004676B0">
        <w:rPr>
          <w:sz w:val="21"/>
          <w:szCs w:val="21"/>
        </w:rPr>
        <w:t>value is less than 50% larger than the former.)</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0" w:type="dxa"/>
          <w:bottom w:w="14" w:type="dxa"/>
          <w:right w:w="40" w:type="dxa"/>
        </w:tblCellMar>
        <w:tblLook w:val="04A0" w:firstRow="1" w:lastRow="0" w:firstColumn="1" w:lastColumn="0" w:noHBand="0" w:noVBand="1"/>
      </w:tblPr>
      <w:tblGrid>
        <w:gridCol w:w="1418"/>
        <w:gridCol w:w="2693"/>
        <w:gridCol w:w="1134"/>
        <w:gridCol w:w="1418"/>
        <w:gridCol w:w="1417"/>
        <w:gridCol w:w="992"/>
      </w:tblGrid>
      <w:tr w:rsidR="001C2F48" w14:paraId="18D0F343" w14:textId="77777777" w:rsidTr="003C4227">
        <w:tc>
          <w:tcPr>
            <w:tcW w:w="4111" w:type="dxa"/>
            <w:gridSpan w:val="2"/>
            <w:vMerge w:val="restart"/>
            <w:tcBorders>
              <w:right w:val="single" w:sz="4" w:space="0" w:color="auto"/>
            </w:tcBorders>
            <w:shd w:val="clear" w:color="auto" w:fill="D9D9D9" w:themeFill="background1" w:themeFillShade="D9"/>
            <w:vAlign w:val="center"/>
          </w:tcPr>
          <w:p w14:paraId="478FAFF9" w14:textId="77777777" w:rsidR="001C2F48" w:rsidRPr="002D7E6F" w:rsidRDefault="001C2F48" w:rsidP="001C2F48">
            <w:pPr>
              <w:spacing w:after="0"/>
              <w:rPr>
                <w:b/>
                <w:sz w:val="24"/>
              </w:rPr>
            </w:pPr>
            <w:r w:rsidRPr="009E4A7C">
              <w:rPr>
                <w:b/>
                <w:sz w:val="28"/>
              </w:rPr>
              <w:t>Sector and activity</w:t>
            </w:r>
          </w:p>
        </w:tc>
        <w:tc>
          <w:tcPr>
            <w:tcW w:w="2552" w:type="dxa"/>
            <w:gridSpan w:val="2"/>
            <w:tcBorders>
              <w:left w:val="dashed" w:sz="4" w:space="0" w:color="7F7F7F" w:themeColor="text1" w:themeTint="80"/>
              <w:right w:val="dashSmallGap" w:sz="4" w:space="0" w:color="A6A6A6" w:themeColor="background1" w:themeShade="A6"/>
            </w:tcBorders>
            <w:shd w:val="clear" w:color="auto" w:fill="D9D9D9" w:themeFill="background1" w:themeFillShade="D9"/>
            <w:vAlign w:val="center"/>
          </w:tcPr>
          <w:p w14:paraId="6E5EC63F" w14:textId="77777777" w:rsidR="001C2F48" w:rsidRPr="002D7E6F" w:rsidRDefault="001C2F48" w:rsidP="002D7E6F">
            <w:pPr>
              <w:spacing w:after="0"/>
              <w:jc w:val="center"/>
              <w:rPr>
                <w:b/>
                <w:sz w:val="24"/>
                <w:szCs w:val="18"/>
              </w:rPr>
            </w:pPr>
            <w:r>
              <w:rPr>
                <w:b/>
                <w:sz w:val="24"/>
                <w:szCs w:val="18"/>
              </w:rPr>
              <w:t>Energy intensity</w:t>
            </w:r>
          </w:p>
        </w:tc>
        <w:tc>
          <w:tcPr>
            <w:tcW w:w="1417" w:type="dxa"/>
            <w:vMerge w:val="restart"/>
            <w:tcBorders>
              <w:left w:val="dashSmallGap" w:sz="4" w:space="0" w:color="A6A6A6" w:themeColor="background1" w:themeShade="A6"/>
              <w:right w:val="dashSmallGap" w:sz="4" w:space="0" w:color="A6A6A6" w:themeColor="background1" w:themeShade="A6"/>
            </w:tcBorders>
            <w:shd w:val="clear" w:color="auto" w:fill="D9D9D9" w:themeFill="background1" w:themeFillShade="D9"/>
            <w:vAlign w:val="center"/>
          </w:tcPr>
          <w:p w14:paraId="44E85EDD" w14:textId="77777777" w:rsidR="001C2F48" w:rsidRPr="002D7E6F" w:rsidRDefault="001C2F48" w:rsidP="001C2F48">
            <w:pPr>
              <w:spacing w:after="0"/>
              <w:jc w:val="center"/>
              <w:rPr>
                <w:b/>
                <w:sz w:val="24"/>
                <w:szCs w:val="18"/>
              </w:rPr>
            </w:pPr>
            <w:r w:rsidRPr="002D7E6F">
              <w:rPr>
                <w:b/>
                <w:sz w:val="24"/>
                <w:szCs w:val="18"/>
              </w:rPr>
              <w:t>Units</w:t>
            </w:r>
          </w:p>
        </w:tc>
        <w:tc>
          <w:tcPr>
            <w:tcW w:w="992" w:type="dxa"/>
            <w:vMerge w:val="restart"/>
            <w:tcBorders>
              <w:left w:val="dashSmallGap" w:sz="4" w:space="0" w:color="A6A6A6" w:themeColor="background1" w:themeShade="A6"/>
            </w:tcBorders>
            <w:shd w:val="clear" w:color="auto" w:fill="D9D9D9" w:themeFill="background1" w:themeFillShade="D9"/>
            <w:vAlign w:val="center"/>
          </w:tcPr>
          <w:p w14:paraId="218C276B" w14:textId="77777777" w:rsidR="001C2F48" w:rsidRPr="002D7E6F" w:rsidRDefault="001C2F48" w:rsidP="009E4A7C">
            <w:pPr>
              <w:spacing w:after="0"/>
              <w:jc w:val="center"/>
              <w:rPr>
                <w:b/>
                <w:sz w:val="24"/>
                <w:szCs w:val="18"/>
              </w:rPr>
            </w:pPr>
            <w:r w:rsidRPr="002D7E6F">
              <w:rPr>
                <w:b/>
                <w:sz w:val="24"/>
                <w:szCs w:val="18"/>
              </w:rPr>
              <w:t>Energy</w:t>
            </w:r>
            <w:r w:rsidR="009E4A7C">
              <w:rPr>
                <w:b/>
                <w:sz w:val="24"/>
                <w:szCs w:val="18"/>
              </w:rPr>
              <w:t xml:space="preserve"> scope</w:t>
            </w:r>
          </w:p>
        </w:tc>
      </w:tr>
      <w:tr w:rsidR="001C2F48" w14:paraId="6358084F" w14:textId="77777777" w:rsidTr="003C4227">
        <w:tc>
          <w:tcPr>
            <w:tcW w:w="4111" w:type="dxa"/>
            <w:gridSpan w:val="2"/>
            <w:vMerge/>
            <w:tcBorders>
              <w:bottom w:val="single" w:sz="4" w:space="0" w:color="auto"/>
              <w:right w:val="single" w:sz="4" w:space="0" w:color="auto"/>
            </w:tcBorders>
            <w:shd w:val="clear" w:color="auto" w:fill="D9D9D9" w:themeFill="background1" w:themeFillShade="D9"/>
          </w:tcPr>
          <w:p w14:paraId="23111E71" w14:textId="77777777" w:rsidR="001C2F48" w:rsidRPr="002D7E6F" w:rsidRDefault="001C2F48" w:rsidP="0016593E">
            <w:pPr>
              <w:spacing w:after="0"/>
              <w:rPr>
                <w:b/>
                <w:sz w:val="24"/>
              </w:rPr>
            </w:pPr>
          </w:p>
        </w:tc>
        <w:tc>
          <w:tcPr>
            <w:tcW w:w="1134" w:type="dxa"/>
            <w:tcBorders>
              <w:left w:val="dashed" w:sz="4" w:space="0" w:color="7F7F7F" w:themeColor="text1" w:themeTint="80"/>
              <w:bottom w:val="single" w:sz="4" w:space="0" w:color="auto"/>
              <w:right w:val="dashSmallGap" w:sz="4" w:space="0" w:color="A6A6A6" w:themeColor="background1" w:themeShade="A6"/>
            </w:tcBorders>
            <w:shd w:val="clear" w:color="auto" w:fill="D9D9D9" w:themeFill="background1" w:themeFillShade="D9"/>
            <w:vAlign w:val="center"/>
          </w:tcPr>
          <w:p w14:paraId="62C9AB5E" w14:textId="525BF10A" w:rsidR="001C2F48" w:rsidRPr="001C2F48" w:rsidRDefault="001C2F48" w:rsidP="00180F55">
            <w:pPr>
              <w:spacing w:after="0"/>
              <w:jc w:val="center"/>
              <w:rPr>
                <w:b/>
                <w:szCs w:val="18"/>
              </w:rPr>
            </w:pPr>
            <w:r w:rsidRPr="001C2F48">
              <w:rPr>
                <w:b/>
                <w:szCs w:val="18"/>
              </w:rPr>
              <w:t>DLE</w:t>
            </w:r>
          </w:p>
        </w:tc>
        <w:tc>
          <w:tcPr>
            <w:tcW w:w="1418" w:type="dxa"/>
            <w:tcBorders>
              <w:left w:val="dashSmallGap" w:sz="4" w:space="0" w:color="A6A6A6" w:themeColor="background1" w:themeShade="A6"/>
              <w:bottom w:val="single" w:sz="4" w:space="0" w:color="auto"/>
              <w:right w:val="dashSmallGap" w:sz="4" w:space="0" w:color="A6A6A6" w:themeColor="background1" w:themeShade="A6"/>
            </w:tcBorders>
            <w:shd w:val="clear" w:color="auto" w:fill="D9D9D9" w:themeFill="background1" w:themeFillShade="D9"/>
            <w:vAlign w:val="center"/>
          </w:tcPr>
          <w:p w14:paraId="6DC01893" w14:textId="192D9827" w:rsidR="001C2F48" w:rsidRPr="00180F55" w:rsidRDefault="00180F55" w:rsidP="00F33547">
            <w:pPr>
              <w:spacing w:after="0"/>
              <w:jc w:val="center"/>
              <w:rPr>
                <w:b/>
                <w:szCs w:val="18"/>
              </w:rPr>
            </w:pPr>
            <w:r w:rsidRPr="00180F55">
              <w:rPr>
                <w:b/>
              </w:rPr>
              <w:t>Current technology</w:t>
            </w:r>
          </w:p>
        </w:tc>
        <w:tc>
          <w:tcPr>
            <w:tcW w:w="1417" w:type="dxa"/>
            <w:vMerge/>
            <w:tcBorders>
              <w:left w:val="dashSmallGap" w:sz="4" w:space="0" w:color="A6A6A6" w:themeColor="background1" w:themeShade="A6"/>
              <w:bottom w:val="single" w:sz="4" w:space="0" w:color="auto"/>
              <w:right w:val="dashSmallGap" w:sz="4" w:space="0" w:color="A6A6A6" w:themeColor="background1" w:themeShade="A6"/>
            </w:tcBorders>
            <w:shd w:val="clear" w:color="auto" w:fill="D9D9D9" w:themeFill="background1" w:themeFillShade="D9"/>
            <w:vAlign w:val="center"/>
          </w:tcPr>
          <w:p w14:paraId="7D7BC106" w14:textId="77777777" w:rsidR="001C2F48" w:rsidRPr="00180F55" w:rsidRDefault="001C2F48" w:rsidP="001C2F48">
            <w:pPr>
              <w:spacing w:after="0"/>
              <w:jc w:val="center"/>
              <w:rPr>
                <w:b/>
                <w:sz w:val="24"/>
                <w:szCs w:val="18"/>
              </w:rPr>
            </w:pPr>
          </w:p>
        </w:tc>
        <w:tc>
          <w:tcPr>
            <w:tcW w:w="992" w:type="dxa"/>
            <w:vMerge/>
            <w:tcBorders>
              <w:left w:val="dashSmallGap" w:sz="4" w:space="0" w:color="A6A6A6" w:themeColor="background1" w:themeShade="A6"/>
              <w:bottom w:val="single" w:sz="4" w:space="0" w:color="auto"/>
            </w:tcBorders>
            <w:shd w:val="clear" w:color="auto" w:fill="D9D9D9" w:themeFill="background1" w:themeFillShade="D9"/>
            <w:vAlign w:val="center"/>
          </w:tcPr>
          <w:p w14:paraId="0FA90CAD" w14:textId="77777777" w:rsidR="001C2F48" w:rsidRPr="00180F55" w:rsidRDefault="001C2F48" w:rsidP="001C2F48">
            <w:pPr>
              <w:spacing w:after="0"/>
              <w:jc w:val="center"/>
              <w:rPr>
                <w:b/>
                <w:sz w:val="24"/>
                <w:szCs w:val="18"/>
              </w:rPr>
            </w:pPr>
          </w:p>
        </w:tc>
      </w:tr>
      <w:tr w:rsidR="00F33547" w14:paraId="7397FACC" w14:textId="77777777" w:rsidTr="003C4227">
        <w:tc>
          <w:tcPr>
            <w:tcW w:w="1418" w:type="dxa"/>
            <w:vMerge w:val="restart"/>
            <w:tcBorders>
              <w:top w:val="single" w:sz="4" w:space="0" w:color="auto"/>
              <w:right w:val="dashSmallGap" w:sz="4" w:space="0" w:color="A6A6A6" w:themeColor="background1" w:themeShade="A6"/>
            </w:tcBorders>
            <w:shd w:val="clear" w:color="auto" w:fill="FFFFFF" w:themeFill="background1"/>
            <w:vAlign w:val="center"/>
          </w:tcPr>
          <w:p w14:paraId="4343B922" w14:textId="77777777" w:rsidR="00F33547" w:rsidRPr="00025416" w:rsidRDefault="00F33547" w:rsidP="009A1DA3">
            <w:pPr>
              <w:spacing w:after="0"/>
              <w:rPr>
                <w:b/>
                <w:sz w:val="20"/>
                <w:szCs w:val="20"/>
              </w:rPr>
            </w:pPr>
            <w:r w:rsidRPr="00025416">
              <w:rPr>
                <w:b/>
                <w:sz w:val="20"/>
                <w:szCs w:val="20"/>
              </w:rPr>
              <w:t>Nutrition</w:t>
            </w:r>
          </w:p>
        </w:tc>
        <w:tc>
          <w:tcPr>
            <w:tcW w:w="2693" w:type="dxa"/>
            <w:tcBorders>
              <w:top w:val="single" w:sz="4" w:space="0" w:color="auto"/>
              <w:left w:val="dashSmallGap" w:sz="4" w:space="0" w:color="A6A6A6" w:themeColor="background1" w:themeShade="A6"/>
              <w:right w:val="single" w:sz="4" w:space="0" w:color="auto"/>
            </w:tcBorders>
            <w:shd w:val="clear" w:color="auto" w:fill="FFFFFF" w:themeFill="background1"/>
            <w:vAlign w:val="center"/>
          </w:tcPr>
          <w:p w14:paraId="18221F8D" w14:textId="77777777" w:rsidR="00F33547" w:rsidRPr="0016593E" w:rsidRDefault="00F33547" w:rsidP="0016593E">
            <w:pPr>
              <w:spacing w:after="0"/>
              <w:rPr>
                <w:sz w:val="20"/>
              </w:rPr>
            </w:pPr>
            <w:r>
              <w:rPr>
                <w:sz w:val="20"/>
              </w:rPr>
              <w:t>Crop production</w:t>
            </w:r>
          </w:p>
        </w:tc>
        <w:tc>
          <w:tcPr>
            <w:tcW w:w="1134" w:type="dxa"/>
            <w:tcBorders>
              <w:top w:val="single" w:sz="4" w:space="0" w:color="auto"/>
              <w:left w:val="dashed" w:sz="4" w:space="0" w:color="7F7F7F" w:themeColor="text1" w:themeTint="80"/>
              <w:right w:val="dashSmallGap" w:sz="4" w:space="0" w:color="A6A6A6" w:themeColor="background1" w:themeShade="A6"/>
            </w:tcBorders>
            <w:shd w:val="clear" w:color="auto" w:fill="FFFFFF" w:themeFill="background1"/>
            <w:vAlign w:val="center"/>
          </w:tcPr>
          <w:p w14:paraId="702121A9" w14:textId="77777777" w:rsidR="00F33547" w:rsidRPr="0016593E" w:rsidRDefault="00F33547" w:rsidP="002D7E6F">
            <w:pPr>
              <w:spacing w:after="0"/>
              <w:jc w:val="center"/>
              <w:rPr>
                <w:sz w:val="20"/>
                <w:szCs w:val="18"/>
              </w:rPr>
            </w:pPr>
            <w:r>
              <w:rPr>
                <w:sz w:val="20"/>
                <w:szCs w:val="18"/>
              </w:rPr>
              <w:t>0.2</w:t>
            </w:r>
          </w:p>
        </w:tc>
        <w:tc>
          <w:tcPr>
            <w:tcW w:w="1418" w:type="dxa"/>
            <w:tcBorders>
              <w:top w:val="single" w:sz="4" w:space="0" w:color="auto"/>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42154E80" w14:textId="77777777" w:rsidR="00F33547" w:rsidRPr="0016593E" w:rsidRDefault="00F33547" w:rsidP="002D7E6F">
            <w:pPr>
              <w:spacing w:after="0"/>
              <w:jc w:val="center"/>
              <w:rPr>
                <w:sz w:val="20"/>
                <w:szCs w:val="18"/>
              </w:rPr>
            </w:pPr>
            <w:r>
              <w:rPr>
                <w:sz w:val="20"/>
                <w:szCs w:val="18"/>
              </w:rPr>
              <w:t>0.22</w:t>
            </w:r>
          </w:p>
        </w:tc>
        <w:tc>
          <w:tcPr>
            <w:tcW w:w="1417" w:type="dxa"/>
            <w:tcBorders>
              <w:top w:val="single" w:sz="4" w:space="0" w:color="auto"/>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467152F3" w14:textId="77777777" w:rsidR="00F33547" w:rsidRPr="00F33547" w:rsidRDefault="00F33547" w:rsidP="002D7E6F">
            <w:pPr>
              <w:spacing w:after="0"/>
              <w:jc w:val="center"/>
              <w:rPr>
                <w:i/>
                <w:sz w:val="20"/>
                <w:szCs w:val="18"/>
              </w:rPr>
            </w:pPr>
            <w:r w:rsidRPr="00F33547">
              <w:rPr>
                <w:i/>
                <w:sz w:val="20"/>
                <w:szCs w:val="18"/>
              </w:rPr>
              <w:t>GJ in/GJ out</w:t>
            </w:r>
          </w:p>
        </w:tc>
        <w:tc>
          <w:tcPr>
            <w:tcW w:w="992" w:type="dxa"/>
            <w:tcBorders>
              <w:top w:val="single" w:sz="4" w:space="0" w:color="auto"/>
              <w:left w:val="dashSmallGap" w:sz="4" w:space="0" w:color="A6A6A6" w:themeColor="background1" w:themeShade="A6"/>
            </w:tcBorders>
            <w:shd w:val="clear" w:color="auto" w:fill="FFFFFF" w:themeFill="background1"/>
            <w:vAlign w:val="center"/>
          </w:tcPr>
          <w:p w14:paraId="048814F0" w14:textId="77777777" w:rsidR="00F33547" w:rsidRPr="0013324F" w:rsidRDefault="00F33547" w:rsidP="002D7E6F">
            <w:pPr>
              <w:spacing w:after="0"/>
              <w:jc w:val="center"/>
              <w:rPr>
                <w:i/>
                <w:sz w:val="20"/>
                <w:szCs w:val="18"/>
              </w:rPr>
            </w:pPr>
            <w:r>
              <w:rPr>
                <w:i/>
                <w:sz w:val="20"/>
                <w:szCs w:val="18"/>
              </w:rPr>
              <w:t>Indirect</w:t>
            </w:r>
          </w:p>
        </w:tc>
      </w:tr>
      <w:tr w:rsidR="00F33547" w:rsidRPr="004E6C68" w14:paraId="4D97050A" w14:textId="77777777" w:rsidTr="003C4227">
        <w:tc>
          <w:tcPr>
            <w:tcW w:w="1418" w:type="dxa"/>
            <w:vMerge/>
            <w:tcBorders>
              <w:right w:val="dashSmallGap" w:sz="4" w:space="0" w:color="A6A6A6" w:themeColor="background1" w:themeShade="A6"/>
            </w:tcBorders>
            <w:shd w:val="clear" w:color="auto" w:fill="FFFFFF" w:themeFill="background1"/>
            <w:vAlign w:val="center"/>
          </w:tcPr>
          <w:p w14:paraId="287D6C7B" w14:textId="77777777" w:rsidR="00F33547" w:rsidRPr="00025416" w:rsidRDefault="00F33547" w:rsidP="009A1DA3">
            <w:pPr>
              <w:spacing w:after="0"/>
              <w:ind w:left="169"/>
              <w:rPr>
                <w:b/>
                <w:sz w:val="20"/>
                <w:szCs w:val="20"/>
              </w:rPr>
            </w:pPr>
          </w:p>
        </w:tc>
        <w:tc>
          <w:tcPr>
            <w:tcW w:w="2693" w:type="dxa"/>
            <w:tcBorders>
              <w:left w:val="dashSmallGap" w:sz="4" w:space="0" w:color="A6A6A6" w:themeColor="background1" w:themeShade="A6"/>
              <w:right w:val="single" w:sz="4" w:space="0" w:color="auto"/>
            </w:tcBorders>
            <w:shd w:val="clear" w:color="auto" w:fill="FFFFFF" w:themeFill="background1"/>
            <w:vAlign w:val="center"/>
          </w:tcPr>
          <w:p w14:paraId="6EB774A3" w14:textId="77777777" w:rsidR="00F33547" w:rsidRPr="0016593E" w:rsidRDefault="00F33547" w:rsidP="00CB1977">
            <w:pPr>
              <w:spacing w:after="0"/>
              <w:rPr>
                <w:sz w:val="20"/>
              </w:rPr>
            </w:pPr>
            <w:r>
              <w:rPr>
                <w:sz w:val="20"/>
              </w:rPr>
              <w:t>Food processing</w:t>
            </w:r>
          </w:p>
        </w:tc>
        <w:tc>
          <w:tcPr>
            <w:tcW w:w="1134" w:type="dxa"/>
            <w:tcBorders>
              <w:left w:val="dashed" w:sz="4" w:space="0" w:color="7F7F7F" w:themeColor="text1" w:themeTint="80"/>
              <w:right w:val="dashSmallGap" w:sz="4" w:space="0" w:color="A6A6A6" w:themeColor="background1" w:themeShade="A6"/>
            </w:tcBorders>
            <w:shd w:val="clear" w:color="auto" w:fill="FFFFFF" w:themeFill="background1"/>
            <w:vAlign w:val="center"/>
          </w:tcPr>
          <w:p w14:paraId="0F0275C6" w14:textId="77777777" w:rsidR="00F33547" w:rsidRPr="0016593E" w:rsidRDefault="00F33547" w:rsidP="002D7E6F">
            <w:pPr>
              <w:spacing w:after="0"/>
              <w:jc w:val="center"/>
              <w:rPr>
                <w:sz w:val="20"/>
                <w:szCs w:val="18"/>
              </w:rPr>
            </w:pPr>
            <w:r>
              <w:rPr>
                <w:sz w:val="20"/>
                <w:szCs w:val="18"/>
              </w:rPr>
              <w:t>50</w:t>
            </w:r>
          </w:p>
        </w:tc>
        <w:tc>
          <w:tcPr>
            <w:tcW w:w="1418"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6C6CD769" w14:textId="77777777" w:rsidR="00F33547" w:rsidRPr="0016593E" w:rsidRDefault="00F33547" w:rsidP="002D7E6F">
            <w:pPr>
              <w:spacing w:after="0"/>
              <w:jc w:val="center"/>
              <w:rPr>
                <w:sz w:val="20"/>
                <w:szCs w:val="18"/>
              </w:rPr>
            </w:pPr>
            <w:r>
              <w:rPr>
                <w:sz w:val="20"/>
                <w:szCs w:val="18"/>
              </w:rPr>
              <w:t>65</w:t>
            </w:r>
          </w:p>
        </w:tc>
        <w:tc>
          <w:tcPr>
            <w:tcW w:w="1417"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2690D6F9" w14:textId="77777777" w:rsidR="00F33547" w:rsidRPr="00F33547" w:rsidRDefault="00F33547" w:rsidP="002D7E6F">
            <w:pPr>
              <w:spacing w:after="0"/>
              <w:jc w:val="center"/>
              <w:rPr>
                <w:i/>
                <w:sz w:val="20"/>
                <w:szCs w:val="18"/>
              </w:rPr>
            </w:pPr>
            <w:r w:rsidRPr="00F33547">
              <w:rPr>
                <w:i/>
                <w:sz w:val="20"/>
                <w:szCs w:val="18"/>
              </w:rPr>
              <w:t>% of production</w:t>
            </w:r>
          </w:p>
        </w:tc>
        <w:tc>
          <w:tcPr>
            <w:tcW w:w="992" w:type="dxa"/>
            <w:tcBorders>
              <w:left w:val="dashSmallGap" w:sz="4" w:space="0" w:color="A6A6A6" w:themeColor="background1" w:themeShade="A6"/>
            </w:tcBorders>
            <w:shd w:val="clear" w:color="auto" w:fill="FFFFFF" w:themeFill="background1"/>
            <w:vAlign w:val="center"/>
          </w:tcPr>
          <w:p w14:paraId="1D93E3CE" w14:textId="77777777" w:rsidR="00F33547" w:rsidRPr="0013324F" w:rsidRDefault="00F33547" w:rsidP="002D7E6F">
            <w:pPr>
              <w:spacing w:after="0"/>
              <w:jc w:val="center"/>
              <w:rPr>
                <w:i/>
                <w:sz w:val="20"/>
                <w:szCs w:val="18"/>
              </w:rPr>
            </w:pPr>
            <w:r>
              <w:rPr>
                <w:i/>
                <w:sz w:val="20"/>
                <w:szCs w:val="18"/>
              </w:rPr>
              <w:t>Indirect</w:t>
            </w:r>
          </w:p>
        </w:tc>
      </w:tr>
      <w:tr w:rsidR="00F33547" w:rsidRPr="004E6C68" w14:paraId="14B6205B" w14:textId="77777777" w:rsidTr="003C4227">
        <w:tc>
          <w:tcPr>
            <w:tcW w:w="1418" w:type="dxa"/>
            <w:vMerge/>
            <w:tcBorders>
              <w:right w:val="dashSmallGap" w:sz="4" w:space="0" w:color="A6A6A6" w:themeColor="background1" w:themeShade="A6"/>
            </w:tcBorders>
            <w:shd w:val="clear" w:color="auto" w:fill="FFFFFF" w:themeFill="background1"/>
            <w:vAlign w:val="center"/>
          </w:tcPr>
          <w:p w14:paraId="35A93B1B" w14:textId="77777777" w:rsidR="00F33547" w:rsidRPr="00025416" w:rsidRDefault="00F33547" w:rsidP="009A1DA3">
            <w:pPr>
              <w:spacing w:after="0"/>
              <w:ind w:left="169"/>
              <w:rPr>
                <w:b/>
                <w:sz w:val="20"/>
                <w:szCs w:val="20"/>
              </w:rPr>
            </w:pPr>
          </w:p>
        </w:tc>
        <w:tc>
          <w:tcPr>
            <w:tcW w:w="2693" w:type="dxa"/>
            <w:tcBorders>
              <w:left w:val="dashSmallGap" w:sz="4" w:space="0" w:color="A6A6A6" w:themeColor="background1" w:themeShade="A6"/>
              <w:right w:val="single" w:sz="4" w:space="0" w:color="auto"/>
            </w:tcBorders>
            <w:shd w:val="clear" w:color="auto" w:fill="FFFFFF" w:themeFill="background1"/>
            <w:vAlign w:val="center"/>
          </w:tcPr>
          <w:p w14:paraId="384D58EB" w14:textId="77777777" w:rsidR="00F33547" w:rsidRPr="0016593E" w:rsidRDefault="00F33547" w:rsidP="0016593E">
            <w:pPr>
              <w:spacing w:after="0"/>
              <w:rPr>
                <w:sz w:val="20"/>
              </w:rPr>
            </w:pPr>
            <w:r w:rsidRPr="0016593E">
              <w:rPr>
                <w:sz w:val="20"/>
              </w:rPr>
              <w:t>Cooking appliances</w:t>
            </w:r>
          </w:p>
        </w:tc>
        <w:tc>
          <w:tcPr>
            <w:tcW w:w="1134" w:type="dxa"/>
            <w:tcBorders>
              <w:left w:val="dashed" w:sz="4" w:space="0" w:color="7F7F7F" w:themeColor="text1" w:themeTint="80"/>
              <w:right w:val="dashSmallGap" w:sz="4" w:space="0" w:color="A6A6A6" w:themeColor="background1" w:themeShade="A6"/>
            </w:tcBorders>
            <w:shd w:val="clear" w:color="auto" w:fill="FFFFFF" w:themeFill="background1"/>
            <w:vAlign w:val="center"/>
          </w:tcPr>
          <w:p w14:paraId="0A590E9C" w14:textId="77777777" w:rsidR="00F33547" w:rsidRPr="0016593E" w:rsidRDefault="00F33547" w:rsidP="002D7E6F">
            <w:pPr>
              <w:spacing w:after="0"/>
              <w:jc w:val="center"/>
              <w:rPr>
                <w:sz w:val="20"/>
                <w:szCs w:val="18"/>
              </w:rPr>
            </w:pPr>
            <w:r>
              <w:rPr>
                <w:sz w:val="20"/>
                <w:szCs w:val="18"/>
              </w:rPr>
              <w:t>0.8</w:t>
            </w:r>
          </w:p>
        </w:tc>
        <w:tc>
          <w:tcPr>
            <w:tcW w:w="1418"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159224FB" w14:textId="77777777" w:rsidR="00F33547" w:rsidRPr="0016593E" w:rsidRDefault="00F33547" w:rsidP="002D7E6F">
            <w:pPr>
              <w:spacing w:after="0"/>
              <w:jc w:val="center"/>
              <w:rPr>
                <w:sz w:val="20"/>
                <w:szCs w:val="18"/>
              </w:rPr>
            </w:pPr>
            <w:r>
              <w:rPr>
                <w:sz w:val="20"/>
                <w:szCs w:val="18"/>
              </w:rPr>
              <w:t>2</w:t>
            </w:r>
          </w:p>
        </w:tc>
        <w:tc>
          <w:tcPr>
            <w:tcW w:w="1417"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22A16E67" w14:textId="77777777" w:rsidR="00F33547" w:rsidRPr="00F33547" w:rsidRDefault="00F33547" w:rsidP="002D7E6F">
            <w:pPr>
              <w:spacing w:after="0"/>
              <w:jc w:val="center"/>
              <w:rPr>
                <w:i/>
                <w:sz w:val="20"/>
                <w:szCs w:val="18"/>
              </w:rPr>
            </w:pPr>
            <w:r w:rsidRPr="00F33547">
              <w:rPr>
                <w:i/>
                <w:sz w:val="20"/>
                <w:szCs w:val="18"/>
              </w:rPr>
              <w:t>KJ/kcal</w:t>
            </w:r>
          </w:p>
        </w:tc>
        <w:tc>
          <w:tcPr>
            <w:tcW w:w="992" w:type="dxa"/>
            <w:tcBorders>
              <w:left w:val="dashSmallGap" w:sz="4" w:space="0" w:color="A6A6A6" w:themeColor="background1" w:themeShade="A6"/>
            </w:tcBorders>
            <w:shd w:val="clear" w:color="auto" w:fill="FFFFFF" w:themeFill="background1"/>
            <w:vAlign w:val="center"/>
          </w:tcPr>
          <w:p w14:paraId="26152842" w14:textId="77777777" w:rsidR="00F33547" w:rsidRPr="0013324F" w:rsidRDefault="00F33547" w:rsidP="002D7E6F">
            <w:pPr>
              <w:spacing w:after="0"/>
              <w:jc w:val="center"/>
              <w:rPr>
                <w:i/>
                <w:sz w:val="20"/>
                <w:szCs w:val="18"/>
              </w:rPr>
            </w:pPr>
            <w:r w:rsidRPr="0013324F">
              <w:rPr>
                <w:i/>
                <w:sz w:val="20"/>
                <w:szCs w:val="18"/>
              </w:rPr>
              <w:t>Direct</w:t>
            </w:r>
          </w:p>
        </w:tc>
      </w:tr>
      <w:tr w:rsidR="00F33547" w14:paraId="1351A901" w14:textId="77777777" w:rsidTr="003C4227">
        <w:tc>
          <w:tcPr>
            <w:tcW w:w="1418" w:type="dxa"/>
            <w:vMerge/>
            <w:tcBorders>
              <w:bottom w:val="single" w:sz="4" w:space="0" w:color="A6A6A6" w:themeColor="background1" w:themeShade="A6"/>
              <w:right w:val="dashSmallGap" w:sz="4" w:space="0" w:color="A6A6A6" w:themeColor="background1" w:themeShade="A6"/>
            </w:tcBorders>
            <w:shd w:val="clear" w:color="auto" w:fill="FFFFFF" w:themeFill="background1"/>
            <w:vAlign w:val="center"/>
          </w:tcPr>
          <w:p w14:paraId="2A03F543" w14:textId="77777777" w:rsidR="00F33547" w:rsidRPr="00025416" w:rsidRDefault="00F33547" w:rsidP="009A1DA3">
            <w:pPr>
              <w:spacing w:after="0"/>
              <w:ind w:left="311"/>
              <w:rPr>
                <w:b/>
                <w:sz w:val="20"/>
                <w:szCs w:val="20"/>
              </w:rPr>
            </w:pPr>
          </w:p>
        </w:tc>
        <w:tc>
          <w:tcPr>
            <w:tcW w:w="2693" w:type="dxa"/>
            <w:tcBorders>
              <w:left w:val="dashSmallGap" w:sz="4" w:space="0" w:color="A6A6A6" w:themeColor="background1" w:themeShade="A6"/>
              <w:bottom w:val="single" w:sz="4" w:space="0" w:color="A6A6A6" w:themeColor="background1" w:themeShade="A6"/>
              <w:right w:val="single" w:sz="4" w:space="0" w:color="auto"/>
            </w:tcBorders>
            <w:shd w:val="clear" w:color="auto" w:fill="FFFFFF" w:themeFill="background1"/>
            <w:vAlign w:val="center"/>
          </w:tcPr>
          <w:p w14:paraId="74E4D9A3" w14:textId="77777777" w:rsidR="00F33547" w:rsidRPr="0016593E" w:rsidRDefault="00F33547" w:rsidP="0016593E">
            <w:pPr>
              <w:spacing w:after="0"/>
              <w:rPr>
                <w:sz w:val="20"/>
              </w:rPr>
            </w:pPr>
            <w:r w:rsidRPr="0016593E">
              <w:rPr>
                <w:sz w:val="20"/>
              </w:rPr>
              <w:t>Cold Storage</w:t>
            </w:r>
          </w:p>
        </w:tc>
        <w:tc>
          <w:tcPr>
            <w:tcW w:w="1134" w:type="dxa"/>
            <w:tcBorders>
              <w:left w:val="dashed" w:sz="4" w:space="0" w:color="7F7F7F" w:themeColor="text1" w:themeTint="80"/>
              <w:bottom w:val="single" w:sz="4" w:space="0" w:color="A6A6A6" w:themeColor="background1" w:themeShade="A6"/>
              <w:right w:val="dashSmallGap" w:sz="4" w:space="0" w:color="A6A6A6" w:themeColor="background1" w:themeShade="A6"/>
            </w:tcBorders>
            <w:shd w:val="clear" w:color="auto" w:fill="FFFFFF" w:themeFill="background1"/>
            <w:vAlign w:val="center"/>
          </w:tcPr>
          <w:p w14:paraId="0A7E3B4D" w14:textId="77777777" w:rsidR="00F33547" w:rsidRPr="0016593E" w:rsidRDefault="00F33547" w:rsidP="002D7E6F">
            <w:pPr>
              <w:spacing w:after="0"/>
              <w:jc w:val="center"/>
              <w:rPr>
                <w:sz w:val="20"/>
                <w:szCs w:val="18"/>
              </w:rPr>
            </w:pPr>
            <w:r>
              <w:rPr>
                <w:sz w:val="20"/>
                <w:szCs w:val="18"/>
              </w:rPr>
              <w:t>120</w:t>
            </w:r>
          </w:p>
        </w:tc>
        <w:tc>
          <w:tcPr>
            <w:tcW w:w="1418" w:type="dxa"/>
            <w:tcBorders>
              <w:left w:val="dashSmallGap" w:sz="4" w:space="0" w:color="A6A6A6" w:themeColor="background1" w:themeShade="A6"/>
              <w:bottom w:val="single" w:sz="4" w:space="0" w:color="A6A6A6" w:themeColor="background1" w:themeShade="A6"/>
              <w:right w:val="dashSmallGap" w:sz="4" w:space="0" w:color="A6A6A6" w:themeColor="background1" w:themeShade="A6"/>
            </w:tcBorders>
            <w:shd w:val="clear" w:color="auto" w:fill="FFFFFF" w:themeFill="background1"/>
            <w:vAlign w:val="center"/>
          </w:tcPr>
          <w:p w14:paraId="27B5C0D5" w14:textId="77777777" w:rsidR="00F33547" w:rsidRPr="0016593E" w:rsidRDefault="00F33547" w:rsidP="002D7E6F">
            <w:pPr>
              <w:spacing w:after="0"/>
              <w:jc w:val="center"/>
              <w:rPr>
                <w:sz w:val="20"/>
                <w:szCs w:val="18"/>
              </w:rPr>
            </w:pPr>
            <w:r>
              <w:rPr>
                <w:sz w:val="20"/>
                <w:szCs w:val="18"/>
              </w:rPr>
              <w:t>250</w:t>
            </w:r>
          </w:p>
        </w:tc>
        <w:tc>
          <w:tcPr>
            <w:tcW w:w="1417" w:type="dxa"/>
            <w:tcBorders>
              <w:left w:val="dashSmallGap" w:sz="4" w:space="0" w:color="A6A6A6" w:themeColor="background1" w:themeShade="A6"/>
              <w:bottom w:val="single" w:sz="4" w:space="0" w:color="A6A6A6" w:themeColor="background1" w:themeShade="A6"/>
              <w:right w:val="dashSmallGap" w:sz="4" w:space="0" w:color="A6A6A6" w:themeColor="background1" w:themeShade="A6"/>
            </w:tcBorders>
            <w:shd w:val="clear" w:color="auto" w:fill="FFFFFF" w:themeFill="background1"/>
            <w:vAlign w:val="center"/>
          </w:tcPr>
          <w:p w14:paraId="02B36647" w14:textId="77777777" w:rsidR="00F33547" w:rsidRPr="00F33547" w:rsidRDefault="00F33547" w:rsidP="002D7E6F">
            <w:pPr>
              <w:spacing w:after="0"/>
              <w:jc w:val="center"/>
              <w:rPr>
                <w:i/>
                <w:sz w:val="20"/>
                <w:szCs w:val="18"/>
              </w:rPr>
            </w:pPr>
            <w:r w:rsidRPr="00F33547">
              <w:rPr>
                <w:i/>
                <w:sz w:val="20"/>
                <w:szCs w:val="18"/>
              </w:rPr>
              <w:t>kWh/yr</w:t>
            </w:r>
          </w:p>
        </w:tc>
        <w:tc>
          <w:tcPr>
            <w:tcW w:w="992" w:type="dxa"/>
            <w:tcBorders>
              <w:left w:val="dashSmallGap" w:sz="4" w:space="0" w:color="A6A6A6" w:themeColor="background1" w:themeShade="A6"/>
              <w:bottom w:val="single" w:sz="4" w:space="0" w:color="A6A6A6" w:themeColor="background1" w:themeShade="A6"/>
            </w:tcBorders>
            <w:shd w:val="clear" w:color="auto" w:fill="FFFFFF" w:themeFill="background1"/>
            <w:vAlign w:val="center"/>
          </w:tcPr>
          <w:p w14:paraId="37675C6E" w14:textId="77777777" w:rsidR="00F33547" w:rsidRPr="0013324F" w:rsidRDefault="00F33547" w:rsidP="002D7E6F">
            <w:pPr>
              <w:spacing w:after="0"/>
              <w:jc w:val="center"/>
              <w:rPr>
                <w:i/>
                <w:sz w:val="20"/>
                <w:szCs w:val="18"/>
              </w:rPr>
            </w:pPr>
            <w:r w:rsidRPr="0013324F">
              <w:rPr>
                <w:i/>
                <w:sz w:val="20"/>
                <w:szCs w:val="18"/>
              </w:rPr>
              <w:t>Direct</w:t>
            </w:r>
          </w:p>
        </w:tc>
      </w:tr>
      <w:tr w:rsidR="00F33547" w:rsidRPr="004E6C68" w14:paraId="46EEDEA9" w14:textId="77777777" w:rsidTr="003C4227">
        <w:tc>
          <w:tcPr>
            <w:tcW w:w="1418" w:type="dxa"/>
            <w:vMerge w:val="restart"/>
            <w:tcBorders>
              <w:top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3ECD48F4" w14:textId="77777777" w:rsidR="00F33547" w:rsidRPr="00025416" w:rsidRDefault="00F33547" w:rsidP="009A1DA3">
            <w:pPr>
              <w:spacing w:after="0"/>
              <w:rPr>
                <w:b/>
                <w:sz w:val="20"/>
                <w:szCs w:val="20"/>
              </w:rPr>
            </w:pPr>
            <w:r w:rsidRPr="00025416">
              <w:rPr>
                <w:b/>
                <w:sz w:val="20"/>
                <w:szCs w:val="20"/>
              </w:rPr>
              <w:t xml:space="preserve">Shelter </w:t>
            </w:r>
            <w:r>
              <w:rPr>
                <w:b/>
                <w:sz w:val="20"/>
                <w:szCs w:val="20"/>
              </w:rPr>
              <w:t>&amp;</w:t>
            </w:r>
            <w:r w:rsidRPr="00025416">
              <w:rPr>
                <w:b/>
                <w:sz w:val="20"/>
                <w:szCs w:val="20"/>
              </w:rPr>
              <w:t xml:space="preserve"> living </w:t>
            </w:r>
          </w:p>
          <w:p w14:paraId="64749E51" w14:textId="77777777" w:rsidR="00F33547" w:rsidRPr="00025416" w:rsidRDefault="00F33547" w:rsidP="009A1DA3">
            <w:pPr>
              <w:spacing w:after="0"/>
              <w:rPr>
                <w:b/>
                <w:sz w:val="20"/>
                <w:szCs w:val="20"/>
              </w:rPr>
            </w:pPr>
            <w:r w:rsidRPr="00025416">
              <w:rPr>
                <w:b/>
                <w:sz w:val="20"/>
                <w:szCs w:val="20"/>
              </w:rPr>
              <w:t>conditions</w:t>
            </w:r>
          </w:p>
        </w:tc>
        <w:tc>
          <w:tcPr>
            <w:tcW w:w="2693" w:type="dxa"/>
            <w:tcBorders>
              <w:top w:val="single" w:sz="4" w:space="0" w:color="A6A6A6" w:themeColor="background1" w:themeShade="A6"/>
              <w:left w:val="dashSmallGap" w:sz="4" w:space="0" w:color="A6A6A6" w:themeColor="background1" w:themeShade="A6"/>
              <w:right w:val="single" w:sz="4" w:space="0" w:color="auto"/>
            </w:tcBorders>
            <w:shd w:val="clear" w:color="auto" w:fill="F2F2F2" w:themeFill="background1" w:themeFillShade="F2"/>
            <w:vAlign w:val="center"/>
          </w:tcPr>
          <w:p w14:paraId="68EA75EB" w14:textId="77777777" w:rsidR="00F33547" w:rsidRPr="00543706" w:rsidRDefault="00F33547" w:rsidP="0016593E">
            <w:pPr>
              <w:spacing w:after="0"/>
              <w:rPr>
                <w:sz w:val="20"/>
              </w:rPr>
            </w:pPr>
            <w:r w:rsidRPr="00543706">
              <w:rPr>
                <w:sz w:val="20"/>
              </w:rPr>
              <w:t>Thermal comfort</w:t>
            </w:r>
          </w:p>
        </w:tc>
        <w:tc>
          <w:tcPr>
            <w:tcW w:w="1134" w:type="dxa"/>
            <w:tcBorders>
              <w:top w:val="single" w:sz="4" w:space="0" w:color="A6A6A6" w:themeColor="background1" w:themeShade="A6"/>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05BAB92D" w14:textId="77777777" w:rsidR="00F33547" w:rsidRPr="007003BE" w:rsidRDefault="00F33547" w:rsidP="002D7E6F">
            <w:pPr>
              <w:spacing w:after="0"/>
              <w:jc w:val="center"/>
              <w:rPr>
                <w:sz w:val="20"/>
                <w:szCs w:val="18"/>
              </w:rPr>
            </w:pPr>
            <w:r>
              <w:rPr>
                <w:sz w:val="20"/>
                <w:szCs w:val="18"/>
              </w:rPr>
              <w:t>19-55</w:t>
            </w:r>
          </w:p>
        </w:tc>
        <w:tc>
          <w:tcPr>
            <w:tcW w:w="1418"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675EB00A" w14:textId="77777777" w:rsidR="00F33547" w:rsidRPr="007003BE" w:rsidRDefault="00F33547" w:rsidP="002D7E6F">
            <w:pPr>
              <w:spacing w:after="0"/>
              <w:jc w:val="center"/>
              <w:rPr>
                <w:sz w:val="20"/>
                <w:szCs w:val="18"/>
              </w:rPr>
            </w:pPr>
            <w:r>
              <w:rPr>
                <w:sz w:val="20"/>
                <w:szCs w:val="18"/>
              </w:rPr>
              <w:t>46-262</w:t>
            </w:r>
          </w:p>
        </w:tc>
        <w:tc>
          <w:tcPr>
            <w:tcW w:w="1417"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36944E6B" w14:textId="77777777" w:rsidR="00F33547" w:rsidRPr="00F33547" w:rsidRDefault="00F33547" w:rsidP="002D7E6F">
            <w:pPr>
              <w:spacing w:after="0"/>
              <w:jc w:val="center"/>
              <w:rPr>
                <w:i/>
                <w:sz w:val="20"/>
                <w:szCs w:val="18"/>
              </w:rPr>
            </w:pPr>
            <w:r w:rsidRPr="00F33547">
              <w:rPr>
                <w:i/>
                <w:sz w:val="20"/>
                <w:szCs w:val="18"/>
              </w:rPr>
              <w:t>MJ/m</w:t>
            </w:r>
            <w:r w:rsidRPr="00F33547">
              <w:rPr>
                <w:i/>
                <w:sz w:val="20"/>
                <w:szCs w:val="18"/>
                <w:vertAlign w:val="superscript"/>
              </w:rPr>
              <w:t>2</w:t>
            </w:r>
            <w:r w:rsidRPr="00F33547">
              <w:rPr>
                <w:i/>
                <w:sz w:val="20"/>
                <w:szCs w:val="18"/>
              </w:rPr>
              <w:t>/yr</w:t>
            </w:r>
          </w:p>
        </w:tc>
        <w:tc>
          <w:tcPr>
            <w:tcW w:w="992" w:type="dxa"/>
            <w:tcBorders>
              <w:top w:val="single" w:sz="4" w:space="0" w:color="A6A6A6" w:themeColor="background1" w:themeShade="A6"/>
              <w:left w:val="dashSmallGap" w:sz="4" w:space="0" w:color="A6A6A6" w:themeColor="background1" w:themeShade="A6"/>
            </w:tcBorders>
            <w:shd w:val="clear" w:color="auto" w:fill="F2F2F2" w:themeFill="background1" w:themeFillShade="F2"/>
            <w:vAlign w:val="center"/>
          </w:tcPr>
          <w:p w14:paraId="72913017" w14:textId="77777777" w:rsidR="00F33547" w:rsidRPr="0013324F" w:rsidRDefault="00F33547" w:rsidP="002D7E6F">
            <w:pPr>
              <w:spacing w:after="0"/>
              <w:jc w:val="center"/>
              <w:rPr>
                <w:i/>
                <w:sz w:val="20"/>
                <w:szCs w:val="18"/>
              </w:rPr>
            </w:pPr>
            <w:r>
              <w:rPr>
                <w:i/>
                <w:sz w:val="20"/>
                <w:szCs w:val="18"/>
              </w:rPr>
              <w:t>Direct</w:t>
            </w:r>
          </w:p>
        </w:tc>
      </w:tr>
      <w:tr w:rsidR="00F33547" w:rsidRPr="007B68D5" w14:paraId="4DD8844A" w14:textId="77777777" w:rsidTr="003C4227">
        <w:tc>
          <w:tcPr>
            <w:tcW w:w="1418" w:type="dxa"/>
            <w:vMerge/>
            <w:tcBorders>
              <w:right w:val="dashSmallGap" w:sz="4" w:space="0" w:color="A6A6A6" w:themeColor="background1" w:themeShade="A6"/>
            </w:tcBorders>
            <w:shd w:val="clear" w:color="auto" w:fill="F2F2F2" w:themeFill="background1" w:themeFillShade="F2"/>
            <w:vAlign w:val="center"/>
          </w:tcPr>
          <w:p w14:paraId="54E0E06C" w14:textId="77777777" w:rsidR="00F33547" w:rsidRPr="00025416" w:rsidRDefault="00F33547" w:rsidP="009A1DA3">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2F2F2" w:themeFill="background1" w:themeFillShade="F2"/>
            <w:vAlign w:val="center"/>
          </w:tcPr>
          <w:p w14:paraId="520E5FB5" w14:textId="77777777" w:rsidR="00F33547" w:rsidRPr="00543706" w:rsidRDefault="00F33547" w:rsidP="0016593E">
            <w:pPr>
              <w:spacing w:after="0"/>
              <w:rPr>
                <w:sz w:val="20"/>
              </w:rPr>
            </w:pPr>
            <w:r w:rsidRPr="00543706">
              <w:rPr>
                <w:sz w:val="20"/>
              </w:rPr>
              <w:t>Construction</w:t>
            </w:r>
          </w:p>
        </w:tc>
        <w:tc>
          <w:tcPr>
            <w:tcW w:w="1134" w:type="dxa"/>
            <w:tcBorders>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0C7A7FBE" w14:textId="77777777" w:rsidR="00F33547" w:rsidRPr="0016593E" w:rsidRDefault="00F33547" w:rsidP="002D7E6F">
            <w:pPr>
              <w:spacing w:after="0"/>
              <w:jc w:val="center"/>
              <w:rPr>
                <w:sz w:val="20"/>
                <w:szCs w:val="18"/>
              </w:rPr>
            </w:pPr>
            <w:r>
              <w:rPr>
                <w:sz w:val="20"/>
                <w:szCs w:val="18"/>
              </w:rPr>
              <w:t>30 &amp; 50</w:t>
            </w:r>
          </w:p>
        </w:tc>
        <w:tc>
          <w:tcPr>
            <w:tcW w:w="1418"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52835F75" w14:textId="77777777" w:rsidR="00F33547" w:rsidRPr="0016593E" w:rsidRDefault="009C49B4" w:rsidP="002D7E6F">
            <w:pPr>
              <w:spacing w:after="0"/>
              <w:jc w:val="center"/>
              <w:rPr>
                <w:sz w:val="20"/>
                <w:szCs w:val="18"/>
              </w:rPr>
            </w:pPr>
            <w:r>
              <w:rPr>
                <w:sz w:val="20"/>
                <w:szCs w:val="18"/>
              </w:rPr>
              <w:t>45 &amp; 75</w:t>
            </w:r>
          </w:p>
        </w:tc>
        <w:tc>
          <w:tcPr>
            <w:tcW w:w="1417"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14F1F7A1" w14:textId="77777777" w:rsidR="00F33547" w:rsidRPr="00F33547" w:rsidRDefault="00F33547" w:rsidP="002D7E6F">
            <w:pPr>
              <w:spacing w:after="0"/>
              <w:jc w:val="center"/>
              <w:rPr>
                <w:i/>
                <w:sz w:val="20"/>
                <w:szCs w:val="18"/>
              </w:rPr>
            </w:pPr>
            <w:r w:rsidRPr="00F33547">
              <w:rPr>
                <w:i/>
                <w:sz w:val="20"/>
                <w:szCs w:val="18"/>
              </w:rPr>
              <w:t>MJ/m</w:t>
            </w:r>
            <w:r w:rsidRPr="00F33547">
              <w:rPr>
                <w:i/>
                <w:sz w:val="20"/>
                <w:szCs w:val="18"/>
                <w:vertAlign w:val="superscript"/>
              </w:rPr>
              <w:t>2</w:t>
            </w:r>
            <w:r w:rsidRPr="00F33547">
              <w:rPr>
                <w:i/>
                <w:sz w:val="20"/>
                <w:szCs w:val="18"/>
              </w:rPr>
              <w:t>/yr</w:t>
            </w:r>
          </w:p>
        </w:tc>
        <w:tc>
          <w:tcPr>
            <w:tcW w:w="992" w:type="dxa"/>
            <w:tcBorders>
              <w:left w:val="dashSmallGap" w:sz="4" w:space="0" w:color="A6A6A6" w:themeColor="background1" w:themeShade="A6"/>
            </w:tcBorders>
            <w:shd w:val="clear" w:color="auto" w:fill="F2F2F2" w:themeFill="background1" w:themeFillShade="F2"/>
            <w:vAlign w:val="center"/>
          </w:tcPr>
          <w:p w14:paraId="21B59316" w14:textId="77777777" w:rsidR="00F33547" w:rsidRPr="0013324F" w:rsidRDefault="00F33547" w:rsidP="002D7E6F">
            <w:pPr>
              <w:spacing w:after="0"/>
              <w:jc w:val="center"/>
              <w:rPr>
                <w:i/>
                <w:sz w:val="20"/>
                <w:szCs w:val="18"/>
              </w:rPr>
            </w:pPr>
            <w:r>
              <w:rPr>
                <w:i/>
                <w:sz w:val="20"/>
                <w:szCs w:val="18"/>
              </w:rPr>
              <w:t>Indirect</w:t>
            </w:r>
          </w:p>
        </w:tc>
      </w:tr>
      <w:tr w:rsidR="00F33547" w:rsidRPr="004E6C68" w14:paraId="3147150D" w14:textId="77777777" w:rsidTr="003C4227">
        <w:tc>
          <w:tcPr>
            <w:tcW w:w="1418" w:type="dxa"/>
            <w:vMerge/>
            <w:tcBorders>
              <w:right w:val="dashSmallGap" w:sz="4" w:space="0" w:color="A6A6A6" w:themeColor="background1" w:themeShade="A6"/>
            </w:tcBorders>
            <w:shd w:val="clear" w:color="auto" w:fill="F2F2F2" w:themeFill="background1" w:themeFillShade="F2"/>
            <w:vAlign w:val="center"/>
          </w:tcPr>
          <w:p w14:paraId="0657E7CC" w14:textId="77777777" w:rsidR="00F33547" w:rsidRPr="00025416" w:rsidRDefault="00F33547" w:rsidP="009A1DA3">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2F2F2" w:themeFill="background1" w:themeFillShade="F2"/>
            <w:vAlign w:val="center"/>
          </w:tcPr>
          <w:p w14:paraId="75643993" w14:textId="77777777" w:rsidR="00F33547" w:rsidRPr="0016593E" w:rsidRDefault="00F33547" w:rsidP="0016593E">
            <w:pPr>
              <w:spacing w:after="0"/>
              <w:rPr>
                <w:color w:val="ED7D31" w:themeColor="accent2"/>
                <w:sz w:val="20"/>
              </w:rPr>
            </w:pPr>
            <w:r w:rsidRPr="00ED0C3E">
              <w:rPr>
                <w:sz w:val="20"/>
              </w:rPr>
              <w:t>Illumination</w:t>
            </w:r>
          </w:p>
        </w:tc>
        <w:tc>
          <w:tcPr>
            <w:tcW w:w="1134" w:type="dxa"/>
            <w:tcBorders>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2101ACA6" w14:textId="77777777" w:rsidR="00F33547" w:rsidRPr="0016593E" w:rsidRDefault="00F33547" w:rsidP="002D7E6F">
            <w:pPr>
              <w:spacing w:after="0"/>
              <w:jc w:val="center"/>
              <w:rPr>
                <w:sz w:val="20"/>
                <w:szCs w:val="18"/>
              </w:rPr>
            </w:pPr>
            <w:r>
              <w:rPr>
                <w:sz w:val="20"/>
                <w:szCs w:val="18"/>
              </w:rPr>
              <w:t>150</w:t>
            </w:r>
          </w:p>
        </w:tc>
        <w:tc>
          <w:tcPr>
            <w:tcW w:w="1418"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584913AD" w14:textId="77777777" w:rsidR="00F33547" w:rsidRPr="0016593E" w:rsidRDefault="00F33547" w:rsidP="002D7E6F">
            <w:pPr>
              <w:spacing w:after="0"/>
              <w:jc w:val="center"/>
              <w:rPr>
                <w:sz w:val="20"/>
                <w:szCs w:val="18"/>
              </w:rPr>
            </w:pPr>
            <w:r>
              <w:rPr>
                <w:sz w:val="20"/>
                <w:szCs w:val="18"/>
              </w:rPr>
              <w:t>100</w:t>
            </w:r>
          </w:p>
        </w:tc>
        <w:tc>
          <w:tcPr>
            <w:tcW w:w="1417"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0684B69B" w14:textId="77777777" w:rsidR="00F33547" w:rsidRPr="00F33547" w:rsidRDefault="00F33547" w:rsidP="002D7E6F">
            <w:pPr>
              <w:spacing w:after="0"/>
              <w:jc w:val="center"/>
              <w:rPr>
                <w:i/>
                <w:sz w:val="20"/>
                <w:szCs w:val="18"/>
              </w:rPr>
            </w:pPr>
            <w:r w:rsidRPr="00F33547">
              <w:rPr>
                <w:i/>
                <w:sz w:val="20"/>
                <w:szCs w:val="18"/>
              </w:rPr>
              <w:t>lm/W</w:t>
            </w:r>
          </w:p>
        </w:tc>
        <w:tc>
          <w:tcPr>
            <w:tcW w:w="992" w:type="dxa"/>
            <w:tcBorders>
              <w:left w:val="dashSmallGap" w:sz="4" w:space="0" w:color="A6A6A6" w:themeColor="background1" w:themeShade="A6"/>
            </w:tcBorders>
            <w:shd w:val="clear" w:color="auto" w:fill="F2F2F2" w:themeFill="background1" w:themeFillShade="F2"/>
            <w:vAlign w:val="center"/>
          </w:tcPr>
          <w:p w14:paraId="2C5E1B39" w14:textId="77777777" w:rsidR="00F33547" w:rsidRPr="0013324F" w:rsidRDefault="00F33547" w:rsidP="002D7E6F">
            <w:pPr>
              <w:spacing w:after="0"/>
              <w:jc w:val="center"/>
              <w:rPr>
                <w:i/>
                <w:sz w:val="20"/>
                <w:szCs w:val="18"/>
              </w:rPr>
            </w:pPr>
            <w:r>
              <w:rPr>
                <w:i/>
                <w:sz w:val="20"/>
                <w:szCs w:val="18"/>
              </w:rPr>
              <w:t>Direct</w:t>
            </w:r>
          </w:p>
        </w:tc>
      </w:tr>
      <w:tr w:rsidR="00F33547" w14:paraId="3D100064" w14:textId="77777777" w:rsidTr="003C4227">
        <w:tc>
          <w:tcPr>
            <w:tcW w:w="1418" w:type="dxa"/>
            <w:vMerge/>
            <w:tcBorders>
              <w:bottom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0EFF682C" w14:textId="77777777" w:rsidR="00F33547" w:rsidRPr="00025416" w:rsidRDefault="00F33547" w:rsidP="009A1DA3">
            <w:pPr>
              <w:spacing w:after="0"/>
              <w:ind w:left="311"/>
              <w:rPr>
                <w:b/>
                <w:sz w:val="20"/>
                <w:szCs w:val="20"/>
              </w:rPr>
            </w:pPr>
          </w:p>
        </w:tc>
        <w:tc>
          <w:tcPr>
            <w:tcW w:w="2693" w:type="dxa"/>
            <w:tcBorders>
              <w:left w:val="dashSmallGap" w:sz="4" w:space="0" w:color="A6A6A6" w:themeColor="background1" w:themeShade="A6"/>
              <w:bottom w:val="single" w:sz="4" w:space="0" w:color="A6A6A6" w:themeColor="background1" w:themeShade="A6"/>
              <w:right w:val="single" w:sz="4" w:space="0" w:color="auto"/>
            </w:tcBorders>
            <w:shd w:val="clear" w:color="auto" w:fill="F2F2F2" w:themeFill="background1" w:themeFillShade="F2"/>
            <w:vAlign w:val="center"/>
          </w:tcPr>
          <w:p w14:paraId="774C084B" w14:textId="77777777" w:rsidR="00F33547" w:rsidRPr="0016593E" w:rsidRDefault="00F33547" w:rsidP="0016593E">
            <w:pPr>
              <w:spacing w:after="0"/>
              <w:rPr>
                <w:color w:val="ED7D31" w:themeColor="accent2"/>
                <w:sz w:val="20"/>
              </w:rPr>
            </w:pPr>
            <w:r w:rsidRPr="001D437D">
              <w:rPr>
                <w:sz w:val="20"/>
              </w:rPr>
              <w:t>Water heating</w:t>
            </w:r>
          </w:p>
        </w:tc>
        <w:tc>
          <w:tcPr>
            <w:tcW w:w="1134" w:type="dxa"/>
            <w:tcBorders>
              <w:left w:val="dashed" w:sz="4" w:space="0" w:color="7F7F7F" w:themeColor="text1" w:themeTint="80"/>
              <w:bottom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3AE71ACF" w14:textId="77777777" w:rsidR="00F33547" w:rsidRPr="0016593E" w:rsidRDefault="00F33547" w:rsidP="002D7E6F">
            <w:pPr>
              <w:spacing w:after="0"/>
              <w:jc w:val="center"/>
              <w:rPr>
                <w:sz w:val="20"/>
                <w:szCs w:val="18"/>
              </w:rPr>
            </w:pPr>
            <w:r w:rsidRPr="001D437D">
              <w:rPr>
                <w:sz w:val="20"/>
                <w:szCs w:val="18"/>
              </w:rPr>
              <w:t>96-220</w:t>
            </w:r>
          </w:p>
        </w:tc>
        <w:tc>
          <w:tcPr>
            <w:tcW w:w="1418" w:type="dxa"/>
            <w:tcBorders>
              <w:left w:val="dashSmallGap" w:sz="4" w:space="0" w:color="A6A6A6" w:themeColor="background1" w:themeShade="A6"/>
              <w:bottom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4EFC50E3" w14:textId="77777777" w:rsidR="00F33547" w:rsidRPr="0016593E" w:rsidRDefault="00F33547" w:rsidP="002D7E6F">
            <w:pPr>
              <w:spacing w:after="0"/>
              <w:jc w:val="center"/>
              <w:rPr>
                <w:sz w:val="20"/>
                <w:szCs w:val="18"/>
              </w:rPr>
            </w:pPr>
            <w:r w:rsidRPr="001D437D">
              <w:rPr>
                <w:sz w:val="20"/>
                <w:szCs w:val="18"/>
              </w:rPr>
              <w:t>162-28</w:t>
            </w:r>
          </w:p>
        </w:tc>
        <w:tc>
          <w:tcPr>
            <w:tcW w:w="1417" w:type="dxa"/>
            <w:tcBorders>
              <w:left w:val="dashSmallGap" w:sz="4" w:space="0" w:color="A6A6A6" w:themeColor="background1" w:themeShade="A6"/>
              <w:bottom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40B7FE90" w14:textId="77777777" w:rsidR="00F33547" w:rsidRPr="00F33547" w:rsidRDefault="00F33547" w:rsidP="002D7E6F">
            <w:pPr>
              <w:spacing w:after="0"/>
              <w:jc w:val="center"/>
              <w:rPr>
                <w:i/>
                <w:sz w:val="20"/>
                <w:szCs w:val="18"/>
              </w:rPr>
            </w:pPr>
            <w:r w:rsidRPr="00F33547">
              <w:rPr>
                <w:i/>
                <w:sz w:val="20"/>
                <w:szCs w:val="18"/>
              </w:rPr>
              <w:t>KJ/L</w:t>
            </w:r>
          </w:p>
        </w:tc>
        <w:tc>
          <w:tcPr>
            <w:tcW w:w="992" w:type="dxa"/>
            <w:tcBorders>
              <w:left w:val="dashSmallGap" w:sz="4" w:space="0" w:color="A6A6A6" w:themeColor="background1" w:themeShade="A6"/>
              <w:bottom w:val="single" w:sz="4" w:space="0" w:color="A6A6A6" w:themeColor="background1" w:themeShade="A6"/>
            </w:tcBorders>
            <w:shd w:val="clear" w:color="auto" w:fill="F2F2F2" w:themeFill="background1" w:themeFillShade="F2"/>
            <w:vAlign w:val="center"/>
          </w:tcPr>
          <w:p w14:paraId="6DADBBF1" w14:textId="77777777" w:rsidR="00F33547" w:rsidRPr="0013324F" w:rsidRDefault="00F33547" w:rsidP="002D7E6F">
            <w:pPr>
              <w:spacing w:after="0"/>
              <w:jc w:val="center"/>
              <w:rPr>
                <w:i/>
                <w:sz w:val="20"/>
                <w:szCs w:val="18"/>
              </w:rPr>
            </w:pPr>
            <w:r>
              <w:rPr>
                <w:i/>
                <w:sz w:val="20"/>
                <w:szCs w:val="18"/>
              </w:rPr>
              <w:t>Direct</w:t>
            </w:r>
          </w:p>
        </w:tc>
      </w:tr>
      <w:tr w:rsidR="009C49B4" w:rsidRPr="00BE176C" w14:paraId="2EBFD43C" w14:textId="77777777" w:rsidTr="00ED49E6">
        <w:tc>
          <w:tcPr>
            <w:tcW w:w="1418" w:type="dxa"/>
            <w:vMerge w:val="restart"/>
            <w:tcBorders>
              <w:top w:val="single" w:sz="4" w:space="0" w:color="A6A6A6" w:themeColor="background1" w:themeShade="A6"/>
              <w:right w:val="dashSmallGap" w:sz="4" w:space="0" w:color="A6A6A6" w:themeColor="background1" w:themeShade="A6"/>
            </w:tcBorders>
            <w:shd w:val="clear" w:color="auto" w:fill="FFFFFF" w:themeFill="background1"/>
            <w:vAlign w:val="center"/>
          </w:tcPr>
          <w:p w14:paraId="29EBCF47" w14:textId="77777777" w:rsidR="009C49B4" w:rsidRPr="003A4852" w:rsidRDefault="009C49B4" w:rsidP="00D202EF">
            <w:pPr>
              <w:spacing w:after="0"/>
              <w:rPr>
                <w:b/>
                <w:sz w:val="20"/>
                <w:szCs w:val="20"/>
              </w:rPr>
            </w:pPr>
            <w:r w:rsidRPr="003A4852">
              <w:rPr>
                <w:b/>
                <w:sz w:val="20"/>
                <w:szCs w:val="20"/>
              </w:rPr>
              <w:t>Public services</w:t>
            </w:r>
          </w:p>
        </w:tc>
        <w:tc>
          <w:tcPr>
            <w:tcW w:w="2693" w:type="dxa"/>
            <w:tcBorders>
              <w:top w:val="single" w:sz="4" w:space="0" w:color="A6A6A6" w:themeColor="background1" w:themeShade="A6"/>
              <w:left w:val="dashSmallGap" w:sz="4" w:space="0" w:color="A6A6A6" w:themeColor="background1" w:themeShade="A6"/>
              <w:right w:val="single" w:sz="4" w:space="0" w:color="auto"/>
            </w:tcBorders>
            <w:shd w:val="clear" w:color="auto" w:fill="FFFFFF" w:themeFill="background1"/>
            <w:vAlign w:val="center"/>
          </w:tcPr>
          <w:p w14:paraId="567B8D31" w14:textId="77777777" w:rsidR="009C49B4" w:rsidRPr="003A4852" w:rsidRDefault="009C49B4" w:rsidP="00D202EF">
            <w:pPr>
              <w:spacing w:after="0"/>
              <w:rPr>
                <w:sz w:val="20"/>
              </w:rPr>
            </w:pPr>
            <w:r w:rsidRPr="003A4852">
              <w:rPr>
                <w:sz w:val="20"/>
              </w:rPr>
              <w:t>Hospitals thermal comfort</w:t>
            </w:r>
          </w:p>
        </w:tc>
        <w:tc>
          <w:tcPr>
            <w:tcW w:w="1134" w:type="dxa"/>
            <w:tcBorders>
              <w:top w:val="single" w:sz="4" w:space="0" w:color="A6A6A6" w:themeColor="background1" w:themeShade="A6"/>
              <w:left w:val="dashed" w:sz="4" w:space="0" w:color="7F7F7F" w:themeColor="text1" w:themeTint="80"/>
              <w:right w:val="dashSmallGap" w:sz="4" w:space="0" w:color="A6A6A6" w:themeColor="background1" w:themeShade="A6"/>
            </w:tcBorders>
            <w:shd w:val="clear" w:color="auto" w:fill="FFFFFF" w:themeFill="background1"/>
            <w:vAlign w:val="center"/>
          </w:tcPr>
          <w:p w14:paraId="5CE465B1" w14:textId="77777777" w:rsidR="009C49B4" w:rsidRPr="0016593E" w:rsidRDefault="009C49B4" w:rsidP="00D202EF">
            <w:pPr>
              <w:spacing w:after="0"/>
              <w:jc w:val="center"/>
              <w:rPr>
                <w:sz w:val="20"/>
                <w:szCs w:val="18"/>
              </w:rPr>
            </w:pPr>
            <w:r>
              <w:rPr>
                <w:sz w:val="20"/>
                <w:szCs w:val="18"/>
              </w:rPr>
              <w:t>68-93</w:t>
            </w:r>
          </w:p>
        </w:tc>
        <w:tc>
          <w:tcPr>
            <w:tcW w:w="1418"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411E2FC9" w14:textId="77777777" w:rsidR="009C49B4" w:rsidRPr="0016593E" w:rsidRDefault="009C49B4" w:rsidP="00D202EF">
            <w:pPr>
              <w:spacing w:after="0"/>
              <w:jc w:val="center"/>
              <w:rPr>
                <w:sz w:val="20"/>
                <w:szCs w:val="18"/>
              </w:rPr>
            </w:pPr>
            <w:r>
              <w:rPr>
                <w:sz w:val="20"/>
                <w:szCs w:val="18"/>
              </w:rPr>
              <w:t>181-361</w:t>
            </w:r>
          </w:p>
        </w:tc>
        <w:tc>
          <w:tcPr>
            <w:tcW w:w="1417"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3E1C0EDB" w14:textId="77777777" w:rsidR="009C49B4" w:rsidRPr="00F33547" w:rsidRDefault="009C49B4" w:rsidP="00D202EF">
            <w:pPr>
              <w:spacing w:after="0"/>
              <w:jc w:val="center"/>
              <w:rPr>
                <w:i/>
                <w:sz w:val="20"/>
                <w:szCs w:val="18"/>
              </w:rPr>
            </w:pPr>
            <w:r w:rsidRPr="00F33547">
              <w:rPr>
                <w:i/>
                <w:sz w:val="20"/>
                <w:szCs w:val="18"/>
              </w:rPr>
              <w:t>MJ/m</w:t>
            </w:r>
            <w:r w:rsidRPr="00F33547">
              <w:rPr>
                <w:i/>
                <w:sz w:val="20"/>
                <w:szCs w:val="18"/>
                <w:vertAlign w:val="superscript"/>
              </w:rPr>
              <w:t>2</w:t>
            </w:r>
            <w:r w:rsidRPr="00F33547">
              <w:rPr>
                <w:i/>
                <w:sz w:val="20"/>
                <w:szCs w:val="18"/>
              </w:rPr>
              <w:t>/yr</w:t>
            </w:r>
          </w:p>
        </w:tc>
        <w:tc>
          <w:tcPr>
            <w:tcW w:w="992" w:type="dxa"/>
            <w:tcBorders>
              <w:top w:val="single" w:sz="4" w:space="0" w:color="A6A6A6" w:themeColor="background1" w:themeShade="A6"/>
              <w:left w:val="dashSmallGap" w:sz="4" w:space="0" w:color="A6A6A6" w:themeColor="background1" w:themeShade="A6"/>
            </w:tcBorders>
            <w:shd w:val="clear" w:color="auto" w:fill="FFFFFF" w:themeFill="background1"/>
            <w:vAlign w:val="center"/>
          </w:tcPr>
          <w:p w14:paraId="5572C36B" w14:textId="77777777" w:rsidR="009C49B4" w:rsidRPr="0013324F" w:rsidRDefault="009C49B4" w:rsidP="00D202EF">
            <w:pPr>
              <w:spacing w:after="0"/>
              <w:jc w:val="center"/>
              <w:rPr>
                <w:i/>
                <w:sz w:val="20"/>
                <w:szCs w:val="18"/>
              </w:rPr>
            </w:pPr>
            <w:r>
              <w:rPr>
                <w:i/>
                <w:sz w:val="20"/>
                <w:szCs w:val="18"/>
              </w:rPr>
              <w:t>Direct</w:t>
            </w:r>
          </w:p>
        </w:tc>
      </w:tr>
      <w:tr w:rsidR="009C49B4" w14:paraId="26A6B231" w14:textId="77777777" w:rsidTr="00ED49E6">
        <w:tc>
          <w:tcPr>
            <w:tcW w:w="1418" w:type="dxa"/>
            <w:vMerge/>
            <w:tcBorders>
              <w:right w:val="dashSmallGap" w:sz="4" w:space="0" w:color="A6A6A6" w:themeColor="background1" w:themeShade="A6"/>
            </w:tcBorders>
            <w:shd w:val="clear" w:color="auto" w:fill="FFFFFF" w:themeFill="background1"/>
            <w:vAlign w:val="center"/>
          </w:tcPr>
          <w:p w14:paraId="103DDF03" w14:textId="77777777" w:rsidR="009C49B4" w:rsidRPr="003A4852" w:rsidRDefault="009C49B4" w:rsidP="00D202EF">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FFFFF" w:themeFill="background1"/>
            <w:vAlign w:val="center"/>
          </w:tcPr>
          <w:p w14:paraId="30A12811" w14:textId="77777777" w:rsidR="009C49B4" w:rsidRPr="003A4852" w:rsidRDefault="009C49B4" w:rsidP="00D202EF">
            <w:pPr>
              <w:spacing w:after="0"/>
              <w:rPr>
                <w:sz w:val="20"/>
              </w:rPr>
            </w:pPr>
            <w:r w:rsidRPr="003A4852">
              <w:rPr>
                <w:sz w:val="20"/>
              </w:rPr>
              <w:t>Schools thermal comfort</w:t>
            </w:r>
          </w:p>
        </w:tc>
        <w:tc>
          <w:tcPr>
            <w:tcW w:w="1134" w:type="dxa"/>
            <w:tcBorders>
              <w:left w:val="dashed" w:sz="4" w:space="0" w:color="7F7F7F" w:themeColor="text1" w:themeTint="80"/>
              <w:right w:val="dashSmallGap" w:sz="4" w:space="0" w:color="A6A6A6" w:themeColor="background1" w:themeShade="A6"/>
            </w:tcBorders>
            <w:shd w:val="clear" w:color="auto" w:fill="FFFFFF" w:themeFill="background1"/>
            <w:vAlign w:val="center"/>
          </w:tcPr>
          <w:p w14:paraId="318AF3EF" w14:textId="77777777" w:rsidR="009C49B4" w:rsidRPr="0016593E" w:rsidRDefault="009C49B4" w:rsidP="00D202EF">
            <w:pPr>
              <w:spacing w:after="0"/>
              <w:jc w:val="center"/>
              <w:rPr>
                <w:sz w:val="20"/>
                <w:szCs w:val="18"/>
              </w:rPr>
            </w:pPr>
            <w:r>
              <w:rPr>
                <w:sz w:val="20"/>
                <w:szCs w:val="18"/>
              </w:rPr>
              <w:t>51-66</w:t>
            </w:r>
          </w:p>
        </w:tc>
        <w:tc>
          <w:tcPr>
            <w:tcW w:w="1418"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3ABCF6E9" w14:textId="77777777" w:rsidR="009C49B4" w:rsidRPr="0016593E" w:rsidRDefault="009C49B4" w:rsidP="00D202EF">
            <w:pPr>
              <w:spacing w:after="0"/>
              <w:jc w:val="center"/>
              <w:rPr>
                <w:sz w:val="20"/>
                <w:szCs w:val="18"/>
              </w:rPr>
            </w:pPr>
            <w:r>
              <w:rPr>
                <w:sz w:val="20"/>
                <w:szCs w:val="18"/>
              </w:rPr>
              <w:t>126-232</w:t>
            </w:r>
          </w:p>
        </w:tc>
        <w:tc>
          <w:tcPr>
            <w:tcW w:w="1417"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7E590F60" w14:textId="77777777" w:rsidR="009C49B4" w:rsidRPr="00F33547" w:rsidRDefault="009C49B4" w:rsidP="00D202EF">
            <w:pPr>
              <w:spacing w:after="0"/>
              <w:jc w:val="center"/>
              <w:rPr>
                <w:i/>
                <w:sz w:val="20"/>
                <w:szCs w:val="18"/>
              </w:rPr>
            </w:pPr>
            <w:r w:rsidRPr="00F33547">
              <w:rPr>
                <w:i/>
                <w:sz w:val="20"/>
                <w:szCs w:val="18"/>
              </w:rPr>
              <w:t>MJ/m</w:t>
            </w:r>
            <w:r w:rsidRPr="00F33547">
              <w:rPr>
                <w:i/>
                <w:sz w:val="20"/>
                <w:szCs w:val="18"/>
                <w:vertAlign w:val="superscript"/>
              </w:rPr>
              <w:t>2</w:t>
            </w:r>
            <w:r w:rsidRPr="00F33547">
              <w:rPr>
                <w:i/>
                <w:sz w:val="20"/>
                <w:szCs w:val="18"/>
              </w:rPr>
              <w:t>/yr</w:t>
            </w:r>
          </w:p>
        </w:tc>
        <w:tc>
          <w:tcPr>
            <w:tcW w:w="992" w:type="dxa"/>
            <w:tcBorders>
              <w:left w:val="dashSmallGap" w:sz="4" w:space="0" w:color="A6A6A6" w:themeColor="background1" w:themeShade="A6"/>
            </w:tcBorders>
            <w:shd w:val="clear" w:color="auto" w:fill="FFFFFF" w:themeFill="background1"/>
            <w:vAlign w:val="center"/>
          </w:tcPr>
          <w:p w14:paraId="39AFC1B3" w14:textId="77777777" w:rsidR="009C49B4" w:rsidRPr="0013324F" w:rsidRDefault="009C49B4" w:rsidP="00D202EF">
            <w:pPr>
              <w:spacing w:after="0"/>
              <w:jc w:val="center"/>
              <w:rPr>
                <w:i/>
                <w:sz w:val="20"/>
                <w:szCs w:val="18"/>
              </w:rPr>
            </w:pPr>
            <w:r>
              <w:rPr>
                <w:i/>
                <w:sz w:val="20"/>
                <w:szCs w:val="18"/>
              </w:rPr>
              <w:t>Direct</w:t>
            </w:r>
          </w:p>
        </w:tc>
      </w:tr>
      <w:tr w:rsidR="009C49B4" w14:paraId="5390CAEA" w14:textId="77777777" w:rsidTr="00ED49E6">
        <w:tc>
          <w:tcPr>
            <w:tcW w:w="1418" w:type="dxa"/>
            <w:vMerge/>
            <w:tcBorders>
              <w:right w:val="dashSmallGap" w:sz="4" w:space="0" w:color="A6A6A6" w:themeColor="background1" w:themeShade="A6"/>
            </w:tcBorders>
            <w:shd w:val="clear" w:color="auto" w:fill="FFFFFF" w:themeFill="background1"/>
            <w:vAlign w:val="center"/>
          </w:tcPr>
          <w:p w14:paraId="640EC42F" w14:textId="77777777" w:rsidR="009C49B4" w:rsidRPr="003A4852" w:rsidRDefault="009C49B4" w:rsidP="009C49B4">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FFFFF" w:themeFill="background1"/>
            <w:vAlign w:val="center"/>
          </w:tcPr>
          <w:p w14:paraId="25893CBB" w14:textId="77777777" w:rsidR="009C49B4" w:rsidRPr="003A4852" w:rsidRDefault="009C49B4" w:rsidP="009C49B4">
            <w:pPr>
              <w:spacing w:after="0"/>
              <w:rPr>
                <w:sz w:val="20"/>
              </w:rPr>
            </w:pPr>
            <w:r>
              <w:rPr>
                <w:sz w:val="20"/>
              </w:rPr>
              <w:t>Hospitals c</w:t>
            </w:r>
            <w:r w:rsidRPr="00543706">
              <w:rPr>
                <w:sz w:val="20"/>
              </w:rPr>
              <w:t>onstruction</w:t>
            </w:r>
          </w:p>
        </w:tc>
        <w:tc>
          <w:tcPr>
            <w:tcW w:w="1134" w:type="dxa"/>
            <w:tcBorders>
              <w:left w:val="dashed" w:sz="4" w:space="0" w:color="7F7F7F" w:themeColor="text1" w:themeTint="80"/>
              <w:right w:val="dashSmallGap" w:sz="4" w:space="0" w:color="A6A6A6" w:themeColor="background1" w:themeShade="A6"/>
            </w:tcBorders>
            <w:shd w:val="clear" w:color="auto" w:fill="FFFFFF" w:themeFill="background1"/>
            <w:vAlign w:val="center"/>
          </w:tcPr>
          <w:p w14:paraId="1CEB9CDD" w14:textId="77777777" w:rsidR="009C49B4" w:rsidRDefault="000D2DC9" w:rsidP="000D2DC9">
            <w:pPr>
              <w:spacing w:after="0"/>
              <w:jc w:val="center"/>
              <w:rPr>
                <w:sz w:val="20"/>
                <w:szCs w:val="18"/>
              </w:rPr>
            </w:pPr>
            <w:r>
              <w:rPr>
                <w:sz w:val="20"/>
                <w:szCs w:val="18"/>
              </w:rPr>
              <w:t>273-455</w:t>
            </w:r>
          </w:p>
        </w:tc>
        <w:tc>
          <w:tcPr>
            <w:tcW w:w="1418"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15ED9657" w14:textId="77777777" w:rsidR="009C49B4" w:rsidRDefault="000D2DC9" w:rsidP="009C49B4">
            <w:pPr>
              <w:spacing w:after="0"/>
              <w:jc w:val="center"/>
              <w:rPr>
                <w:sz w:val="20"/>
                <w:szCs w:val="18"/>
              </w:rPr>
            </w:pPr>
            <w:r>
              <w:rPr>
                <w:sz w:val="20"/>
                <w:szCs w:val="18"/>
              </w:rPr>
              <w:t>410-682</w:t>
            </w:r>
          </w:p>
        </w:tc>
        <w:tc>
          <w:tcPr>
            <w:tcW w:w="1417"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56AD4917" w14:textId="77777777" w:rsidR="009C49B4" w:rsidRPr="00F33547" w:rsidRDefault="009C49B4" w:rsidP="009C49B4">
            <w:pPr>
              <w:spacing w:after="0"/>
              <w:jc w:val="center"/>
              <w:rPr>
                <w:i/>
                <w:sz w:val="20"/>
                <w:szCs w:val="18"/>
              </w:rPr>
            </w:pPr>
            <w:r w:rsidRPr="00F33547">
              <w:rPr>
                <w:i/>
                <w:sz w:val="20"/>
                <w:szCs w:val="18"/>
              </w:rPr>
              <w:t>MJ/m</w:t>
            </w:r>
            <w:r w:rsidRPr="00F33547">
              <w:rPr>
                <w:i/>
                <w:sz w:val="20"/>
                <w:szCs w:val="18"/>
                <w:vertAlign w:val="superscript"/>
              </w:rPr>
              <w:t>2</w:t>
            </w:r>
            <w:r w:rsidRPr="00F33547">
              <w:rPr>
                <w:i/>
                <w:sz w:val="20"/>
                <w:szCs w:val="18"/>
              </w:rPr>
              <w:t>/yr</w:t>
            </w:r>
          </w:p>
        </w:tc>
        <w:tc>
          <w:tcPr>
            <w:tcW w:w="992" w:type="dxa"/>
            <w:tcBorders>
              <w:left w:val="dashSmallGap" w:sz="4" w:space="0" w:color="A6A6A6" w:themeColor="background1" w:themeShade="A6"/>
            </w:tcBorders>
            <w:shd w:val="clear" w:color="auto" w:fill="FFFFFF" w:themeFill="background1"/>
            <w:vAlign w:val="center"/>
          </w:tcPr>
          <w:p w14:paraId="50D9EE1E" w14:textId="77777777" w:rsidR="009C49B4" w:rsidRPr="0013324F" w:rsidRDefault="009C49B4" w:rsidP="009C49B4">
            <w:pPr>
              <w:spacing w:after="0"/>
              <w:jc w:val="center"/>
              <w:rPr>
                <w:i/>
                <w:sz w:val="20"/>
                <w:szCs w:val="18"/>
              </w:rPr>
            </w:pPr>
            <w:r>
              <w:rPr>
                <w:i/>
                <w:sz w:val="20"/>
                <w:szCs w:val="18"/>
              </w:rPr>
              <w:t>Indirect</w:t>
            </w:r>
          </w:p>
        </w:tc>
      </w:tr>
      <w:tr w:rsidR="000D2DC9" w14:paraId="213FB192" w14:textId="77777777" w:rsidTr="00ED49E6">
        <w:tc>
          <w:tcPr>
            <w:tcW w:w="1418" w:type="dxa"/>
            <w:vMerge/>
            <w:tcBorders>
              <w:right w:val="dashSmallGap" w:sz="4" w:space="0" w:color="A6A6A6" w:themeColor="background1" w:themeShade="A6"/>
            </w:tcBorders>
            <w:shd w:val="clear" w:color="auto" w:fill="FFFFFF" w:themeFill="background1"/>
            <w:vAlign w:val="center"/>
          </w:tcPr>
          <w:p w14:paraId="74C560ED" w14:textId="77777777" w:rsidR="000D2DC9" w:rsidRPr="003A4852" w:rsidRDefault="000D2DC9" w:rsidP="000D2DC9">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FFFFF" w:themeFill="background1"/>
            <w:vAlign w:val="center"/>
          </w:tcPr>
          <w:p w14:paraId="53244FD8" w14:textId="77777777" w:rsidR="000D2DC9" w:rsidRPr="003A4852" w:rsidRDefault="000D2DC9" w:rsidP="000D2DC9">
            <w:pPr>
              <w:spacing w:after="0"/>
              <w:rPr>
                <w:sz w:val="20"/>
              </w:rPr>
            </w:pPr>
            <w:r w:rsidRPr="003A4852">
              <w:rPr>
                <w:sz w:val="20"/>
              </w:rPr>
              <w:t xml:space="preserve">Schools </w:t>
            </w:r>
            <w:r>
              <w:rPr>
                <w:sz w:val="20"/>
              </w:rPr>
              <w:t>c</w:t>
            </w:r>
            <w:r w:rsidRPr="00543706">
              <w:rPr>
                <w:sz w:val="20"/>
              </w:rPr>
              <w:t>onstruction</w:t>
            </w:r>
          </w:p>
        </w:tc>
        <w:tc>
          <w:tcPr>
            <w:tcW w:w="1134" w:type="dxa"/>
            <w:tcBorders>
              <w:left w:val="dashed" w:sz="4" w:space="0" w:color="7F7F7F" w:themeColor="text1" w:themeTint="80"/>
              <w:right w:val="dashSmallGap" w:sz="4" w:space="0" w:color="A6A6A6" w:themeColor="background1" w:themeShade="A6"/>
            </w:tcBorders>
            <w:shd w:val="clear" w:color="auto" w:fill="FFFFFF" w:themeFill="background1"/>
            <w:vAlign w:val="center"/>
          </w:tcPr>
          <w:p w14:paraId="3317F31A" w14:textId="77777777" w:rsidR="000D2DC9" w:rsidRDefault="000D2DC9" w:rsidP="000D2DC9">
            <w:pPr>
              <w:spacing w:after="0"/>
              <w:jc w:val="center"/>
              <w:rPr>
                <w:sz w:val="20"/>
                <w:szCs w:val="18"/>
              </w:rPr>
            </w:pPr>
            <w:r>
              <w:rPr>
                <w:sz w:val="20"/>
                <w:szCs w:val="18"/>
              </w:rPr>
              <w:t>90-150</w:t>
            </w:r>
          </w:p>
        </w:tc>
        <w:tc>
          <w:tcPr>
            <w:tcW w:w="1418"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38D5F9EC" w14:textId="77777777" w:rsidR="000D2DC9" w:rsidRDefault="000D2DC9" w:rsidP="000D2DC9">
            <w:pPr>
              <w:spacing w:after="0"/>
              <w:jc w:val="center"/>
              <w:rPr>
                <w:sz w:val="20"/>
                <w:szCs w:val="18"/>
              </w:rPr>
            </w:pPr>
            <w:r>
              <w:rPr>
                <w:sz w:val="20"/>
                <w:szCs w:val="18"/>
              </w:rPr>
              <w:t>135-225</w:t>
            </w:r>
          </w:p>
        </w:tc>
        <w:tc>
          <w:tcPr>
            <w:tcW w:w="1417"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03E1A589" w14:textId="77777777" w:rsidR="000D2DC9" w:rsidRPr="00F33547" w:rsidRDefault="000D2DC9" w:rsidP="000D2DC9">
            <w:pPr>
              <w:spacing w:after="0"/>
              <w:jc w:val="center"/>
              <w:rPr>
                <w:i/>
                <w:sz w:val="20"/>
                <w:szCs w:val="18"/>
              </w:rPr>
            </w:pPr>
            <w:r w:rsidRPr="00F33547">
              <w:rPr>
                <w:i/>
                <w:sz w:val="20"/>
                <w:szCs w:val="18"/>
              </w:rPr>
              <w:t>MJ/m</w:t>
            </w:r>
            <w:r w:rsidRPr="00F33547">
              <w:rPr>
                <w:i/>
                <w:sz w:val="20"/>
                <w:szCs w:val="18"/>
                <w:vertAlign w:val="superscript"/>
              </w:rPr>
              <w:t>2</w:t>
            </w:r>
            <w:r w:rsidRPr="00F33547">
              <w:rPr>
                <w:i/>
                <w:sz w:val="20"/>
                <w:szCs w:val="18"/>
              </w:rPr>
              <w:t>/yr</w:t>
            </w:r>
          </w:p>
        </w:tc>
        <w:tc>
          <w:tcPr>
            <w:tcW w:w="992" w:type="dxa"/>
            <w:tcBorders>
              <w:left w:val="dashSmallGap" w:sz="4" w:space="0" w:color="A6A6A6" w:themeColor="background1" w:themeShade="A6"/>
            </w:tcBorders>
            <w:shd w:val="clear" w:color="auto" w:fill="FFFFFF" w:themeFill="background1"/>
            <w:vAlign w:val="center"/>
          </w:tcPr>
          <w:p w14:paraId="0298213C" w14:textId="77777777" w:rsidR="000D2DC9" w:rsidRPr="0013324F" w:rsidRDefault="000D2DC9" w:rsidP="000D2DC9">
            <w:pPr>
              <w:spacing w:after="0"/>
              <w:jc w:val="center"/>
              <w:rPr>
                <w:i/>
                <w:sz w:val="20"/>
                <w:szCs w:val="18"/>
              </w:rPr>
            </w:pPr>
            <w:r>
              <w:rPr>
                <w:i/>
                <w:sz w:val="20"/>
                <w:szCs w:val="18"/>
              </w:rPr>
              <w:t>Indirect</w:t>
            </w:r>
          </w:p>
        </w:tc>
      </w:tr>
      <w:tr w:rsidR="000D2DC9" w14:paraId="4D45080B" w14:textId="77777777" w:rsidTr="003C4227">
        <w:tc>
          <w:tcPr>
            <w:tcW w:w="1418" w:type="dxa"/>
            <w:vMerge w:val="restart"/>
            <w:tcBorders>
              <w:top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238BFF6A" w14:textId="77777777" w:rsidR="000D2DC9" w:rsidRPr="00025416" w:rsidRDefault="000D2DC9" w:rsidP="000D2DC9">
            <w:pPr>
              <w:spacing w:after="0"/>
              <w:rPr>
                <w:b/>
                <w:sz w:val="20"/>
                <w:szCs w:val="20"/>
              </w:rPr>
            </w:pPr>
            <w:r w:rsidRPr="00025416">
              <w:rPr>
                <w:b/>
                <w:sz w:val="20"/>
                <w:szCs w:val="20"/>
              </w:rPr>
              <w:t>Mobility</w:t>
            </w:r>
          </w:p>
        </w:tc>
        <w:tc>
          <w:tcPr>
            <w:tcW w:w="2693" w:type="dxa"/>
            <w:tcBorders>
              <w:top w:val="single" w:sz="4" w:space="0" w:color="A6A6A6" w:themeColor="background1" w:themeShade="A6"/>
              <w:left w:val="dashSmallGap" w:sz="4" w:space="0" w:color="A6A6A6" w:themeColor="background1" w:themeShade="A6"/>
              <w:right w:val="single" w:sz="4" w:space="0" w:color="auto"/>
            </w:tcBorders>
            <w:shd w:val="clear" w:color="auto" w:fill="F2F2F2" w:themeFill="background1" w:themeFillShade="F2"/>
            <w:vAlign w:val="center"/>
          </w:tcPr>
          <w:p w14:paraId="4CD25A07" w14:textId="77777777" w:rsidR="000D2DC9" w:rsidRPr="005503C7" w:rsidRDefault="000D2DC9" w:rsidP="000D2DC9">
            <w:pPr>
              <w:spacing w:after="0"/>
              <w:rPr>
                <w:sz w:val="20"/>
              </w:rPr>
            </w:pPr>
            <w:r w:rsidRPr="005503C7">
              <w:rPr>
                <w:sz w:val="20"/>
              </w:rPr>
              <w:t>Cars propulsion</w:t>
            </w:r>
          </w:p>
        </w:tc>
        <w:tc>
          <w:tcPr>
            <w:tcW w:w="1134" w:type="dxa"/>
            <w:tcBorders>
              <w:top w:val="single" w:sz="4" w:space="0" w:color="A6A6A6" w:themeColor="background1" w:themeShade="A6"/>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3CD49430" w14:textId="77777777" w:rsidR="000D2DC9" w:rsidRPr="0016593E" w:rsidRDefault="000D2DC9" w:rsidP="000D2DC9">
            <w:pPr>
              <w:spacing w:after="0"/>
              <w:jc w:val="center"/>
              <w:rPr>
                <w:sz w:val="20"/>
                <w:szCs w:val="18"/>
              </w:rPr>
            </w:pPr>
            <w:r>
              <w:rPr>
                <w:sz w:val="20"/>
                <w:szCs w:val="18"/>
              </w:rPr>
              <w:t>0.16</w:t>
            </w:r>
          </w:p>
        </w:tc>
        <w:tc>
          <w:tcPr>
            <w:tcW w:w="1418"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4245C084" w14:textId="77777777" w:rsidR="000D2DC9" w:rsidRPr="0016593E" w:rsidRDefault="000D2DC9" w:rsidP="000D2DC9">
            <w:pPr>
              <w:spacing w:after="0"/>
              <w:jc w:val="center"/>
              <w:rPr>
                <w:sz w:val="20"/>
                <w:szCs w:val="18"/>
              </w:rPr>
            </w:pPr>
            <w:r>
              <w:rPr>
                <w:sz w:val="20"/>
                <w:szCs w:val="18"/>
              </w:rPr>
              <w:t>0.34</w:t>
            </w:r>
          </w:p>
        </w:tc>
        <w:tc>
          <w:tcPr>
            <w:tcW w:w="1417"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08F761F2" w14:textId="77777777" w:rsidR="000D2DC9" w:rsidRPr="00F33547" w:rsidRDefault="000D2DC9" w:rsidP="000D2DC9">
            <w:pPr>
              <w:spacing w:after="0"/>
              <w:jc w:val="center"/>
              <w:rPr>
                <w:i/>
                <w:sz w:val="20"/>
                <w:szCs w:val="18"/>
              </w:rPr>
            </w:pPr>
            <w:r w:rsidRPr="00F33547">
              <w:rPr>
                <w:i/>
                <w:sz w:val="20"/>
                <w:szCs w:val="18"/>
              </w:rPr>
              <w:t>MJ/pkm</w:t>
            </w:r>
          </w:p>
        </w:tc>
        <w:tc>
          <w:tcPr>
            <w:tcW w:w="992" w:type="dxa"/>
            <w:tcBorders>
              <w:top w:val="single" w:sz="4" w:space="0" w:color="A6A6A6" w:themeColor="background1" w:themeShade="A6"/>
              <w:left w:val="dashSmallGap" w:sz="4" w:space="0" w:color="A6A6A6" w:themeColor="background1" w:themeShade="A6"/>
            </w:tcBorders>
            <w:shd w:val="clear" w:color="auto" w:fill="F2F2F2" w:themeFill="background1" w:themeFillShade="F2"/>
            <w:vAlign w:val="center"/>
          </w:tcPr>
          <w:p w14:paraId="15753A2A" w14:textId="77777777" w:rsidR="000D2DC9" w:rsidRPr="0013324F" w:rsidRDefault="000D2DC9" w:rsidP="000D2DC9">
            <w:pPr>
              <w:spacing w:after="0"/>
              <w:jc w:val="center"/>
              <w:rPr>
                <w:i/>
                <w:sz w:val="20"/>
                <w:szCs w:val="18"/>
              </w:rPr>
            </w:pPr>
            <w:r>
              <w:rPr>
                <w:i/>
                <w:sz w:val="20"/>
                <w:szCs w:val="18"/>
              </w:rPr>
              <w:t>Direct</w:t>
            </w:r>
          </w:p>
        </w:tc>
      </w:tr>
      <w:tr w:rsidR="000D2DC9" w14:paraId="7E4B0D1D" w14:textId="77777777" w:rsidTr="003C4227">
        <w:tc>
          <w:tcPr>
            <w:tcW w:w="1418" w:type="dxa"/>
            <w:vMerge/>
            <w:tcBorders>
              <w:right w:val="dashSmallGap" w:sz="4" w:space="0" w:color="A6A6A6" w:themeColor="background1" w:themeShade="A6"/>
            </w:tcBorders>
            <w:shd w:val="clear" w:color="auto" w:fill="F2F2F2" w:themeFill="background1" w:themeFillShade="F2"/>
            <w:vAlign w:val="center"/>
          </w:tcPr>
          <w:p w14:paraId="6C525CF8" w14:textId="77777777" w:rsidR="000D2DC9" w:rsidRPr="00025416" w:rsidRDefault="000D2DC9" w:rsidP="000D2DC9">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2F2F2" w:themeFill="background1" w:themeFillShade="F2"/>
            <w:vAlign w:val="center"/>
          </w:tcPr>
          <w:p w14:paraId="2EC5812B" w14:textId="77777777" w:rsidR="000D2DC9" w:rsidRPr="005503C7" w:rsidRDefault="000D2DC9" w:rsidP="000D2DC9">
            <w:pPr>
              <w:spacing w:after="0"/>
              <w:rPr>
                <w:sz w:val="20"/>
              </w:rPr>
            </w:pPr>
            <w:r w:rsidRPr="005503C7">
              <w:rPr>
                <w:sz w:val="20"/>
              </w:rPr>
              <w:t>Buses propulsion</w:t>
            </w:r>
          </w:p>
        </w:tc>
        <w:tc>
          <w:tcPr>
            <w:tcW w:w="1134" w:type="dxa"/>
            <w:tcBorders>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69F917D3" w14:textId="77777777" w:rsidR="000D2DC9" w:rsidRPr="0016593E" w:rsidRDefault="000D2DC9" w:rsidP="000D2DC9">
            <w:pPr>
              <w:spacing w:after="0"/>
              <w:jc w:val="center"/>
              <w:rPr>
                <w:sz w:val="20"/>
                <w:szCs w:val="18"/>
              </w:rPr>
            </w:pPr>
            <w:r>
              <w:rPr>
                <w:sz w:val="20"/>
                <w:szCs w:val="18"/>
              </w:rPr>
              <w:t>0.072</w:t>
            </w:r>
          </w:p>
        </w:tc>
        <w:tc>
          <w:tcPr>
            <w:tcW w:w="1418"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1413E541" w14:textId="77777777" w:rsidR="000D2DC9" w:rsidRPr="0016593E" w:rsidRDefault="000D2DC9" w:rsidP="000D2DC9">
            <w:pPr>
              <w:spacing w:after="0"/>
              <w:jc w:val="center"/>
              <w:rPr>
                <w:sz w:val="20"/>
                <w:szCs w:val="18"/>
              </w:rPr>
            </w:pPr>
            <w:r>
              <w:rPr>
                <w:sz w:val="20"/>
                <w:szCs w:val="18"/>
              </w:rPr>
              <w:t>0.18</w:t>
            </w:r>
          </w:p>
        </w:tc>
        <w:tc>
          <w:tcPr>
            <w:tcW w:w="1417"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5A4E9BCB" w14:textId="77777777" w:rsidR="000D2DC9" w:rsidRPr="00F33547" w:rsidRDefault="000D2DC9" w:rsidP="000D2DC9">
            <w:pPr>
              <w:spacing w:after="0"/>
              <w:jc w:val="center"/>
              <w:rPr>
                <w:i/>
                <w:sz w:val="20"/>
                <w:szCs w:val="18"/>
              </w:rPr>
            </w:pPr>
            <w:r w:rsidRPr="00F33547">
              <w:rPr>
                <w:i/>
                <w:sz w:val="20"/>
                <w:szCs w:val="18"/>
              </w:rPr>
              <w:t>MJ/pkm</w:t>
            </w:r>
          </w:p>
        </w:tc>
        <w:tc>
          <w:tcPr>
            <w:tcW w:w="992" w:type="dxa"/>
            <w:tcBorders>
              <w:left w:val="dashSmallGap" w:sz="4" w:space="0" w:color="A6A6A6" w:themeColor="background1" w:themeShade="A6"/>
            </w:tcBorders>
            <w:shd w:val="clear" w:color="auto" w:fill="F2F2F2" w:themeFill="background1" w:themeFillShade="F2"/>
            <w:vAlign w:val="center"/>
          </w:tcPr>
          <w:p w14:paraId="14BBA8E5" w14:textId="77777777" w:rsidR="000D2DC9" w:rsidRPr="0013324F" w:rsidRDefault="000D2DC9" w:rsidP="000D2DC9">
            <w:pPr>
              <w:spacing w:after="0"/>
              <w:jc w:val="center"/>
              <w:rPr>
                <w:i/>
                <w:sz w:val="20"/>
                <w:szCs w:val="18"/>
              </w:rPr>
            </w:pPr>
            <w:r>
              <w:rPr>
                <w:i/>
                <w:sz w:val="20"/>
                <w:szCs w:val="18"/>
              </w:rPr>
              <w:t>Direct</w:t>
            </w:r>
          </w:p>
        </w:tc>
      </w:tr>
      <w:tr w:rsidR="000D2DC9" w14:paraId="482573DD" w14:textId="77777777" w:rsidTr="003C4227">
        <w:tc>
          <w:tcPr>
            <w:tcW w:w="1418" w:type="dxa"/>
            <w:vMerge/>
            <w:tcBorders>
              <w:right w:val="dashSmallGap" w:sz="4" w:space="0" w:color="A6A6A6" w:themeColor="background1" w:themeShade="A6"/>
            </w:tcBorders>
            <w:shd w:val="clear" w:color="auto" w:fill="F2F2F2" w:themeFill="background1" w:themeFillShade="F2"/>
            <w:vAlign w:val="center"/>
          </w:tcPr>
          <w:p w14:paraId="20430D05" w14:textId="77777777" w:rsidR="000D2DC9" w:rsidRPr="00025416" w:rsidRDefault="000D2DC9" w:rsidP="000D2DC9">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2F2F2" w:themeFill="background1" w:themeFillShade="F2"/>
            <w:vAlign w:val="center"/>
          </w:tcPr>
          <w:p w14:paraId="4757397B" w14:textId="77777777" w:rsidR="000D2DC9" w:rsidRPr="0016593E" w:rsidRDefault="000D2DC9" w:rsidP="000D2DC9">
            <w:pPr>
              <w:spacing w:after="0"/>
              <w:rPr>
                <w:color w:val="ED7D31" w:themeColor="accent2"/>
                <w:sz w:val="20"/>
              </w:rPr>
            </w:pPr>
            <w:r w:rsidRPr="005503C7">
              <w:rPr>
                <w:sz w:val="20"/>
              </w:rPr>
              <w:t>Rail propulsion</w:t>
            </w:r>
          </w:p>
        </w:tc>
        <w:tc>
          <w:tcPr>
            <w:tcW w:w="1134" w:type="dxa"/>
            <w:tcBorders>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7844F427" w14:textId="77777777" w:rsidR="000D2DC9" w:rsidRPr="0016593E" w:rsidRDefault="000D2DC9" w:rsidP="000D2DC9">
            <w:pPr>
              <w:spacing w:after="0"/>
              <w:jc w:val="center"/>
              <w:rPr>
                <w:sz w:val="20"/>
                <w:szCs w:val="18"/>
              </w:rPr>
            </w:pPr>
            <w:r>
              <w:rPr>
                <w:sz w:val="20"/>
                <w:szCs w:val="18"/>
              </w:rPr>
              <w:t>0.057</w:t>
            </w:r>
          </w:p>
        </w:tc>
        <w:tc>
          <w:tcPr>
            <w:tcW w:w="1418"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08577F85" w14:textId="77777777" w:rsidR="000D2DC9" w:rsidRPr="0016593E" w:rsidRDefault="000D2DC9" w:rsidP="000D2DC9">
            <w:pPr>
              <w:spacing w:after="0"/>
              <w:jc w:val="center"/>
              <w:rPr>
                <w:sz w:val="20"/>
                <w:szCs w:val="18"/>
              </w:rPr>
            </w:pPr>
            <w:r>
              <w:rPr>
                <w:sz w:val="20"/>
                <w:szCs w:val="18"/>
              </w:rPr>
              <w:t>0.17</w:t>
            </w:r>
          </w:p>
        </w:tc>
        <w:tc>
          <w:tcPr>
            <w:tcW w:w="1417"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1FC3D4D4" w14:textId="77777777" w:rsidR="000D2DC9" w:rsidRPr="00F33547" w:rsidRDefault="000D2DC9" w:rsidP="000D2DC9">
            <w:pPr>
              <w:spacing w:after="0"/>
              <w:jc w:val="center"/>
              <w:rPr>
                <w:i/>
                <w:sz w:val="20"/>
                <w:szCs w:val="18"/>
              </w:rPr>
            </w:pPr>
            <w:r w:rsidRPr="00F33547">
              <w:rPr>
                <w:i/>
                <w:sz w:val="20"/>
                <w:szCs w:val="18"/>
              </w:rPr>
              <w:t>MJ/pkm</w:t>
            </w:r>
          </w:p>
        </w:tc>
        <w:tc>
          <w:tcPr>
            <w:tcW w:w="992" w:type="dxa"/>
            <w:tcBorders>
              <w:left w:val="dashSmallGap" w:sz="4" w:space="0" w:color="A6A6A6" w:themeColor="background1" w:themeShade="A6"/>
            </w:tcBorders>
            <w:shd w:val="clear" w:color="auto" w:fill="F2F2F2" w:themeFill="background1" w:themeFillShade="F2"/>
            <w:vAlign w:val="center"/>
          </w:tcPr>
          <w:p w14:paraId="36C895BE" w14:textId="77777777" w:rsidR="000D2DC9" w:rsidRPr="0013324F" w:rsidRDefault="000D2DC9" w:rsidP="000D2DC9">
            <w:pPr>
              <w:spacing w:after="0"/>
              <w:jc w:val="center"/>
              <w:rPr>
                <w:i/>
                <w:sz w:val="20"/>
                <w:szCs w:val="18"/>
              </w:rPr>
            </w:pPr>
            <w:r>
              <w:rPr>
                <w:i/>
                <w:sz w:val="20"/>
                <w:szCs w:val="18"/>
              </w:rPr>
              <w:t>Direct</w:t>
            </w:r>
          </w:p>
        </w:tc>
      </w:tr>
      <w:tr w:rsidR="000D2DC9" w14:paraId="2743E189" w14:textId="77777777" w:rsidTr="003C4227">
        <w:tc>
          <w:tcPr>
            <w:tcW w:w="1418" w:type="dxa"/>
            <w:vMerge/>
            <w:tcBorders>
              <w:right w:val="dashSmallGap" w:sz="4" w:space="0" w:color="A6A6A6" w:themeColor="background1" w:themeShade="A6"/>
            </w:tcBorders>
            <w:shd w:val="clear" w:color="auto" w:fill="F2F2F2" w:themeFill="background1" w:themeFillShade="F2"/>
            <w:vAlign w:val="center"/>
          </w:tcPr>
          <w:p w14:paraId="5FDAB6F5" w14:textId="77777777" w:rsidR="000D2DC9" w:rsidRPr="00025416" w:rsidRDefault="000D2DC9" w:rsidP="000D2DC9">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2F2F2" w:themeFill="background1" w:themeFillShade="F2"/>
            <w:vAlign w:val="center"/>
          </w:tcPr>
          <w:p w14:paraId="64A9AE64" w14:textId="77777777" w:rsidR="000D2DC9" w:rsidRPr="005503C7" w:rsidRDefault="000D2DC9" w:rsidP="000D2DC9">
            <w:pPr>
              <w:spacing w:after="0"/>
              <w:rPr>
                <w:sz w:val="20"/>
              </w:rPr>
            </w:pPr>
            <w:r>
              <w:rPr>
                <w:sz w:val="20"/>
              </w:rPr>
              <w:t>Car</w:t>
            </w:r>
            <w:r w:rsidRPr="005503C7">
              <w:rPr>
                <w:sz w:val="20"/>
              </w:rPr>
              <w:t xml:space="preserve"> </w:t>
            </w:r>
            <w:r>
              <w:rPr>
                <w:sz w:val="20"/>
              </w:rPr>
              <w:t>production</w:t>
            </w:r>
          </w:p>
        </w:tc>
        <w:tc>
          <w:tcPr>
            <w:tcW w:w="1134" w:type="dxa"/>
            <w:tcBorders>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5C9426EA" w14:textId="77777777" w:rsidR="000D2DC9" w:rsidRDefault="000D2DC9" w:rsidP="000D2DC9">
            <w:pPr>
              <w:spacing w:after="0"/>
              <w:jc w:val="center"/>
              <w:rPr>
                <w:sz w:val="20"/>
                <w:szCs w:val="18"/>
              </w:rPr>
            </w:pPr>
            <w:r>
              <w:rPr>
                <w:sz w:val="20"/>
                <w:szCs w:val="18"/>
              </w:rPr>
              <w:t>0.1</w:t>
            </w:r>
          </w:p>
        </w:tc>
        <w:tc>
          <w:tcPr>
            <w:tcW w:w="1418"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3AA5D120" w14:textId="77777777" w:rsidR="000D2DC9" w:rsidRDefault="000D2DC9" w:rsidP="000D2DC9">
            <w:pPr>
              <w:spacing w:after="0"/>
              <w:jc w:val="center"/>
              <w:rPr>
                <w:sz w:val="20"/>
                <w:szCs w:val="18"/>
              </w:rPr>
            </w:pPr>
            <w:r>
              <w:rPr>
                <w:sz w:val="20"/>
                <w:szCs w:val="18"/>
              </w:rPr>
              <w:t>0.14</w:t>
            </w:r>
          </w:p>
        </w:tc>
        <w:tc>
          <w:tcPr>
            <w:tcW w:w="1417"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0654849B" w14:textId="77777777" w:rsidR="000D2DC9" w:rsidRPr="00F33547" w:rsidRDefault="000D2DC9" w:rsidP="000D2DC9">
            <w:pPr>
              <w:spacing w:after="0"/>
              <w:jc w:val="center"/>
              <w:rPr>
                <w:i/>
                <w:sz w:val="20"/>
                <w:szCs w:val="18"/>
              </w:rPr>
            </w:pPr>
            <w:r w:rsidRPr="00F33547">
              <w:rPr>
                <w:i/>
                <w:sz w:val="20"/>
                <w:szCs w:val="18"/>
              </w:rPr>
              <w:t>MJ/pkm</w:t>
            </w:r>
          </w:p>
        </w:tc>
        <w:tc>
          <w:tcPr>
            <w:tcW w:w="992" w:type="dxa"/>
            <w:tcBorders>
              <w:left w:val="dashSmallGap" w:sz="4" w:space="0" w:color="A6A6A6" w:themeColor="background1" w:themeShade="A6"/>
            </w:tcBorders>
            <w:shd w:val="clear" w:color="auto" w:fill="F2F2F2" w:themeFill="background1" w:themeFillShade="F2"/>
            <w:vAlign w:val="center"/>
          </w:tcPr>
          <w:p w14:paraId="736FE8D3" w14:textId="77777777" w:rsidR="000D2DC9" w:rsidRDefault="000D2DC9" w:rsidP="000D2DC9">
            <w:pPr>
              <w:spacing w:after="0"/>
              <w:jc w:val="center"/>
              <w:rPr>
                <w:i/>
                <w:sz w:val="20"/>
                <w:szCs w:val="18"/>
              </w:rPr>
            </w:pPr>
            <w:r>
              <w:rPr>
                <w:i/>
                <w:sz w:val="20"/>
                <w:szCs w:val="18"/>
              </w:rPr>
              <w:t>Indirect</w:t>
            </w:r>
          </w:p>
        </w:tc>
      </w:tr>
      <w:tr w:rsidR="000D2DC9" w14:paraId="432B4B70" w14:textId="77777777" w:rsidTr="003C4227">
        <w:tc>
          <w:tcPr>
            <w:tcW w:w="1418" w:type="dxa"/>
            <w:vMerge/>
            <w:tcBorders>
              <w:right w:val="dashSmallGap" w:sz="4" w:space="0" w:color="A6A6A6" w:themeColor="background1" w:themeShade="A6"/>
            </w:tcBorders>
            <w:shd w:val="clear" w:color="auto" w:fill="F2F2F2" w:themeFill="background1" w:themeFillShade="F2"/>
            <w:vAlign w:val="center"/>
          </w:tcPr>
          <w:p w14:paraId="72301A69" w14:textId="77777777" w:rsidR="000D2DC9" w:rsidRPr="00025416" w:rsidRDefault="000D2DC9" w:rsidP="000D2DC9">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2F2F2" w:themeFill="background1" w:themeFillShade="F2"/>
            <w:vAlign w:val="center"/>
          </w:tcPr>
          <w:p w14:paraId="3A721F96" w14:textId="77777777" w:rsidR="000D2DC9" w:rsidRPr="005503C7" w:rsidRDefault="000D2DC9" w:rsidP="000D2DC9">
            <w:pPr>
              <w:spacing w:after="0"/>
              <w:rPr>
                <w:sz w:val="20"/>
              </w:rPr>
            </w:pPr>
            <w:r w:rsidRPr="005503C7">
              <w:rPr>
                <w:sz w:val="20"/>
              </w:rPr>
              <w:t xml:space="preserve">Buses </w:t>
            </w:r>
            <w:r>
              <w:rPr>
                <w:sz w:val="20"/>
              </w:rPr>
              <w:t>production</w:t>
            </w:r>
          </w:p>
        </w:tc>
        <w:tc>
          <w:tcPr>
            <w:tcW w:w="1134" w:type="dxa"/>
            <w:tcBorders>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473297A1" w14:textId="77777777" w:rsidR="000D2DC9" w:rsidRDefault="000D2DC9" w:rsidP="000D2DC9">
            <w:pPr>
              <w:spacing w:after="0"/>
              <w:jc w:val="center"/>
              <w:rPr>
                <w:sz w:val="20"/>
                <w:szCs w:val="18"/>
              </w:rPr>
            </w:pPr>
            <w:r>
              <w:rPr>
                <w:sz w:val="20"/>
                <w:szCs w:val="18"/>
              </w:rPr>
              <w:t>0.04</w:t>
            </w:r>
          </w:p>
        </w:tc>
        <w:tc>
          <w:tcPr>
            <w:tcW w:w="1418"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7AEFE908" w14:textId="77777777" w:rsidR="000D2DC9" w:rsidRDefault="000D2DC9" w:rsidP="000D2DC9">
            <w:pPr>
              <w:spacing w:after="0"/>
              <w:jc w:val="center"/>
              <w:rPr>
                <w:sz w:val="20"/>
                <w:szCs w:val="18"/>
              </w:rPr>
            </w:pPr>
            <w:r w:rsidRPr="00E23155">
              <w:rPr>
                <w:sz w:val="20"/>
                <w:szCs w:val="18"/>
              </w:rPr>
              <w:t>0.06</w:t>
            </w:r>
          </w:p>
        </w:tc>
        <w:tc>
          <w:tcPr>
            <w:tcW w:w="1417"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60CBC72C" w14:textId="77777777" w:rsidR="000D2DC9" w:rsidRPr="00F33547" w:rsidRDefault="000D2DC9" w:rsidP="000D2DC9">
            <w:pPr>
              <w:spacing w:after="0"/>
              <w:jc w:val="center"/>
              <w:rPr>
                <w:i/>
                <w:sz w:val="20"/>
                <w:szCs w:val="18"/>
              </w:rPr>
            </w:pPr>
            <w:r w:rsidRPr="00F33547">
              <w:rPr>
                <w:i/>
                <w:sz w:val="20"/>
                <w:szCs w:val="18"/>
              </w:rPr>
              <w:t>MJ/pkm</w:t>
            </w:r>
          </w:p>
        </w:tc>
        <w:tc>
          <w:tcPr>
            <w:tcW w:w="992" w:type="dxa"/>
            <w:tcBorders>
              <w:left w:val="dashSmallGap" w:sz="4" w:space="0" w:color="A6A6A6" w:themeColor="background1" w:themeShade="A6"/>
            </w:tcBorders>
            <w:shd w:val="clear" w:color="auto" w:fill="F2F2F2" w:themeFill="background1" w:themeFillShade="F2"/>
            <w:vAlign w:val="center"/>
          </w:tcPr>
          <w:p w14:paraId="04A4D926" w14:textId="77777777" w:rsidR="000D2DC9" w:rsidRDefault="000D2DC9" w:rsidP="000D2DC9">
            <w:pPr>
              <w:spacing w:after="0"/>
              <w:jc w:val="center"/>
              <w:rPr>
                <w:i/>
                <w:sz w:val="20"/>
                <w:szCs w:val="18"/>
              </w:rPr>
            </w:pPr>
            <w:r>
              <w:rPr>
                <w:i/>
                <w:sz w:val="20"/>
                <w:szCs w:val="18"/>
              </w:rPr>
              <w:t>Indirect</w:t>
            </w:r>
          </w:p>
        </w:tc>
      </w:tr>
      <w:tr w:rsidR="000D2DC9" w14:paraId="11C26B51" w14:textId="77777777" w:rsidTr="003C4227">
        <w:tc>
          <w:tcPr>
            <w:tcW w:w="1418" w:type="dxa"/>
            <w:vMerge/>
            <w:tcBorders>
              <w:right w:val="dashSmallGap" w:sz="4" w:space="0" w:color="A6A6A6" w:themeColor="background1" w:themeShade="A6"/>
            </w:tcBorders>
            <w:shd w:val="clear" w:color="auto" w:fill="F2F2F2" w:themeFill="background1" w:themeFillShade="F2"/>
            <w:vAlign w:val="center"/>
          </w:tcPr>
          <w:p w14:paraId="6EF9F036" w14:textId="77777777" w:rsidR="000D2DC9" w:rsidRPr="00025416" w:rsidRDefault="000D2DC9" w:rsidP="000D2DC9">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2F2F2" w:themeFill="background1" w:themeFillShade="F2"/>
            <w:vAlign w:val="center"/>
          </w:tcPr>
          <w:p w14:paraId="0581305F" w14:textId="77777777" w:rsidR="000D2DC9" w:rsidRPr="0016593E" w:rsidRDefault="000D2DC9" w:rsidP="000D2DC9">
            <w:pPr>
              <w:spacing w:after="0"/>
              <w:rPr>
                <w:color w:val="ED7D31" w:themeColor="accent2"/>
                <w:sz w:val="20"/>
              </w:rPr>
            </w:pPr>
            <w:r w:rsidRPr="005503C7">
              <w:rPr>
                <w:sz w:val="20"/>
              </w:rPr>
              <w:t xml:space="preserve">Rail </w:t>
            </w:r>
            <w:r>
              <w:rPr>
                <w:sz w:val="20"/>
              </w:rPr>
              <w:t>vehicle production</w:t>
            </w:r>
          </w:p>
        </w:tc>
        <w:tc>
          <w:tcPr>
            <w:tcW w:w="1134" w:type="dxa"/>
            <w:tcBorders>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48295D97" w14:textId="77777777" w:rsidR="000D2DC9" w:rsidRPr="0016593E" w:rsidRDefault="000D2DC9" w:rsidP="000D2DC9">
            <w:pPr>
              <w:spacing w:after="0"/>
              <w:jc w:val="center"/>
              <w:rPr>
                <w:sz w:val="20"/>
                <w:szCs w:val="18"/>
              </w:rPr>
            </w:pPr>
            <w:r>
              <w:rPr>
                <w:sz w:val="20"/>
                <w:szCs w:val="18"/>
              </w:rPr>
              <w:t>0.007</w:t>
            </w:r>
          </w:p>
        </w:tc>
        <w:tc>
          <w:tcPr>
            <w:tcW w:w="1418"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75F842B8" w14:textId="77777777" w:rsidR="000D2DC9" w:rsidRPr="0016593E" w:rsidRDefault="000D2DC9" w:rsidP="000D2DC9">
            <w:pPr>
              <w:spacing w:after="0"/>
              <w:jc w:val="center"/>
              <w:rPr>
                <w:sz w:val="20"/>
                <w:szCs w:val="18"/>
              </w:rPr>
            </w:pPr>
            <w:r w:rsidRPr="00E23155">
              <w:rPr>
                <w:sz w:val="20"/>
                <w:szCs w:val="18"/>
              </w:rPr>
              <w:t>0.010</w:t>
            </w:r>
          </w:p>
        </w:tc>
        <w:tc>
          <w:tcPr>
            <w:tcW w:w="1417" w:type="dxa"/>
            <w:tcBorders>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50247704" w14:textId="77777777" w:rsidR="000D2DC9" w:rsidRPr="00F33547" w:rsidRDefault="000D2DC9" w:rsidP="000D2DC9">
            <w:pPr>
              <w:spacing w:after="0"/>
              <w:jc w:val="center"/>
              <w:rPr>
                <w:i/>
                <w:sz w:val="20"/>
                <w:szCs w:val="18"/>
              </w:rPr>
            </w:pPr>
            <w:r w:rsidRPr="00F33547">
              <w:rPr>
                <w:i/>
                <w:sz w:val="20"/>
                <w:szCs w:val="18"/>
              </w:rPr>
              <w:t>MJ/pkm</w:t>
            </w:r>
          </w:p>
        </w:tc>
        <w:tc>
          <w:tcPr>
            <w:tcW w:w="992" w:type="dxa"/>
            <w:tcBorders>
              <w:left w:val="dashSmallGap" w:sz="4" w:space="0" w:color="A6A6A6" w:themeColor="background1" w:themeShade="A6"/>
            </w:tcBorders>
            <w:shd w:val="clear" w:color="auto" w:fill="F2F2F2" w:themeFill="background1" w:themeFillShade="F2"/>
            <w:vAlign w:val="center"/>
          </w:tcPr>
          <w:p w14:paraId="21F6BD21" w14:textId="77777777" w:rsidR="000D2DC9" w:rsidRPr="0013324F" w:rsidRDefault="000D2DC9" w:rsidP="000D2DC9">
            <w:pPr>
              <w:spacing w:after="0"/>
              <w:jc w:val="center"/>
              <w:rPr>
                <w:i/>
                <w:sz w:val="20"/>
                <w:szCs w:val="18"/>
              </w:rPr>
            </w:pPr>
            <w:r>
              <w:rPr>
                <w:i/>
                <w:sz w:val="20"/>
                <w:szCs w:val="18"/>
              </w:rPr>
              <w:t>Indirect</w:t>
            </w:r>
          </w:p>
        </w:tc>
      </w:tr>
      <w:tr w:rsidR="000D2DC9" w14:paraId="7576B5D6" w14:textId="77777777" w:rsidTr="003C4227">
        <w:tc>
          <w:tcPr>
            <w:tcW w:w="1418" w:type="dxa"/>
            <w:tcBorders>
              <w:bottom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6A9BAB1C" w14:textId="77777777" w:rsidR="000D2DC9" w:rsidRPr="00025416" w:rsidRDefault="000D2DC9" w:rsidP="000D2DC9">
            <w:pPr>
              <w:spacing w:after="0"/>
              <w:rPr>
                <w:b/>
                <w:sz w:val="20"/>
                <w:szCs w:val="20"/>
              </w:rPr>
            </w:pPr>
          </w:p>
        </w:tc>
        <w:tc>
          <w:tcPr>
            <w:tcW w:w="2693" w:type="dxa"/>
            <w:tcBorders>
              <w:left w:val="dashSmallGap" w:sz="4" w:space="0" w:color="A6A6A6" w:themeColor="background1" w:themeShade="A6"/>
              <w:bottom w:val="single" w:sz="4" w:space="0" w:color="A6A6A6" w:themeColor="background1" w:themeShade="A6"/>
              <w:right w:val="single" w:sz="4" w:space="0" w:color="auto"/>
            </w:tcBorders>
            <w:shd w:val="clear" w:color="auto" w:fill="F2F2F2" w:themeFill="background1" w:themeFillShade="F2"/>
            <w:vAlign w:val="center"/>
          </w:tcPr>
          <w:p w14:paraId="71004336" w14:textId="77777777" w:rsidR="000D2DC9" w:rsidRPr="005503C7" w:rsidRDefault="000D2DC9" w:rsidP="000D2DC9">
            <w:pPr>
              <w:spacing w:after="0"/>
              <w:rPr>
                <w:sz w:val="20"/>
              </w:rPr>
            </w:pPr>
            <w:r>
              <w:rPr>
                <w:sz w:val="20"/>
              </w:rPr>
              <w:t>Plane production</w:t>
            </w:r>
          </w:p>
        </w:tc>
        <w:tc>
          <w:tcPr>
            <w:tcW w:w="1134" w:type="dxa"/>
            <w:tcBorders>
              <w:left w:val="dashed" w:sz="4" w:space="0" w:color="7F7F7F" w:themeColor="text1" w:themeTint="80"/>
              <w:bottom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321F59FE" w14:textId="77777777" w:rsidR="000D2DC9" w:rsidRDefault="000D2DC9" w:rsidP="000D2DC9">
            <w:pPr>
              <w:spacing w:after="0"/>
              <w:jc w:val="center"/>
              <w:rPr>
                <w:sz w:val="20"/>
                <w:szCs w:val="18"/>
              </w:rPr>
            </w:pPr>
            <w:r>
              <w:rPr>
                <w:sz w:val="20"/>
                <w:szCs w:val="18"/>
              </w:rPr>
              <w:t>0.18</w:t>
            </w:r>
          </w:p>
        </w:tc>
        <w:tc>
          <w:tcPr>
            <w:tcW w:w="1418" w:type="dxa"/>
            <w:tcBorders>
              <w:left w:val="dashSmallGap" w:sz="4" w:space="0" w:color="A6A6A6" w:themeColor="background1" w:themeShade="A6"/>
              <w:bottom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77CC23FC" w14:textId="77777777" w:rsidR="000D2DC9" w:rsidRPr="0016593E" w:rsidRDefault="000D2DC9" w:rsidP="000D2DC9">
            <w:pPr>
              <w:spacing w:after="0"/>
              <w:jc w:val="center"/>
              <w:rPr>
                <w:sz w:val="20"/>
                <w:szCs w:val="18"/>
              </w:rPr>
            </w:pPr>
            <w:r w:rsidRPr="00E23155">
              <w:rPr>
                <w:sz w:val="20"/>
                <w:szCs w:val="18"/>
              </w:rPr>
              <w:t>0.22</w:t>
            </w:r>
          </w:p>
        </w:tc>
        <w:tc>
          <w:tcPr>
            <w:tcW w:w="1417" w:type="dxa"/>
            <w:tcBorders>
              <w:left w:val="dashSmallGap" w:sz="4" w:space="0" w:color="A6A6A6" w:themeColor="background1" w:themeShade="A6"/>
              <w:bottom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6D8D7C05" w14:textId="77777777" w:rsidR="000D2DC9" w:rsidRPr="00F33547" w:rsidRDefault="000D2DC9" w:rsidP="000D2DC9">
            <w:pPr>
              <w:spacing w:after="0"/>
              <w:jc w:val="center"/>
              <w:rPr>
                <w:i/>
                <w:sz w:val="20"/>
                <w:szCs w:val="18"/>
              </w:rPr>
            </w:pPr>
            <w:r w:rsidRPr="00F33547">
              <w:rPr>
                <w:i/>
                <w:sz w:val="20"/>
                <w:szCs w:val="18"/>
              </w:rPr>
              <w:t>MJ/pkm</w:t>
            </w:r>
          </w:p>
        </w:tc>
        <w:tc>
          <w:tcPr>
            <w:tcW w:w="992" w:type="dxa"/>
            <w:tcBorders>
              <w:left w:val="dashSmallGap" w:sz="4" w:space="0" w:color="A6A6A6" w:themeColor="background1" w:themeShade="A6"/>
              <w:bottom w:val="single" w:sz="4" w:space="0" w:color="A6A6A6" w:themeColor="background1" w:themeShade="A6"/>
            </w:tcBorders>
            <w:shd w:val="clear" w:color="auto" w:fill="F2F2F2" w:themeFill="background1" w:themeFillShade="F2"/>
            <w:vAlign w:val="center"/>
          </w:tcPr>
          <w:p w14:paraId="67DBC739" w14:textId="77777777" w:rsidR="000D2DC9" w:rsidRPr="0013324F" w:rsidRDefault="000D2DC9" w:rsidP="000D2DC9">
            <w:pPr>
              <w:spacing w:after="0"/>
              <w:jc w:val="center"/>
              <w:rPr>
                <w:i/>
                <w:sz w:val="20"/>
                <w:szCs w:val="18"/>
              </w:rPr>
            </w:pPr>
            <w:r>
              <w:rPr>
                <w:i/>
                <w:sz w:val="20"/>
                <w:szCs w:val="18"/>
              </w:rPr>
              <w:t>Indirect</w:t>
            </w:r>
          </w:p>
        </w:tc>
      </w:tr>
      <w:tr w:rsidR="000D2DC9" w14:paraId="00CA0B3F" w14:textId="77777777" w:rsidTr="003C4227">
        <w:tc>
          <w:tcPr>
            <w:tcW w:w="1418" w:type="dxa"/>
            <w:vMerge w:val="restart"/>
            <w:tcBorders>
              <w:top w:val="single" w:sz="4" w:space="0" w:color="A6A6A6" w:themeColor="background1" w:themeShade="A6"/>
              <w:right w:val="dashSmallGap" w:sz="4" w:space="0" w:color="A6A6A6" w:themeColor="background1" w:themeShade="A6"/>
            </w:tcBorders>
            <w:shd w:val="clear" w:color="auto" w:fill="FFFFFF" w:themeFill="background1"/>
            <w:vAlign w:val="center"/>
          </w:tcPr>
          <w:p w14:paraId="662AD4AA" w14:textId="77777777" w:rsidR="000D2DC9" w:rsidRPr="00D202EF" w:rsidRDefault="000D2DC9" w:rsidP="000D2DC9">
            <w:pPr>
              <w:spacing w:after="0"/>
              <w:rPr>
                <w:b/>
                <w:sz w:val="20"/>
                <w:szCs w:val="20"/>
              </w:rPr>
            </w:pPr>
            <w:r w:rsidRPr="00D202EF">
              <w:rPr>
                <w:b/>
                <w:sz w:val="20"/>
                <w:szCs w:val="20"/>
              </w:rPr>
              <w:t>Commercial activity</w:t>
            </w:r>
          </w:p>
        </w:tc>
        <w:tc>
          <w:tcPr>
            <w:tcW w:w="2693" w:type="dxa"/>
            <w:tcBorders>
              <w:top w:val="single" w:sz="4" w:space="0" w:color="A6A6A6" w:themeColor="background1" w:themeShade="A6"/>
              <w:left w:val="dashSmallGap" w:sz="4" w:space="0" w:color="A6A6A6" w:themeColor="background1" w:themeShade="A6"/>
              <w:right w:val="single" w:sz="4" w:space="0" w:color="auto"/>
            </w:tcBorders>
            <w:shd w:val="clear" w:color="auto" w:fill="FFFFFF" w:themeFill="background1"/>
            <w:vAlign w:val="center"/>
          </w:tcPr>
          <w:p w14:paraId="142D7CC4" w14:textId="77777777" w:rsidR="000D2DC9" w:rsidRPr="00D202EF" w:rsidRDefault="000D2DC9" w:rsidP="000D2DC9">
            <w:pPr>
              <w:spacing w:after="0"/>
              <w:rPr>
                <w:sz w:val="20"/>
              </w:rPr>
            </w:pPr>
            <w:r w:rsidRPr="00D202EF">
              <w:rPr>
                <w:sz w:val="20"/>
              </w:rPr>
              <w:t>Road freight vehicle production</w:t>
            </w:r>
          </w:p>
        </w:tc>
        <w:tc>
          <w:tcPr>
            <w:tcW w:w="1134" w:type="dxa"/>
            <w:tcBorders>
              <w:top w:val="single" w:sz="4" w:space="0" w:color="A6A6A6" w:themeColor="background1" w:themeShade="A6"/>
              <w:left w:val="dashed" w:sz="4" w:space="0" w:color="7F7F7F" w:themeColor="text1" w:themeTint="80"/>
              <w:right w:val="dashSmallGap" w:sz="4" w:space="0" w:color="A6A6A6" w:themeColor="background1" w:themeShade="A6"/>
            </w:tcBorders>
            <w:shd w:val="clear" w:color="auto" w:fill="FFFFFF" w:themeFill="background1"/>
            <w:vAlign w:val="center"/>
          </w:tcPr>
          <w:p w14:paraId="30181A1C" w14:textId="77777777" w:rsidR="000D2DC9" w:rsidRPr="0016593E" w:rsidRDefault="000D2DC9" w:rsidP="000D2DC9">
            <w:pPr>
              <w:spacing w:after="0"/>
              <w:jc w:val="center"/>
              <w:rPr>
                <w:sz w:val="20"/>
                <w:szCs w:val="18"/>
              </w:rPr>
            </w:pPr>
            <w:r>
              <w:rPr>
                <w:sz w:val="20"/>
                <w:szCs w:val="18"/>
              </w:rPr>
              <w:t>0.11</w:t>
            </w:r>
          </w:p>
        </w:tc>
        <w:tc>
          <w:tcPr>
            <w:tcW w:w="1418"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27AE72C6" w14:textId="77777777" w:rsidR="000D2DC9" w:rsidRPr="0016593E" w:rsidRDefault="000D2DC9" w:rsidP="000D2DC9">
            <w:pPr>
              <w:spacing w:after="0"/>
              <w:jc w:val="center"/>
              <w:rPr>
                <w:sz w:val="20"/>
                <w:szCs w:val="18"/>
              </w:rPr>
            </w:pPr>
            <w:r>
              <w:rPr>
                <w:sz w:val="20"/>
                <w:szCs w:val="18"/>
              </w:rPr>
              <w:t>0.16</w:t>
            </w:r>
          </w:p>
        </w:tc>
        <w:tc>
          <w:tcPr>
            <w:tcW w:w="1417"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6A75DE29" w14:textId="77777777" w:rsidR="000D2DC9" w:rsidRPr="00F33547" w:rsidRDefault="000D2DC9" w:rsidP="000D2DC9">
            <w:pPr>
              <w:spacing w:after="0"/>
              <w:jc w:val="center"/>
              <w:rPr>
                <w:i/>
                <w:sz w:val="20"/>
                <w:szCs w:val="18"/>
              </w:rPr>
            </w:pPr>
            <w:r>
              <w:rPr>
                <w:i/>
                <w:sz w:val="20"/>
                <w:szCs w:val="18"/>
              </w:rPr>
              <w:t>MJ/tkm</w:t>
            </w:r>
          </w:p>
        </w:tc>
        <w:tc>
          <w:tcPr>
            <w:tcW w:w="992" w:type="dxa"/>
            <w:tcBorders>
              <w:top w:val="single" w:sz="4" w:space="0" w:color="A6A6A6" w:themeColor="background1" w:themeShade="A6"/>
              <w:left w:val="dashSmallGap" w:sz="4" w:space="0" w:color="A6A6A6" w:themeColor="background1" w:themeShade="A6"/>
            </w:tcBorders>
            <w:shd w:val="clear" w:color="auto" w:fill="FFFFFF" w:themeFill="background1"/>
            <w:vAlign w:val="center"/>
          </w:tcPr>
          <w:p w14:paraId="46D8A8A1" w14:textId="77777777" w:rsidR="000D2DC9" w:rsidRPr="0013324F" w:rsidRDefault="000D2DC9" w:rsidP="000D2DC9">
            <w:pPr>
              <w:spacing w:after="0"/>
              <w:jc w:val="center"/>
              <w:rPr>
                <w:i/>
                <w:sz w:val="20"/>
                <w:szCs w:val="18"/>
              </w:rPr>
            </w:pPr>
            <w:r>
              <w:rPr>
                <w:i/>
                <w:sz w:val="20"/>
                <w:szCs w:val="18"/>
              </w:rPr>
              <w:t>Indirect</w:t>
            </w:r>
          </w:p>
        </w:tc>
      </w:tr>
      <w:tr w:rsidR="000D2DC9" w14:paraId="39AA236B" w14:textId="77777777" w:rsidTr="003C4227">
        <w:tc>
          <w:tcPr>
            <w:tcW w:w="1418" w:type="dxa"/>
            <w:vMerge/>
            <w:tcBorders>
              <w:top w:val="single" w:sz="4" w:space="0" w:color="A6A6A6" w:themeColor="background1" w:themeShade="A6"/>
              <w:right w:val="dashSmallGap" w:sz="4" w:space="0" w:color="A6A6A6" w:themeColor="background1" w:themeShade="A6"/>
            </w:tcBorders>
            <w:shd w:val="clear" w:color="auto" w:fill="FFFFFF" w:themeFill="background1"/>
            <w:vAlign w:val="center"/>
          </w:tcPr>
          <w:p w14:paraId="621E32CC" w14:textId="77777777" w:rsidR="000D2DC9" w:rsidRPr="00D202EF" w:rsidRDefault="000D2DC9" w:rsidP="000D2DC9">
            <w:pPr>
              <w:spacing w:after="0"/>
              <w:rPr>
                <w:b/>
                <w:sz w:val="20"/>
                <w:szCs w:val="20"/>
              </w:rPr>
            </w:pPr>
          </w:p>
        </w:tc>
        <w:tc>
          <w:tcPr>
            <w:tcW w:w="2693" w:type="dxa"/>
            <w:tcBorders>
              <w:left w:val="dashSmallGap" w:sz="4" w:space="0" w:color="A6A6A6" w:themeColor="background1" w:themeShade="A6"/>
              <w:right w:val="single" w:sz="4" w:space="0" w:color="auto"/>
            </w:tcBorders>
            <w:shd w:val="clear" w:color="auto" w:fill="FFFFFF" w:themeFill="background1"/>
            <w:vAlign w:val="center"/>
          </w:tcPr>
          <w:p w14:paraId="3B8F9DD1" w14:textId="77777777" w:rsidR="000D2DC9" w:rsidRPr="00D202EF" w:rsidRDefault="000D2DC9" w:rsidP="000D2DC9">
            <w:pPr>
              <w:spacing w:after="0"/>
              <w:rPr>
                <w:sz w:val="20"/>
              </w:rPr>
            </w:pPr>
            <w:r w:rsidRPr="00D202EF">
              <w:rPr>
                <w:sz w:val="20"/>
              </w:rPr>
              <w:t>Rail freight vehicle production</w:t>
            </w:r>
          </w:p>
        </w:tc>
        <w:tc>
          <w:tcPr>
            <w:tcW w:w="1134" w:type="dxa"/>
            <w:tcBorders>
              <w:left w:val="dashed" w:sz="4" w:space="0" w:color="7F7F7F" w:themeColor="text1" w:themeTint="80"/>
              <w:right w:val="dashSmallGap" w:sz="4" w:space="0" w:color="A6A6A6" w:themeColor="background1" w:themeShade="A6"/>
            </w:tcBorders>
            <w:shd w:val="clear" w:color="auto" w:fill="FFFFFF" w:themeFill="background1"/>
            <w:vAlign w:val="center"/>
          </w:tcPr>
          <w:p w14:paraId="0FA63AD6" w14:textId="77777777" w:rsidR="000D2DC9" w:rsidRPr="0016593E" w:rsidRDefault="000D2DC9" w:rsidP="000D2DC9">
            <w:pPr>
              <w:spacing w:after="0"/>
              <w:jc w:val="center"/>
              <w:rPr>
                <w:sz w:val="20"/>
                <w:szCs w:val="18"/>
              </w:rPr>
            </w:pPr>
            <w:r>
              <w:rPr>
                <w:sz w:val="20"/>
                <w:szCs w:val="18"/>
              </w:rPr>
              <w:t>0.009</w:t>
            </w:r>
          </w:p>
        </w:tc>
        <w:tc>
          <w:tcPr>
            <w:tcW w:w="1418"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772BEA66" w14:textId="77777777" w:rsidR="000D2DC9" w:rsidRPr="0016593E" w:rsidRDefault="000D2DC9" w:rsidP="000D2DC9">
            <w:pPr>
              <w:spacing w:after="0"/>
              <w:jc w:val="center"/>
              <w:rPr>
                <w:sz w:val="20"/>
                <w:szCs w:val="18"/>
              </w:rPr>
            </w:pPr>
            <w:r>
              <w:rPr>
                <w:sz w:val="20"/>
                <w:szCs w:val="18"/>
              </w:rPr>
              <w:t>0.014</w:t>
            </w:r>
          </w:p>
        </w:tc>
        <w:tc>
          <w:tcPr>
            <w:tcW w:w="1417" w:type="dxa"/>
            <w:tcBorders>
              <w:left w:val="dashSmallGap" w:sz="4" w:space="0" w:color="A6A6A6" w:themeColor="background1" w:themeShade="A6"/>
              <w:right w:val="dashSmallGap" w:sz="4" w:space="0" w:color="A6A6A6" w:themeColor="background1" w:themeShade="A6"/>
            </w:tcBorders>
            <w:shd w:val="clear" w:color="auto" w:fill="FFFFFF" w:themeFill="background1"/>
            <w:vAlign w:val="center"/>
          </w:tcPr>
          <w:p w14:paraId="6ACC2FE8" w14:textId="77777777" w:rsidR="000D2DC9" w:rsidRPr="00F33547" w:rsidRDefault="000D2DC9" w:rsidP="000D2DC9">
            <w:pPr>
              <w:spacing w:after="0"/>
              <w:jc w:val="center"/>
              <w:rPr>
                <w:i/>
                <w:sz w:val="20"/>
                <w:szCs w:val="18"/>
              </w:rPr>
            </w:pPr>
            <w:r>
              <w:rPr>
                <w:i/>
                <w:sz w:val="20"/>
                <w:szCs w:val="18"/>
              </w:rPr>
              <w:t>MJ/tkm</w:t>
            </w:r>
          </w:p>
        </w:tc>
        <w:tc>
          <w:tcPr>
            <w:tcW w:w="992" w:type="dxa"/>
            <w:tcBorders>
              <w:left w:val="dashSmallGap" w:sz="4" w:space="0" w:color="A6A6A6" w:themeColor="background1" w:themeShade="A6"/>
            </w:tcBorders>
            <w:shd w:val="clear" w:color="auto" w:fill="FFFFFF" w:themeFill="background1"/>
            <w:vAlign w:val="center"/>
          </w:tcPr>
          <w:p w14:paraId="3656C401" w14:textId="77777777" w:rsidR="000D2DC9" w:rsidRPr="0013324F" w:rsidRDefault="000D2DC9" w:rsidP="000D2DC9">
            <w:pPr>
              <w:spacing w:after="0"/>
              <w:jc w:val="center"/>
              <w:rPr>
                <w:i/>
                <w:sz w:val="20"/>
                <w:szCs w:val="18"/>
              </w:rPr>
            </w:pPr>
            <w:r>
              <w:rPr>
                <w:i/>
                <w:sz w:val="20"/>
                <w:szCs w:val="18"/>
              </w:rPr>
              <w:t>Indirect</w:t>
            </w:r>
          </w:p>
        </w:tc>
      </w:tr>
      <w:tr w:rsidR="000D2DC9" w14:paraId="5B4B32E5" w14:textId="77777777" w:rsidTr="003C4227">
        <w:tc>
          <w:tcPr>
            <w:tcW w:w="1418" w:type="dxa"/>
            <w:vMerge/>
            <w:tcBorders>
              <w:bottom w:val="single" w:sz="4" w:space="0" w:color="A6A6A6" w:themeColor="background1" w:themeShade="A6"/>
              <w:right w:val="dashSmallGap" w:sz="4" w:space="0" w:color="A6A6A6" w:themeColor="background1" w:themeShade="A6"/>
            </w:tcBorders>
            <w:shd w:val="clear" w:color="auto" w:fill="FFFFFF" w:themeFill="background1"/>
            <w:vAlign w:val="center"/>
          </w:tcPr>
          <w:p w14:paraId="4F1D9D88" w14:textId="77777777" w:rsidR="000D2DC9" w:rsidRPr="00D202EF" w:rsidRDefault="000D2DC9" w:rsidP="000D2DC9">
            <w:pPr>
              <w:spacing w:after="0"/>
              <w:rPr>
                <w:b/>
                <w:sz w:val="20"/>
                <w:szCs w:val="20"/>
              </w:rPr>
            </w:pPr>
          </w:p>
        </w:tc>
        <w:tc>
          <w:tcPr>
            <w:tcW w:w="2693" w:type="dxa"/>
            <w:tcBorders>
              <w:left w:val="dashSmallGap" w:sz="4" w:space="0" w:color="A6A6A6" w:themeColor="background1" w:themeShade="A6"/>
              <w:bottom w:val="single" w:sz="4" w:space="0" w:color="A6A6A6" w:themeColor="background1" w:themeShade="A6"/>
              <w:right w:val="single" w:sz="4" w:space="0" w:color="auto"/>
            </w:tcBorders>
            <w:shd w:val="clear" w:color="auto" w:fill="FFFFFF" w:themeFill="background1"/>
            <w:vAlign w:val="center"/>
          </w:tcPr>
          <w:p w14:paraId="3E314632" w14:textId="77777777" w:rsidR="000D2DC9" w:rsidRPr="00D202EF" w:rsidRDefault="000D2DC9" w:rsidP="000D2DC9">
            <w:pPr>
              <w:spacing w:after="0"/>
              <w:rPr>
                <w:sz w:val="20"/>
              </w:rPr>
            </w:pPr>
            <w:r w:rsidRPr="00D202EF">
              <w:rPr>
                <w:sz w:val="20"/>
              </w:rPr>
              <w:t>Building thermal comfort</w:t>
            </w:r>
          </w:p>
        </w:tc>
        <w:tc>
          <w:tcPr>
            <w:tcW w:w="1134" w:type="dxa"/>
            <w:tcBorders>
              <w:left w:val="dashed" w:sz="4" w:space="0" w:color="7F7F7F" w:themeColor="text1" w:themeTint="80"/>
              <w:bottom w:val="single" w:sz="4" w:space="0" w:color="A6A6A6" w:themeColor="background1" w:themeShade="A6"/>
              <w:right w:val="dashSmallGap" w:sz="4" w:space="0" w:color="A6A6A6" w:themeColor="background1" w:themeShade="A6"/>
            </w:tcBorders>
            <w:shd w:val="clear" w:color="auto" w:fill="FFFFFF" w:themeFill="background1"/>
            <w:vAlign w:val="center"/>
          </w:tcPr>
          <w:p w14:paraId="035EB333" w14:textId="77777777" w:rsidR="000D2DC9" w:rsidRPr="0016593E" w:rsidRDefault="000D2DC9" w:rsidP="000D2DC9">
            <w:pPr>
              <w:spacing w:after="0"/>
              <w:jc w:val="center"/>
              <w:rPr>
                <w:sz w:val="20"/>
                <w:szCs w:val="18"/>
              </w:rPr>
            </w:pPr>
            <w:r>
              <w:rPr>
                <w:sz w:val="20"/>
                <w:szCs w:val="18"/>
              </w:rPr>
              <w:t>45-58</w:t>
            </w:r>
          </w:p>
        </w:tc>
        <w:tc>
          <w:tcPr>
            <w:tcW w:w="1418" w:type="dxa"/>
            <w:tcBorders>
              <w:left w:val="dashSmallGap" w:sz="4" w:space="0" w:color="A6A6A6" w:themeColor="background1" w:themeShade="A6"/>
              <w:bottom w:val="single" w:sz="4" w:space="0" w:color="A6A6A6" w:themeColor="background1" w:themeShade="A6"/>
              <w:right w:val="dashSmallGap" w:sz="4" w:space="0" w:color="A6A6A6" w:themeColor="background1" w:themeShade="A6"/>
            </w:tcBorders>
            <w:shd w:val="clear" w:color="auto" w:fill="FFFFFF" w:themeFill="background1"/>
            <w:vAlign w:val="center"/>
          </w:tcPr>
          <w:p w14:paraId="630D667E" w14:textId="77777777" w:rsidR="000D2DC9" w:rsidRPr="0016593E" w:rsidRDefault="000D2DC9" w:rsidP="000D2DC9">
            <w:pPr>
              <w:spacing w:after="0"/>
              <w:jc w:val="center"/>
              <w:rPr>
                <w:sz w:val="20"/>
                <w:szCs w:val="18"/>
              </w:rPr>
            </w:pPr>
            <w:r>
              <w:rPr>
                <w:sz w:val="20"/>
                <w:szCs w:val="18"/>
              </w:rPr>
              <w:t>159-244</w:t>
            </w:r>
          </w:p>
        </w:tc>
        <w:tc>
          <w:tcPr>
            <w:tcW w:w="1417" w:type="dxa"/>
            <w:tcBorders>
              <w:left w:val="dashSmallGap" w:sz="4" w:space="0" w:color="A6A6A6" w:themeColor="background1" w:themeShade="A6"/>
              <w:bottom w:val="single" w:sz="4" w:space="0" w:color="A6A6A6" w:themeColor="background1" w:themeShade="A6"/>
              <w:right w:val="dashSmallGap" w:sz="4" w:space="0" w:color="A6A6A6" w:themeColor="background1" w:themeShade="A6"/>
            </w:tcBorders>
            <w:shd w:val="clear" w:color="auto" w:fill="FFFFFF" w:themeFill="background1"/>
            <w:vAlign w:val="center"/>
          </w:tcPr>
          <w:p w14:paraId="1421EE1B" w14:textId="77777777" w:rsidR="000D2DC9" w:rsidRPr="00F33547" w:rsidRDefault="000D2DC9" w:rsidP="000D2DC9">
            <w:pPr>
              <w:spacing w:after="0"/>
              <w:jc w:val="center"/>
              <w:rPr>
                <w:i/>
                <w:sz w:val="20"/>
                <w:szCs w:val="18"/>
              </w:rPr>
            </w:pPr>
            <w:r w:rsidRPr="00F33547">
              <w:rPr>
                <w:i/>
                <w:sz w:val="20"/>
                <w:szCs w:val="18"/>
              </w:rPr>
              <w:t>MJ/m</w:t>
            </w:r>
            <w:r w:rsidRPr="00F33547">
              <w:rPr>
                <w:i/>
                <w:sz w:val="20"/>
                <w:szCs w:val="18"/>
                <w:vertAlign w:val="superscript"/>
              </w:rPr>
              <w:t>2</w:t>
            </w:r>
            <w:r w:rsidRPr="00F33547">
              <w:rPr>
                <w:i/>
                <w:sz w:val="20"/>
                <w:szCs w:val="18"/>
              </w:rPr>
              <w:t>/yr</w:t>
            </w:r>
          </w:p>
        </w:tc>
        <w:tc>
          <w:tcPr>
            <w:tcW w:w="992" w:type="dxa"/>
            <w:tcBorders>
              <w:left w:val="dashSmallGap" w:sz="4" w:space="0" w:color="A6A6A6" w:themeColor="background1" w:themeShade="A6"/>
              <w:bottom w:val="single" w:sz="4" w:space="0" w:color="A6A6A6" w:themeColor="background1" w:themeShade="A6"/>
            </w:tcBorders>
            <w:shd w:val="clear" w:color="auto" w:fill="FFFFFF" w:themeFill="background1"/>
            <w:vAlign w:val="center"/>
          </w:tcPr>
          <w:p w14:paraId="74B83EB9" w14:textId="77777777" w:rsidR="000D2DC9" w:rsidRPr="0013324F" w:rsidRDefault="000D2DC9" w:rsidP="000D2DC9">
            <w:pPr>
              <w:spacing w:after="0"/>
              <w:jc w:val="center"/>
              <w:rPr>
                <w:i/>
                <w:sz w:val="20"/>
                <w:szCs w:val="18"/>
              </w:rPr>
            </w:pPr>
            <w:r>
              <w:rPr>
                <w:i/>
                <w:sz w:val="20"/>
                <w:szCs w:val="18"/>
              </w:rPr>
              <w:t>Direct</w:t>
            </w:r>
          </w:p>
        </w:tc>
      </w:tr>
      <w:tr w:rsidR="000D2DC9" w14:paraId="1CC862B2" w14:textId="77777777" w:rsidTr="003C4227">
        <w:tc>
          <w:tcPr>
            <w:tcW w:w="1418" w:type="dxa"/>
            <w:tcBorders>
              <w:top w:val="single" w:sz="4" w:space="0" w:color="A6A6A6" w:themeColor="background1" w:themeShade="A6"/>
              <w:right w:val="dashSmallGap" w:sz="4" w:space="0" w:color="A6A6A6" w:themeColor="background1" w:themeShade="A6"/>
            </w:tcBorders>
            <w:shd w:val="clear" w:color="auto" w:fill="F2F2F2" w:themeFill="background1" w:themeFillShade="F2"/>
            <w:vAlign w:val="center"/>
          </w:tcPr>
          <w:p w14:paraId="6EEC6669" w14:textId="77777777" w:rsidR="000D2DC9" w:rsidRPr="00025416" w:rsidRDefault="000D2DC9" w:rsidP="000D2DC9">
            <w:pPr>
              <w:spacing w:after="0"/>
              <w:rPr>
                <w:b/>
                <w:sz w:val="20"/>
                <w:szCs w:val="20"/>
              </w:rPr>
            </w:pPr>
            <w:r>
              <w:rPr>
                <w:b/>
                <w:sz w:val="20"/>
                <w:szCs w:val="20"/>
              </w:rPr>
              <w:t>Power</w:t>
            </w:r>
          </w:p>
        </w:tc>
        <w:tc>
          <w:tcPr>
            <w:tcW w:w="2693" w:type="dxa"/>
            <w:tcBorders>
              <w:top w:val="single" w:sz="4" w:space="0" w:color="A6A6A6" w:themeColor="background1" w:themeShade="A6"/>
              <w:left w:val="dashSmallGap" w:sz="4" w:space="0" w:color="A6A6A6" w:themeColor="background1" w:themeShade="A6"/>
              <w:right w:val="single" w:sz="4" w:space="0" w:color="auto"/>
            </w:tcBorders>
            <w:shd w:val="clear" w:color="auto" w:fill="F2F2F2" w:themeFill="background1" w:themeFillShade="F2"/>
            <w:vAlign w:val="center"/>
          </w:tcPr>
          <w:p w14:paraId="7E21C792" w14:textId="77777777" w:rsidR="000D2DC9" w:rsidRPr="0016593E" w:rsidRDefault="000D2DC9" w:rsidP="000D2DC9">
            <w:pPr>
              <w:spacing w:after="0"/>
              <w:rPr>
                <w:color w:val="ED7D31" w:themeColor="accent2"/>
                <w:sz w:val="20"/>
              </w:rPr>
            </w:pPr>
            <w:r w:rsidRPr="00841244">
              <w:rPr>
                <w:sz w:val="20"/>
              </w:rPr>
              <w:t>Infrastructure</w:t>
            </w:r>
          </w:p>
        </w:tc>
        <w:tc>
          <w:tcPr>
            <w:tcW w:w="1134" w:type="dxa"/>
            <w:tcBorders>
              <w:top w:val="single" w:sz="4" w:space="0" w:color="A6A6A6" w:themeColor="background1" w:themeShade="A6"/>
              <w:left w:val="dashed" w:sz="4" w:space="0" w:color="7F7F7F" w:themeColor="text1" w:themeTint="80"/>
              <w:right w:val="dashSmallGap" w:sz="4" w:space="0" w:color="A6A6A6" w:themeColor="background1" w:themeShade="A6"/>
            </w:tcBorders>
            <w:shd w:val="clear" w:color="auto" w:fill="F2F2F2" w:themeFill="background1" w:themeFillShade="F2"/>
            <w:vAlign w:val="center"/>
          </w:tcPr>
          <w:p w14:paraId="70F22EF0" w14:textId="77777777" w:rsidR="000D2DC9" w:rsidRPr="0016593E" w:rsidRDefault="000D2DC9" w:rsidP="000D2DC9">
            <w:pPr>
              <w:spacing w:after="0"/>
              <w:jc w:val="center"/>
              <w:rPr>
                <w:sz w:val="20"/>
                <w:szCs w:val="18"/>
              </w:rPr>
            </w:pPr>
            <w:r>
              <w:rPr>
                <w:sz w:val="20"/>
                <w:szCs w:val="18"/>
              </w:rPr>
              <w:t>0.15</w:t>
            </w:r>
          </w:p>
        </w:tc>
        <w:tc>
          <w:tcPr>
            <w:tcW w:w="1418"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15FF939E" w14:textId="77777777" w:rsidR="000D2DC9" w:rsidRPr="0016593E" w:rsidRDefault="000D2DC9" w:rsidP="000D2DC9">
            <w:pPr>
              <w:spacing w:after="0"/>
              <w:jc w:val="center"/>
              <w:rPr>
                <w:sz w:val="20"/>
                <w:szCs w:val="18"/>
              </w:rPr>
            </w:pPr>
            <w:r>
              <w:rPr>
                <w:sz w:val="20"/>
                <w:szCs w:val="18"/>
              </w:rPr>
              <w:t>0.175</w:t>
            </w:r>
          </w:p>
        </w:tc>
        <w:tc>
          <w:tcPr>
            <w:tcW w:w="1417" w:type="dxa"/>
            <w:tcBorders>
              <w:top w:val="single" w:sz="4" w:space="0" w:color="A6A6A6" w:themeColor="background1" w:themeShade="A6"/>
              <w:left w:val="dashSmallGap" w:sz="4" w:space="0" w:color="A6A6A6" w:themeColor="background1" w:themeShade="A6"/>
              <w:right w:val="dashSmallGap" w:sz="4" w:space="0" w:color="A6A6A6" w:themeColor="background1" w:themeShade="A6"/>
            </w:tcBorders>
            <w:shd w:val="clear" w:color="auto" w:fill="F2F2F2" w:themeFill="background1" w:themeFillShade="F2"/>
            <w:vAlign w:val="center"/>
          </w:tcPr>
          <w:p w14:paraId="08CED391" w14:textId="77777777" w:rsidR="000D2DC9" w:rsidRPr="00F33547" w:rsidRDefault="000D2DC9" w:rsidP="000D2DC9">
            <w:pPr>
              <w:spacing w:after="0"/>
              <w:jc w:val="center"/>
              <w:rPr>
                <w:i/>
                <w:sz w:val="20"/>
                <w:szCs w:val="18"/>
              </w:rPr>
            </w:pPr>
            <w:r>
              <w:rPr>
                <w:i/>
                <w:sz w:val="20"/>
                <w:szCs w:val="18"/>
              </w:rPr>
              <w:t>kWh/kWh</w:t>
            </w:r>
          </w:p>
        </w:tc>
        <w:tc>
          <w:tcPr>
            <w:tcW w:w="992" w:type="dxa"/>
            <w:tcBorders>
              <w:top w:val="single" w:sz="4" w:space="0" w:color="A6A6A6" w:themeColor="background1" w:themeShade="A6"/>
              <w:left w:val="dashSmallGap" w:sz="4" w:space="0" w:color="A6A6A6" w:themeColor="background1" w:themeShade="A6"/>
            </w:tcBorders>
            <w:shd w:val="clear" w:color="auto" w:fill="F2F2F2" w:themeFill="background1" w:themeFillShade="F2"/>
            <w:vAlign w:val="center"/>
          </w:tcPr>
          <w:p w14:paraId="019719E0" w14:textId="77777777" w:rsidR="000D2DC9" w:rsidRPr="0013324F" w:rsidRDefault="000D2DC9" w:rsidP="000D2DC9">
            <w:pPr>
              <w:spacing w:after="0"/>
              <w:jc w:val="center"/>
              <w:rPr>
                <w:i/>
                <w:sz w:val="20"/>
                <w:szCs w:val="18"/>
              </w:rPr>
            </w:pPr>
            <w:r>
              <w:rPr>
                <w:i/>
                <w:sz w:val="20"/>
                <w:szCs w:val="18"/>
              </w:rPr>
              <w:t>Indirect</w:t>
            </w:r>
          </w:p>
        </w:tc>
      </w:tr>
    </w:tbl>
    <w:p w14:paraId="777F7392" w14:textId="06F268AE" w:rsidR="00760166" w:rsidRDefault="00760166" w:rsidP="00441C84"/>
    <w:p w14:paraId="0B1D3152" w14:textId="77777777" w:rsidR="00441C84" w:rsidRDefault="00441C84" w:rsidP="00441C84"/>
    <w:p w14:paraId="6F819282" w14:textId="77777777" w:rsidR="00541C9A" w:rsidRDefault="00760166" w:rsidP="00F328B1">
      <w:pPr>
        <w:pStyle w:val="Heading1"/>
        <w:numPr>
          <w:ilvl w:val="0"/>
          <w:numId w:val="0"/>
        </w:numPr>
        <w:pBdr>
          <w:top w:val="single" w:sz="4" w:space="1" w:color="auto"/>
        </w:pBdr>
        <w:ind w:left="426" w:hanging="426"/>
      </w:pPr>
      <w:bookmarkStart w:id="21" w:name="_Toc91071623"/>
      <w:r>
        <w:t>References</w:t>
      </w:r>
      <w:bookmarkEnd w:id="21"/>
    </w:p>
    <w:p w14:paraId="599556EE" w14:textId="77777777" w:rsidR="0004567C" w:rsidRPr="0004567C" w:rsidRDefault="00541C9A" w:rsidP="0004567C">
      <w:pPr>
        <w:pStyle w:val="EndNoteBibliography"/>
        <w:spacing w:after="0"/>
        <w:ind w:left="720" w:hanging="720"/>
      </w:pPr>
      <w:r>
        <w:fldChar w:fldCharType="begin"/>
      </w:r>
      <w:r>
        <w:instrText xml:space="preserve"> ADDIN EN.REFLIST </w:instrText>
      </w:r>
      <w:r>
        <w:fldChar w:fldCharType="separate"/>
      </w:r>
      <w:r w:rsidR="0004567C" w:rsidRPr="0004567C">
        <w:t>1.</w:t>
      </w:r>
      <w:r w:rsidR="0004567C" w:rsidRPr="0004567C">
        <w:tab/>
        <w:t xml:space="preserve">Kiatpongsan, S. and M.I. Norton, </w:t>
      </w:r>
      <w:r w:rsidR="0004567C" w:rsidRPr="0004567C">
        <w:rPr>
          <w:i/>
        </w:rPr>
        <w:t>How Much (More) Should CEOs Make? A Universal Desire for More Equal Pay.</w:t>
      </w:r>
      <w:r w:rsidR="0004567C" w:rsidRPr="0004567C">
        <w:t xml:space="preserve"> Perspectives on Psychological Science, 2014. </w:t>
      </w:r>
      <w:r w:rsidR="0004567C" w:rsidRPr="0004567C">
        <w:rPr>
          <w:b/>
        </w:rPr>
        <w:t>9</w:t>
      </w:r>
      <w:r w:rsidR="0004567C" w:rsidRPr="0004567C">
        <w:t>(6): p. 587-593.</w:t>
      </w:r>
    </w:p>
    <w:p w14:paraId="6F56DDEB" w14:textId="77777777" w:rsidR="0004567C" w:rsidRPr="0004567C" w:rsidRDefault="0004567C" w:rsidP="0004567C">
      <w:pPr>
        <w:pStyle w:val="EndNoteBibliography"/>
        <w:spacing w:after="0"/>
        <w:ind w:left="720" w:hanging="720"/>
      </w:pPr>
      <w:r w:rsidRPr="0004567C">
        <w:t>2.</w:t>
      </w:r>
      <w:r w:rsidRPr="0004567C">
        <w:tab/>
        <w:t xml:space="preserve">FAO, </w:t>
      </w:r>
      <w:r w:rsidRPr="0004567C">
        <w:rPr>
          <w:i/>
        </w:rPr>
        <w:t>New Food Balances</w:t>
      </w:r>
      <w:r w:rsidRPr="0004567C">
        <w:t>, UN, Editor. 2018.</w:t>
      </w:r>
    </w:p>
    <w:p w14:paraId="2680F2E5" w14:textId="77777777" w:rsidR="0004567C" w:rsidRPr="0004567C" w:rsidRDefault="0004567C" w:rsidP="0004567C">
      <w:pPr>
        <w:pStyle w:val="EndNoteBibliography"/>
        <w:spacing w:after="0"/>
        <w:ind w:left="720" w:hanging="720"/>
      </w:pPr>
      <w:r w:rsidRPr="0004567C">
        <w:t>3.</w:t>
      </w:r>
      <w:r w:rsidRPr="0004567C">
        <w:tab/>
        <w:t xml:space="preserve">Moura, M., S. Smith, and D. Belzer, </w:t>
      </w:r>
      <w:r w:rsidRPr="0004567C">
        <w:rPr>
          <w:i/>
        </w:rPr>
        <w:t>120 Years of U.S. Residential Housing Stock and Floor Space.</w:t>
      </w:r>
      <w:r w:rsidRPr="0004567C">
        <w:t xml:space="preserve"> PLOS ONE, 2015. </w:t>
      </w:r>
      <w:r w:rsidRPr="0004567C">
        <w:rPr>
          <w:b/>
        </w:rPr>
        <w:t>10</w:t>
      </w:r>
      <w:r w:rsidRPr="0004567C">
        <w:t>(8): p. e0134135.</w:t>
      </w:r>
    </w:p>
    <w:p w14:paraId="723C41F8" w14:textId="77777777" w:rsidR="0004567C" w:rsidRPr="0004567C" w:rsidRDefault="0004567C" w:rsidP="0004567C">
      <w:pPr>
        <w:pStyle w:val="EndNoteBibliography"/>
        <w:spacing w:after="0"/>
        <w:ind w:left="720" w:hanging="720"/>
      </w:pPr>
      <w:r w:rsidRPr="0004567C">
        <w:t>4.</w:t>
      </w:r>
      <w:r w:rsidRPr="0004567C">
        <w:tab/>
        <w:t xml:space="preserve">Styles, D., H. Schönberger, and J. Galvez Martos, </w:t>
      </w:r>
      <w:r w:rsidRPr="0004567C">
        <w:rPr>
          <w:i/>
        </w:rPr>
        <w:t>Best Environmental Management Practice in the Tourism Sector</w:t>
      </w:r>
      <w:r w:rsidRPr="0004567C">
        <w:t>. 2017, European Commission.</w:t>
      </w:r>
    </w:p>
    <w:p w14:paraId="2CDB90A7" w14:textId="77777777" w:rsidR="0004567C" w:rsidRPr="0004567C" w:rsidRDefault="0004567C" w:rsidP="0004567C">
      <w:pPr>
        <w:pStyle w:val="EndNoteBibliography"/>
        <w:spacing w:after="0"/>
        <w:ind w:left="720" w:hanging="720"/>
      </w:pPr>
      <w:r w:rsidRPr="0004567C">
        <w:lastRenderedPageBreak/>
        <w:t>5.</w:t>
      </w:r>
      <w:r w:rsidRPr="0004567C">
        <w:tab/>
        <w:t xml:space="preserve">Millward-Hopkins, J., et al., </w:t>
      </w:r>
      <w:r w:rsidRPr="0004567C">
        <w:rPr>
          <w:i/>
        </w:rPr>
        <w:t>Providing Decent Living with Minimum Energy: A Global Scenario.</w:t>
      </w:r>
      <w:r w:rsidRPr="0004567C">
        <w:t xml:space="preserve"> Global Environmental Change, 2020. </w:t>
      </w:r>
      <w:r w:rsidRPr="0004567C">
        <w:rPr>
          <w:b/>
        </w:rPr>
        <w:t>65</w:t>
      </w:r>
      <w:r w:rsidRPr="0004567C">
        <w:t>: p. 102168.</w:t>
      </w:r>
    </w:p>
    <w:p w14:paraId="548CAE4D" w14:textId="77777777" w:rsidR="0004567C" w:rsidRPr="0004567C" w:rsidRDefault="0004567C" w:rsidP="0004567C">
      <w:pPr>
        <w:pStyle w:val="EndNoteBibliography"/>
        <w:spacing w:after="0"/>
        <w:ind w:left="720" w:hanging="720"/>
      </w:pPr>
      <w:r w:rsidRPr="0004567C">
        <w:t>6.</w:t>
      </w:r>
      <w:r w:rsidRPr="0004567C">
        <w:tab/>
        <w:t xml:space="preserve">IEA, </w:t>
      </w:r>
      <w:r w:rsidRPr="0004567C">
        <w:rPr>
          <w:i/>
        </w:rPr>
        <w:t xml:space="preserve">Energy Technology Perspectives 2017: Catalysing Energy Technology Transformations </w:t>
      </w:r>
      <w:r w:rsidRPr="0004567C">
        <w:t>2017, OECD/IEA.</w:t>
      </w:r>
    </w:p>
    <w:p w14:paraId="49D7D7E0" w14:textId="77777777" w:rsidR="0004567C" w:rsidRPr="0004567C" w:rsidRDefault="0004567C" w:rsidP="0004567C">
      <w:pPr>
        <w:pStyle w:val="EndNoteBibliography"/>
        <w:spacing w:after="0"/>
        <w:ind w:left="720" w:hanging="720"/>
      </w:pPr>
      <w:r w:rsidRPr="0004567C">
        <w:t>7.</w:t>
      </w:r>
      <w:r w:rsidRPr="0004567C">
        <w:tab/>
        <w:t xml:space="preserve">Otto, I.M., et al., </w:t>
      </w:r>
      <w:r w:rsidRPr="0004567C">
        <w:rPr>
          <w:i/>
        </w:rPr>
        <w:t>Shift the focus from the super-poor to the super-rich.</w:t>
      </w:r>
      <w:r w:rsidRPr="0004567C">
        <w:t xml:space="preserve"> Nature Climate Change, 2019. </w:t>
      </w:r>
      <w:r w:rsidRPr="0004567C">
        <w:rPr>
          <w:b/>
        </w:rPr>
        <w:t>9</w:t>
      </w:r>
      <w:r w:rsidRPr="0004567C">
        <w:t>(2): p. 82-84.</w:t>
      </w:r>
    </w:p>
    <w:p w14:paraId="5D853D85" w14:textId="77777777" w:rsidR="0004567C" w:rsidRPr="0004567C" w:rsidRDefault="0004567C" w:rsidP="0004567C">
      <w:pPr>
        <w:pStyle w:val="EndNoteBibliography"/>
        <w:spacing w:after="0"/>
        <w:ind w:left="720" w:hanging="720"/>
      </w:pPr>
      <w:r w:rsidRPr="0004567C">
        <w:t>8.</w:t>
      </w:r>
      <w:r w:rsidRPr="0004567C">
        <w:tab/>
        <w:t xml:space="preserve">Vollset, S.E., et al., </w:t>
      </w:r>
      <w:r w:rsidRPr="0004567C">
        <w:rPr>
          <w:i/>
        </w:rPr>
        <w:t>Fertility, mortality, migration, and population scenarios for 195 countries and territories from 2017 to 2100: a forecasting analysis for the Global Burden of Disease Study.</w:t>
      </w:r>
      <w:r w:rsidRPr="0004567C">
        <w:t xml:space="preserve"> The Lancet, 2020. </w:t>
      </w:r>
      <w:r w:rsidRPr="0004567C">
        <w:rPr>
          <w:b/>
        </w:rPr>
        <w:t>396</w:t>
      </w:r>
      <w:r w:rsidRPr="0004567C">
        <w:t>(10258): p. 1285-1306.</w:t>
      </w:r>
    </w:p>
    <w:p w14:paraId="61911603" w14:textId="77777777" w:rsidR="0004567C" w:rsidRPr="0004567C" w:rsidRDefault="0004567C" w:rsidP="0004567C">
      <w:pPr>
        <w:pStyle w:val="EndNoteBibliography"/>
        <w:spacing w:after="0"/>
        <w:ind w:left="720" w:hanging="720"/>
      </w:pPr>
      <w:r w:rsidRPr="0004567C">
        <w:t>9.</w:t>
      </w:r>
      <w:r w:rsidRPr="0004567C">
        <w:tab/>
        <w:t xml:space="preserve">Bradshaw, C.J.A. and B.W. Brook, </w:t>
      </w:r>
      <w:r w:rsidRPr="0004567C">
        <w:rPr>
          <w:i/>
        </w:rPr>
        <w:t>Human population reduction is not a quick fix for environmental problems.</w:t>
      </w:r>
      <w:r w:rsidRPr="0004567C">
        <w:t xml:space="preserve"> Proceedings of the National Academy of Sciences, 2014. </w:t>
      </w:r>
      <w:r w:rsidRPr="0004567C">
        <w:rPr>
          <w:b/>
        </w:rPr>
        <w:t>111</w:t>
      </w:r>
      <w:r w:rsidRPr="0004567C">
        <w:t>(46): p. 16610.</w:t>
      </w:r>
    </w:p>
    <w:p w14:paraId="0D104022" w14:textId="77777777" w:rsidR="0004567C" w:rsidRPr="0004567C" w:rsidRDefault="0004567C" w:rsidP="0004567C">
      <w:pPr>
        <w:pStyle w:val="EndNoteBibliography"/>
        <w:spacing w:after="0"/>
        <w:ind w:left="720" w:hanging="720"/>
      </w:pPr>
      <w:r w:rsidRPr="0004567C">
        <w:t>10.</w:t>
      </w:r>
      <w:r w:rsidRPr="0004567C">
        <w:tab/>
        <w:t xml:space="preserve">Abel, G.J., et al., </w:t>
      </w:r>
      <w:r w:rsidRPr="0004567C">
        <w:rPr>
          <w:i/>
        </w:rPr>
        <w:t>Meeting the Sustainable Development Goals leads to lower world population growth.</w:t>
      </w:r>
      <w:r w:rsidRPr="0004567C">
        <w:t xml:space="preserve"> Proceedings of the National Academy of Sciences, 2016. </w:t>
      </w:r>
      <w:r w:rsidRPr="0004567C">
        <w:rPr>
          <w:b/>
        </w:rPr>
        <w:t>113</w:t>
      </w:r>
      <w:r w:rsidRPr="0004567C">
        <w:t>(50): p. 14294-14299.</w:t>
      </w:r>
    </w:p>
    <w:p w14:paraId="4A206A9C" w14:textId="77777777" w:rsidR="0004567C" w:rsidRPr="0004567C" w:rsidRDefault="0004567C" w:rsidP="0004567C">
      <w:pPr>
        <w:pStyle w:val="EndNoteBibliography"/>
        <w:spacing w:after="0"/>
        <w:ind w:left="720" w:hanging="720"/>
      </w:pPr>
      <w:r w:rsidRPr="0004567C">
        <w:t>11.</w:t>
      </w:r>
      <w:r w:rsidRPr="0004567C">
        <w:tab/>
        <w:t xml:space="preserve">Kc, S. and W. Lutz, </w:t>
      </w:r>
      <w:r w:rsidRPr="0004567C">
        <w:rPr>
          <w:i/>
        </w:rPr>
        <w:t>The human core of the shared socioeconomic pathways: Population scenarios by age, sex and level of education for all countries to 2100.</w:t>
      </w:r>
      <w:r w:rsidRPr="0004567C">
        <w:t xml:space="preserve"> Global Environmental Change, 2017. </w:t>
      </w:r>
      <w:r w:rsidRPr="0004567C">
        <w:rPr>
          <w:b/>
        </w:rPr>
        <w:t>42</w:t>
      </w:r>
      <w:r w:rsidRPr="0004567C">
        <w:t>: p. 181-192.</w:t>
      </w:r>
    </w:p>
    <w:p w14:paraId="34C87B17" w14:textId="77777777" w:rsidR="0004567C" w:rsidRPr="0004567C" w:rsidRDefault="0004567C" w:rsidP="0004567C">
      <w:pPr>
        <w:pStyle w:val="EndNoteBibliography"/>
        <w:spacing w:after="0"/>
        <w:ind w:left="720" w:hanging="720"/>
      </w:pPr>
      <w:r w:rsidRPr="0004567C">
        <w:t>12.</w:t>
      </w:r>
      <w:r w:rsidRPr="0004567C">
        <w:tab/>
        <w:t xml:space="preserve">Pellegrini, P. and R.J. Fernández, </w:t>
      </w:r>
      <w:r w:rsidRPr="0004567C">
        <w:rPr>
          <w:i/>
        </w:rPr>
        <w:t>Crop intensification, land use, and on-farm energy-use efficiency during the worldwide spread of the green revolution.</w:t>
      </w:r>
      <w:r w:rsidRPr="0004567C">
        <w:t xml:space="preserve"> Proceedings of the National Academy of Sciences, 2018. </w:t>
      </w:r>
      <w:r w:rsidRPr="0004567C">
        <w:rPr>
          <w:b/>
        </w:rPr>
        <w:t>115</w:t>
      </w:r>
      <w:r w:rsidRPr="0004567C">
        <w:t>(10): p. 2335-2340.</w:t>
      </w:r>
    </w:p>
    <w:p w14:paraId="043099E2" w14:textId="77777777" w:rsidR="0004567C" w:rsidRPr="0004567C" w:rsidRDefault="0004567C" w:rsidP="0004567C">
      <w:pPr>
        <w:pStyle w:val="EndNoteBibliography"/>
        <w:spacing w:after="0"/>
        <w:ind w:left="720" w:hanging="720"/>
      </w:pPr>
      <w:r w:rsidRPr="0004567C">
        <w:t>13.</w:t>
      </w:r>
      <w:r w:rsidRPr="0004567C">
        <w:tab/>
        <w:t xml:space="preserve">Cullen, J.M., J.M. Allwood, and E.H. Borgstein, </w:t>
      </w:r>
      <w:r w:rsidRPr="0004567C">
        <w:rPr>
          <w:i/>
        </w:rPr>
        <w:t>Reducing Energy Demand: What Are the Practical Limits?</w:t>
      </w:r>
      <w:r w:rsidRPr="0004567C">
        <w:t xml:space="preserve"> Environmental Science &amp; Technology, 2011. </w:t>
      </w:r>
      <w:r w:rsidRPr="0004567C">
        <w:rPr>
          <w:b/>
        </w:rPr>
        <w:t>45</w:t>
      </w:r>
      <w:r w:rsidRPr="0004567C">
        <w:t>(4): p. 1711-1718.</w:t>
      </w:r>
    </w:p>
    <w:p w14:paraId="36353300" w14:textId="77777777" w:rsidR="0004567C" w:rsidRPr="0004567C" w:rsidRDefault="0004567C" w:rsidP="0004567C">
      <w:pPr>
        <w:pStyle w:val="EndNoteBibliography"/>
        <w:spacing w:after="0"/>
        <w:ind w:left="720" w:hanging="720"/>
      </w:pPr>
      <w:r w:rsidRPr="0004567C">
        <w:t>14.</w:t>
      </w:r>
      <w:r w:rsidRPr="0004567C">
        <w:tab/>
        <w:t xml:space="preserve">GBPN, </w:t>
      </w:r>
      <w:r w:rsidRPr="0004567C">
        <w:rPr>
          <w:i/>
        </w:rPr>
        <w:t>Tool for Building Energy Performance Scenarios</w:t>
      </w:r>
      <w:r w:rsidRPr="0004567C">
        <w:t>, G.B.P. Network, Editor. 2012: Centre for Climate Change and Sustainable Energy Policy (3CSEP), Central European University.</w:t>
      </w:r>
    </w:p>
    <w:p w14:paraId="5CC12CA8" w14:textId="77777777" w:rsidR="0004567C" w:rsidRPr="0004567C" w:rsidRDefault="0004567C" w:rsidP="0004567C">
      <w:pPr>
        <w:pStyle w:val="EndNoteBibliography"/>
        <w:spacing w:after="0"/>
        <w:ind w:left="720" w:hanging="720"/>
      </w:pPr>
      <w:r w:rsidRPr="0004567C">
        <w:t>15.</w:t>
      </w:r>
      <w:r w:rsidRPr="0004567C">
        <w:tab/>
        <w:t xml:space="preserve">Sartori, I. and A.G. Hestnes, </w:t>
      </w:r>
      <w:r w:rsidRPr="0004567C">
        <w:rPr>
          <w:i/>
        </w:rPr>
        <w:t>Energy use in the life cycle of conventional and low-energy buildings: A review article.</w:t>
      </w:r>
      <w:r w:rsidRPr="0004567C">
        <w:t xml:space="preserve"> Energy and Buildings, 2007. </w:t>
      </w:r>
      <w:r w:rsidRPr="0004567C">
        <w:rPr>
          <w:b/>
        </w:rPr>
        <w:t>39</w:t>
      </w:r>
      <w:r w:rsidRPr="0004567C">
        <w:t>(3): p. 249-257.</w:t>
      </w:r>
    </w:p>
    <w:p w14:paraId="2AB4F801" w14:textId="77777777" w:rsidR="0004567C" w:rsidRPr="0004567C" w:rsidRDefault="0004567C" w:rsidP="0004567C">
      <w:pPr>
        <w:pStyle w:val="EndNoteBibliography"/>
        <w:spacing w:after="0"/>
        <w:ind w:left="720" w:hanging="720"/>
      </w:pPr>
      <w:r w:rsidRPr="0004567C">
        <w:t>16.</w:t>
      </w:r>
      <w:r w:rsidRPr="0004567C">
        <w:tab/>
        <w:t xml:space="preserve">Onat, N.C., M. Kucukvar, and O. Tatari, </w:t>
      </w:r>
      <w:r w:rsidRPr="0004567C">
        <w:rPr>
          <w:i/>
        </w:rPr>
        <w:t>Conventional, hybrid, plug-in hybrid or electric vehicles? State-based comparative carbon and energy footprint analysis in the United States.</w:t>
      </w:r>
      <w:r w:rsidRPr="0004567C">
        <w:t xml:space="preserve"> Applied Energy, 2015. </w:t>
      </w:r>
      <w:r w:rsidRPr="0004567C">
        <w:rPr>
          <w:b/>
        </w:rPr>
        <w:t>150</w:t>
      </w:r>
      <w:r w:rsidRPr="0004567C">
        <w:t>: p. 36-49.</w:t>
      </w:r>
    </w:p>
    <w:p w14:paraId="729646C1" w14:textId="77777777" w:rsidR="0004567C" w:rsidRPr="0004567C" w:rsidRDefault="0004567C" w:rsidP="0004567C">
      <w:pPr>
        <w:pStyle w:val="EndNoteBibliography"/>
        <w:spacing w:after="0"/>
        <w:ind w:left="720" w:hanging="720"/>
      </w:pPr>
      <w:r w:rsidRPr="0004567C">
        <w:t>17.</w:t>
      </w:r>
      <w:r w:rsidRPr="0004567C">
        <w:tab/>
        <w:t xml:space="preserve">Chester, M., et al., </w:t>
      </w:r>
      <w:r w:rsidRPr="0004567C">
        <w:rPr>
          <w:i/>
        </w:rPr>
        <w:t>Infrastructure and automobile shifts: positioning transit to reduce life-cycle environmental impacts for urban sustainability goals.</w:t>
      </w:r>
      <w:r w:rsidRPr="0004567C">
        <w:t xml:space="preserve"> Environmental Research Letters, 2013. </w:t>
      </w:r>
      <w:r w:rsidRPr="0004567C">
        <w:rPr>
          <w:b/>
        </w:rPr>
        <w:t>8</w:t>
      </w:r>
      <w:r w:rsidRPr="0004567C">
        <w:t>(1): p. 015041.</w:t>
      </w:r>
    </w:p>
    <w:p w14:paraId="1DA20F2B" w14:textId="77777777" w:rsidR="0004567C" w:rsidRPr="0004567C" w:rsidRDefault="0004567C" w:rsidP="0004567C">
      <w:pPr>
        <w:pStyle w:val="EndNoteBibliography"/>
        <w:spacing w:after="0"/>
        <w:ind w:left="720" w:hanging="720"/>
      </w:pPr>
      <w:r w:rsidRPr="0004567C">
        <w:t>18.</w:t>
      </w:r>
      <w:r w:rsidRPr="0004567C">
        <w:tab/>
        <w:t xml:space="preserve">Chester, M. and A. Horvath, </w:t>
      </w:r>
      <w:r w:rsidRPr="0004567C">
        <w:rPr>
          <w:i/>
        </w:rPr>
        <w:t>High-speed rail with emerging automobiles and aircraft can reduce environmental impacts in California’s future.</w:t>
      </w:r>
      <w:r w:rsidRPr="0004567C">
        <w:t xml:space="preserve"> Environmental Research Letters, 2012. </w:t>
      </w:r>
      <w:r w:rsidRPr="0004567C">
        <w:rPr>
          <w:b/>
        </w:rPr>
        <w:t>7</w:t>
      </w:r>
      <w:r w:rsidRPr="0004567C">
        <w:t>(3): p. 034012.</w:t>
      </w:r>
    </w:p>
    <w:p w14:paraId="6523EE1C" w14:textId="77777777" w:rsidR="0004567C" w:rsidRPr="0004567C" w:rsidRDefault="0004567C" w:rsidP="0004567C">
      <w:pPr>
        <w:pStyle w:val="EndNoteBibliography"/>
        <w:spacing w:after="0"/>
        <w:ind w:left="720" w:hanging="720"/>
      </w:pPr>
      <w:r w:rsidRPr="0004567C">
        <w:t>19.</w:t>
      </w:r>
      <w:r w:rsidRPr="0004567C">
        <w:tab/>
        <w:t xml:space="preserve">Cox, B., et al., </w:t>
      </w:r>
      <w:r w:rsidRPr="0004567C">
        <w:rPr>
          <w:i/>
        </w:rPr>
        <w:t>Uncertain Environmental Footprint of Current and Future Battery Electric Vehicles.</w:t>
      </w:r>
      <w:r w:rsidRPr="0004567C">
        <w:t xml:space="preserve"> Environmental Science &amp; Technology, 2018. </w:t>
      </w:r>
      <w:r w:rsidRPr="0004567C">
        <w:rPr>
          <w:b/>
        </w:rPr>
        <w:t>52</w:t>
      </w:r>
      <w:r w:rsidRPr="0004567C">
        <w:t>(8): p. 4989-4995.</w:t>
      </w:r>
    </w:p>
    <w:p w14:paraId="6FFBD81E" w14:textId="77777777" w:rsidR="0004567C" w:rsidRPr="0004567C" w:rsidRDefault="0004567C" w:rsidP="0004567C">
      <w:pPr>
        <w:pStyle w:val="EndNoteBibliography"/>
        <w:spacing w:after="0"/>
        <w:ind w:left="720" w:hanging="720"/>
      </w:pPr>
      <w:r w:rsidRPr="0004567C">
        <w:t>20.</w:t>
      </w:r>
      <w:r w:rsidRPr="0004567C">
        <w:tab/>
        <w:t xml:space="preserve">Lajunen, A., </w:t>
      </w:r>
      <w:r w:rsidRPr="0004567C">
        <w:rPr>
          <w:i/>
        </w:rPr>
        <w:t>Lifecycle costs and charging requirements of electric buses with different charging methods.</w:t>
      </w:r>
      <w:r w:rsidRPr="0004567C">
        <w:t xml:space="preserve"> Journal of Cleaner Production, 2018. </w:t>
      </w:r>
      <w:r w:rsidRPr="0004567C">
        <w:rPr>
          <w:b/>
        </w:rPr>
        <w:t>172</w:t>
      </w:r>
      <w:r w:rsidRPr="0004567C">
        <w:t>: p. 56-67.</w:t>
      </w:r>
    </w:p>
    <w:p w14:paraId="73EECE60" w14:textId="77777777" w:rsidR="0004567C" w:rsidRPr="0004567C" w:rsidRDefault="0004567C" w:rsidP="0004567C">
      <w:pPr>
        <w:pStyle w:val="EndNoteBibliography"/>
        <w:spacing w:after="0"/>
        <w:ind w:left="720" w:hanging="720"/>
      </w:pPr>
      <w:r w:rsidRPr="0004567C">
        <w:t>21.</w:t>
      </w:r>
      <w:r w:rsidRPr="0004567C">
        <w:tab/>
        <w:t xml:space="preserve">Lajunen, A. and T. Lipman, </w:t>
      </w:r>
      <w:r w:rsidRPr="0004567C">
        <w:rPr>
          <w:i/>
        </w:rPr>
        <w:t>Lifecycle cost assessment and carbon dioxide emissions of diesel, natural gas, hybrid electric, fuel cell hybrid and electric transit buses.</w:t>
      </w:r>
      <w:r w:rsidRPr="0004567C">
        <w:t xml:space="preserve"> Energy, 2016. </w:t>
      </w:r>
      <w:r w:rsidRPr="0004567C">
        <w:rPr>
          <w:b/>
        </w:rPr>
        <w:t>106</w:t>
      </w:r>
      <w:r w:rsidRPr="0004567C">
        <w:t>: p. 329-342.</w:t>
      </w:r>
    </w:p>
    <w:p w14:paraId="08D22278" w14:textId="77777777" w:rsidR="0004567C" w:rsidRPr="0004567C" w:rsidRDefault="0004567C" w:rsidP="0004567C">
      <w:pPr>
        <w:pStyle w:val="EndNoteBibliography"/>
        <w:spacing w:after="0"/>
        <w:ind w:left="720" w:hanging="720"/>
      </w:pPr>
      <w:r w:rsidRPr="0004567C">
        <w:t>22.</w:t>
      </w:r>
      <w:r w:rsidRPr="0004567C">
        <w:tab/>
        <w:t xml:space="preserve">Peeters, P., J. Middel, and A. Hoolhorst, </w:t>
      </w:r>
      <w:r w:rsidRPr="0004567C">
        <w:rPr>
          <w:i/>
        </w:rPr>
        <w:t>Fuel efficiency of commercial aircraft: An overview of historical and future trends</w:t>
      </w:r>
      <w:r w:rsidRPr="0004567C">
        <w:t>. 2005, National Aerospace Laboratory, the Netherlands.</w:t>
      </w:r>
    </w:p>
    <w:p w14:paraId="1B7D2F0E" w14:textId="77777777" w:rsidR="0004567C" w:rsidRPr="0004567C" w:rsidRDefault="0004567C" w:rsidP="0004567C">
      <w:pPr>
        <w:pStyle w:val="EndNoteBibliography"/>
        <w:spacing w:after="0"/>
        <w:ind w:left="720" w:hanging="720"/>
      </w:pPr>
      <w:r w:rsidRPr="0004567C">
        <w:t>23.</w:t>
      </w:r>
      <w:r w:rsidRPr="0004567C">
        <w:tab/>
        <w:t xml:space="preserve">Allwood, J., et al., </w:t>
      </w:r>
      <w:r w:rsidRPr="0004567C">
        <w:rPr>
          <w:i/>
        </w:rPr>
        <w:t>Sustainable materials: with both eyes open</w:t>
      </w:r>
      <w:r w:rsidRPr="0004567C">
        <w:t>. 2012: Citeseer.</w:t>
      </w:r>
    </w:p>
    <w:p w14:paraId="19B9E048" w14:textId="77777777" w:rsidR="0004567C" w:rsidRPr="0004567C" w:rsidRDefault="0004567C" w:rsidP="0004567C">
      <w:pPr>
        <w:pStyle w:val="EndNoteBibliography"/>
        <w:spacing w:after="0"/>
        <w:ind w:left="720" w:hanging="720"/>
      </w:pPr>
      <w:r w:rsidRPr="0004567C">
        <w:t>24.</w:t>
      </w:r>
      <w:r w:rsidRPr="0004567C">
        <w:tab/>
        <w:t xml:space="preserve">Hertwich, E.G., et al., </w:t>
      </w:r>
      <w:r w:rsidRPr="0004567C">
        <w:rPr>
          <w:i/>
        </w:rPr>
        <w:t>Integrated life-cycle assessment of electricity-supply scenarios confirms global environmental benefit of low-carbon technologies.</w:t>
      </w:r>
      <w:r w:rsidRPr="0004567C">
        <w:t xml:space="preserve"> Proceedings of the National Academy of Sciences, 2015. </w:t>
      </w:r>
      <w:r w:rsidRPr="0004567C">
        <w:rPr>
          <w:b/>
        </w:rPr>
        <w:t>112</w:t>
      </w:r>
      <w:r w:rsidRPr="0004567C">
        <w:t>(20): p. 6277-6282.</w:t>
      </w:r>
    </w:p>
    <w:p w14:paraId="58BF0F80" w14:textId="665FA89A" w:rsidR="00471E07" w:rsidRPr="00471E07" w:rsidRDefault="0004567C" w:rsidP="000D1AC6">
      <w:pPr>
        <w:pStyle w:val="EndNoteBibliography"/>
        <w:ind w:left="720" w:hanging="720"/>
      </w:pPr>
      <w:r w:rsidRPr="0004567C">
        <w:t>25.</w:t>
      </w:r>
      <w:r w:rsidRPr="0004567C">
        <w:tab/>
        <w:t xml:space="preserve">Williams, E., </w:t>
      </w:r>
      <w:r w:rsidRPr="0004567C">
        <w:rPr>
          <w:i/>
        </w:rPr>
        <w:t>Environmental effects of information and communications technologies.</w:t>
      </w:r>
      <w:r w:rsidRPr="0004567C">
        <w:t xml:space="preserve"> Nature, 2011. </w:t>
      </w:r>
      <w:r w:rsidRPr="0004567C">
        <w:rPr>
          <w:b/>
        </w:rPr>
        <w:t>479</w:t>
      </w:r>
      <w:r w:rsidRPr="0004567C">
        <w:t>: p. 354.</w:t>
      </w:r>
      <w:r w:rsidR="00541C9A">
        <w:fldChar w:fldCharType="end"/>
      </w:r>
    </w:p>
    <w:sectPr w:rsidR="00471E07" w:rsidRPr="00471E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232C3" w14:textId="77777777" w:rsidR="00274190" w:rsidRDefault="00274190" w:rsidP="00477F95">
      <w:pPr>
        <w:spacing w:after="0" w:line="240" w:lineRule="auto"/>
      </w:pPr>
      <w:r>
        <w:separator/>
      </w:r>
    </w:p>
  </w:endnote>
  <w:endnote w:type="continuationSeparator" w:id="0">
    <w:p w14:paraId="02A40A31" w14:textId="77777777" w:rsidR="00274190" w:rsidRDefault="00274190" w:rsidP="00477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CC449" w14:textId="77777777" w:rsidR="00274190" w:rsidRDefault="00274190" w:rsidP="00477F95">
      <w:pPr>
        <w:spacing w:after="0" w:line="240" w:lineRule="auto"/>
      </w:pPr>
      <w:r>
        <w:separator/>
      </w:r>
    </w:p>
  </w:footnote>
  <w:footnote w:type="continuationSeparator" w:id="0">
    <w:p w14:paraId="7BD04C11" w14:textId="77777777" w:rsidR="00274190" w:rsidRDefault="00274190" w:rsidP="00477F95">
      <w:pPr>
        <w:spacing w:after="0" w:line="240" w:lineRule="auto"/>
      </w:pPr>
      <w:r>
        <w:continuationSeparator/>
      </w:r>
    </w:p>
  </w:footnote>
  <w:footnote w:id="1">
    <w:p w14:paraId="7BE1E1D3" w14:textId="77777777" w:rsidR="00274190" w:rsidRPr="00477F95" w:rsidRDefault="00274190">
      <w:pPr>
        <w:pStyle w:val="FootnoteText"/>
        <w:rPr>
          <w:sz w:val="18"/>
          <w:szCs w:val="18"/>
        </w:rPr>
      </w:pPr>
      <w:r w:rsidRPr="00477F95">
        <w:rPr>
          <w:rStyle w:val="FootnoteReference"/>
          <w:sz w:val="16"/>
          <w:szCs w:val="18"/>
        </w:rPr>
        <w:footnoteRef/>
      </w:r>
      <w:r w:rsidRPr="00477F95">
        <w:rPr>
          <w:sz w:val="16"/>
          <w:szCs w:val="18"/>
        </w:rPr>
        <w:t xml:space="preserve"> This 1,500 kcal comes from downscaling a food supply of 3,300 kcal/cap/day, which is given in the FAO food balances, by assuming 20% is uncooked food waste, 33% of food is consumed outside the home, and 20% of remaining consumption is not cooked.</w:t>
      </w:r>
    </w:p>
  </w:footnote>
  <w:footnote w:id="2">
    <w:p w14:paraId="23A16380" w14:textId="77777777" w:rsidR="00274190" w:rsidRDefault="00274190">
      <w:pPr>
        <w:pStyle w:val="FootnoteText"/>
      </w:pPr>
      <w:r w:rsidRPr="000072E5">
        <w:rPr>
          <w:rStyle w:val="FootnoteReference"/>
          <w:sz w:val="18"/>
        </w:rPr>
        <w:footnoteRef/>
      </w:r>
      <w:r w:rsidRPr="000072E5">
        <w:rPr>
          <w:sz w:val="18"/>
        </w:rPr>
        <w:t xml:space="preserve"> They report 2.4 MJ/km of primary energy per vehicle, which converts to 0.33 MJ/pkm of final energy assuming an occupancy rate of 3</w:t>
      </w:r>
      <w:r>
        <w:rPr>
          <w:sz w:val="18"/>
        </w:rPr>
        <w:t>.</w:t>
      </w:r>
    </w:p>
  </w:footnote>
  <w:footnote w:id="3">
    <w:p w14:paraId="0172E51E" w14:textId="77777777" w:rsidR="00274190" w:rsidRDefault="00274190">
      <w:pPr>
        <w:pStyle w:val="FootnoteText"/>
      </w:pPr>
      <w:r w:rsidRPr="00720D67">
        <w:rPr>
          <w:rStyle w:val="FootnoteReference"/>
          <w:sz w:val="18"/>
        </w:rPr>
        <w:footnoteRef/>
      </w:r>
      <w:r w:rsidRPr="00720D67">
        <w:rPr>
          <w:sz w:val="18"/>
        </w:rPr>
        <w:t xml:space="preserve"> </w:t>
      </w:r>
      <w:r>
        <w:rPr>
          <w:sz w:val="18"/>
        </w:rPr>
        <w:t xml:space="preserve">Their </w:t>
      </w:r>
      <w:r w:rsidRPr="00720D67">
        <w:rPr>
          <w:sz w:val="18"/>
        </w:rPr>
        <w:t xml:space="preserve">data implies </w:t>
      </w:r>
      <w:r>
        <w:rPr>
          <w:sz w:val="18"/>
        </w:rPr>
        <w:t>around</w:t>
      </w:r>
      <w:r w:rsidRPr="00720D67">
        <w:rPr>
          <w:sz w:val="18"/>
        </w:rPr>
        <w:t xml:space="preserve"> 50 MJ/pkm </w:t>
      </w:r>
      <w:r>
        <w:rPr>
          <w:sz w:val="18"/>
        </w:rPr>
        <w:t xml:space="preserve">assuming </w:t>
      </w:r>
      <w:r w:rsidRPr="00720D67">
        <w:rPr>
          <w:sz w:val="18"/>
        </w:rPr>
        <w:t xml:space="preserve">an occupancy </w:t>
      </w:r>
      <w:r>
        <w:rPr>
          <w:sz w:val="18"/>
        </w:rPr>
        <w:t xml:space="preserve">rate </w:t>
      </w:r>
      <w:r w:rsidRPr="00720D67">
        <w:rPr>
          <w:sz w:val="18"/>
        </w:rPr>
        <w:t>of 3</w:t>
      </w:r>
      <w:r>
        <w:rPr>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3017"/>
    <w:multiLevelType w:val="hybridMultilevel"/>
    <w:tmpl w:val="26E22D24"/>
    <w:lvl w:ilvl="0" w:tplc="078262B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C6D77"/>
    <w:multiLevelType w:val="hybridMultilevel"/>
    <w:tmpl w:val="EAD48A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945FD5"/>
    <w:multiLevelType w:val="hybridMultilevel"/>
    <w:tmpl w:val="98C43D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3802F0"/>
    <w:multiLevelType w:val="hybridMultilevel"/>
    <w:tmpl w:val="A6DE13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EA749B8"/>
    <w:multiLevelType w:val="hybridMultilevel"/>
    <w:tmpl w:val="EAD48A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98A0A22"/>
    <w:multiLevelType w:val="hybridMultilevel"/>
    <w:tmpl w:val="E5F812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A74980"/>
    <w:multiLevelType w:val="hybridMultilevel"/>
    <w:tmpl w:val="01E87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552D05"/>
    <w:multiLevelType w:val="hybridMultilevel"/>
    <w:tmpl w:val="57C80F86"/>
    <w:lvl w:ilvl="0" w:tplc="F0A0CFE8">
      <w:start w:val="1"/>
      <w:numFmt w:val="decimal"/>
      <w:lvlText w:val="%1."/>
      <w:lvlJc w:val="left"/>
      <w:pPr>
        <w:ind w:left="360" w:hanging="360"/>
      </w:pPr>
      <w:rPr>
        <w:sz w:val="21"/>
        <w:szCs w:val="2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A7A2B3D"/>
    <w:multiLevelType w:val="hybridMultilevel"/>
    <w:tmpl w:val="C400C870"/>
    <w:lvl w:ilvl="0" w:tplc="0E02C0E6">
      <w:start w:val="1"/>
      <w:numFmt w:val="decimal"/>
      <w:lvlText w:val="%1."/>
      <w:lvlJc w:val="left"/>
      <w:pPr>
        <w:ind w:left="360" w:hanging="360"/>
      </w:pPr>
      <w:rPr>
        <w:sz w:val="21"/>
        <w:szCs w:val="2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E66A71"/>
    <w:multiLevelType w:val="hybridMultilevel"/>
    <w:tmpl w:val="E9423816"/>
    <w:lvl w:ilvl="0" w:tplc="FA38BEDA">
      <w:start w:val="1"/>
      <w:numFmt w:val="decimal"/>
      <w:lvlText w:val="%1."/>
      <w:lvlJc w:val="left"/>
      <w:pPr>
        <w:ind w:left="360" w:hanging="360"/>
      </w:pPr>
      <w:rPr>
        <w:sz w:val="21"/>
        <w:szCs w:val="2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FCB6602"/>
    <w:multiLevelType w:val="hybridMultilevel"/>
    <w:tmpl w:val="2A043046"/>
    <w:lvl w:ilvl="0" w:tplc="47FAA27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6"/>
  </w:num>
  <w:num w:numId="6">
    <w:abstractNumId w:val="0"/>
  </w:num>
  <w:num w:numId="7">
    <w:abstractNumId w:val="8"/>
  </w:num>
  <w:num w:numId="8">
    <w:abstractNumId w:val="9"/>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p9sxavnrpwwyeprv75wfdvdzzdv5x20asz&quot;&gt;EndNoteFull&lt;record-ids&gt;&lt;item&gt;765&lt;/item&gt;&lt;item&gt;851&lt;/item&gt;&lt;item&gt;863&lt;/item&gt;&lt;item&gt;945&lt;/item&gt;&lt;item&gt;979&lt;/item&gt;&lt;item&gt;1009&lt;/item&gt;&lt;item&gt;1019&lt;/item&gt;&lt;item&gt;1027&lt;/item&gt;&lt;item&gt;1065&lt;/item&gt;&lt;item&gt;1076&lt;/item&gt;&lt;item&gt;1077&lt;/item&gt;&lt;item&gt;1252&lt;/item&gt;&lt;item&gt;1268&lt;/item&gt;&lt;item&gt;1270&lt;/item&gt;&lt;item&gt;1273&lt;/item&gt;&lt;item&gt;1333&lt;/item&gt;&lt;item&gt;1449&lt;/item&gt;&lt;item&gt;1452&lt;/item&gt;&lt;item&gt;1453&lt;/item&gt;&lt;item&gt;1454&lt;/item&gt;&lt;item&gt;1455&lt;/item&gt;&lt;item&gt;1469&lt;/item&gt;&lt;item&gt;1470&lt;/item&gt;&lt;item&gt;1471&lt;/item&gt;&lt;item&gt;1472&lt;/item&gt;&lt;/record-ids&gt;&lt;/item&gt;&lt;/Libraries&gt;"/>
  </w:docVars>
  <w:rsids>
    <w:rsidRoot w:val="00AB0B65"/>
    <w:rsid w:val="00001CD2"/>
    <w:rsid w:val="000072E5"/>
    <w:rsid w:val="00022AD3"/>
    <w:rsid w:val="00044CEF"/>
    <w:rsid w:val="00045570"/>
    <w:rsid w:val="0004567C"/>
    <w:rsid w:val="0005205E"/>
    <w:rsid w:val="00053208"/>
    <w:rsid w:val="00065B7A"/>
    <w:rsid w:val="0007475A"/>
    <w:rsid w:val="00094CC6"/>
    <w:rsid w:val="000954F4"/>
    <w:rsid w:val="000A4A2D"/>
    <w:rsid w:val="000B3BC5"/>
    <w:rsid w:val="000C1B2A"/>
    <w:rsid w:val="000C6151"/>
    <w:rsid w:val="000D03DC"/>
    <w:rsid w:val="000D1AC6"/>
    <w:rsid w:val="000D2DC9"/>
    <w:rsid w:val="000D6022"/>
    <w:rsid w:val="000D782C"/>
    <w:rsid w:val="000E617D"/>
    <w:rsid w:val="000E7A87"/>
    <w:rsid w:val="000F0F46"/>
    <w:rsid w:val="000F4F27"/>
    <w:rsid w:val="000F58B6"/>
    <w:rsid w:val="000F72BF"/>
    <w:rsid w:val="00105456"/>
    <w:rsid w:val="001102A9"/>
    <w:rsid w:val="00114C38"/>
    <w:rsid w:val="001244AD"/>
    <w:rsid w:val="00132819"/>
    <w:rsid w:val="0013324F"/>
    <w:rsid w:val="0013518D"/>
    <w:rsid w:val="00136472"/>
    <w:rsid w:val="001365CB"/>
    <w:rsid w:val="00140077"/>
    <w:rsid w:val="0015253D"/>
    <w:rsid w:val="00152BDD"/>
    <w:rsid w:val="001579E3"/>
    <w:rsid w:val="00161974"/>
    <w:rsid w:val="0016593E"/>
    <w:rsid w:val="00170D26"/>
    <w:rsid w:val="0017412F"/>
    <w:rsid w:val="00180F55"/>
    <w:rsid w:val="001824EE"/>
    <w:rsid w:val="00184045"/>
    <w:rsid w:val="0019329C"/>
    <w:rsid w:val="0019506B"/>
    <w:rsid w:val="00196475"/>
    <w:rsid w:val="001A0506"/>
    <w:rsid w:val="001A45EE"/>
    <w:rsid w:val="001A5A5E"/>
    <w:rsid w:val="001B26A0"/>
    <w:rsid w:val="001B5F75"/>
    <w:rsid w:val="001B708D"/>
    <w:rsid w:val="001C1A6C"/>
    <w:rsid w:val="001C2F48"/>
    <w:rsid w:val="001C3973"/>
    <w:rsid w:val="001C4721"/>
    <w:rsid w:val="001C5DE2"/>
    <w:rsid w:val="001C6FE7"/>
    <w:rsid w:val="001D29B5"/>
    <w:rsid w:val="001D437D"/>
    <w:rsid w:val="001D6AA5"/>
    <w:rsid w:val="001D7819"/>
    <w:rsid w:val="001E1A55"/>
    <w:rsid w:val="001E6061"/>
    <w:rsid w:val="001F2996"/>
    <w:rsid w:val="001F3240"/>
    <w:rsid w:val="001F3C18"/>
    <w:rsid w:val="001F623E"/>
    <w:rsid w:val="001F7A85"/>
    <w:rsid w:val="00203348"/>
    <w:rsid w:val="00215128"/>
    <w:rsid w:val="0022199E"/>
    <w:rsid w:val="0022556C"/>
    <w:rsid w:val="00226902"/>
    <w:rsid w:val="00232183"/>
    <w:rsid w:val="00234880"/>
    <w:rsid w:val="0024356E"/>
    <w:rsid w:val="00251A21"/>
    <w:rsid w:val="002529FC"/>
    <w:rsid w:val="00252D9C"/>
    <w:rsid w:val="002561B8"/>
    <w:rsid w:val="002608BB"/>
    <w:rsid w:val="00261337"/>
    <w:rsid w:val="00273737"/>
    <w:rsid w:val="00274190"/>
    <w:rsid w:val="00283E88"/>
    <w:rsid w:val="0028730A"/>
    <w:rsid w:val="00293592"/>
    <w:rsid w:val="002A0BCD"/>
    <w:rsid w:val="002A4B31"/>
    <w:rsid w:val="002B3E62"/>
    <w:rsid w:val="002B76E2"/>
    <w:rsid w:val="002C169B"/>
    <w:rsid w:val="002C5019"/>
    <w:rsid w:val="002C66F3"/>
    <w:rsid w:val="002C6D6F"/>
    <w:rsid w:val="002D30FA"/>
    <w:rsid w:val="002D5962"/>
    <w:rsid w:val="002D5F6A"/>
    <w:rsid w:val="002D7273"/>
    <w:rsid w:val="002D7E6F"/>
    <w:rsid w:val="002E1A7E"/>
    <w:rsid w:val="002E23DB"/>
    <w:rsid w:val="002E61BD"/>
    <w:rsid w:val="002E65BA"/>
    <w:rsid w:val="002E6792"/>
    <w:rsid w:val="00301224"/>
    <w:rsid w:val="00312437"/>
    <w:rsid w:val="00316017"/>
    <w:rsid w:val="003232FA"/>
    <w:rsid w:val="00332168"/>
    <w:rsid w:val="00336593"/>
    <w:rsid w:val="00342AF3"/>
    <w:rsid w:val="00342FEB"/>
    <w:rsid w:val="003466E0"/>
    <w:rsid w:val="00346DD3"/>
    <w:rsid w:val="003522A0"/>
    <w:rsid w:val="0035789C"/>
    <w:rsid w:val="00364B76"/>
    <w:rsid w:val="00370CFB"/>
    <w:rsid w:val="00372B8E"/>
    <w:rsid w:val="00375C6D"/>
    <w:rsid w:val="0038122E"/>
    <w:rsid w:val="003858EA"/>
    <w:rsid w:val="00391B2F"/>
    <w:rsid w:val="00395912"/>
    <w:rsid w:val="003A3F3B"/>
    <w:rsid w:val="003A4852"/>
    <w:rsid w:val="003B343F"/>
    <w:rsid w:val="003B34F7"/>
    <w:rsid w:val="003C268C"/>
    <w:rsid w:val="003C4227"/>
    <w:rsid w:val="003C431C"/>
    <w:rsid w:val="003D1587"/>
    <w:rsid w:val="003D1BAC"/>
    <w:rsid w:val="003E3C90"/>
    <w:rsid w:val="003E4D2B"/>
    <w:rsid w:val="003E7572"/>
    <w:rsid w:val="003F0CBA"/>
    <w:rsid w:val="00426B83"/>
    <w:rsid w:val="004304DB"/>
    <w:rsid w:val="00433F05"/>
    <w:rsid w:val="00435574"/>
    <w:rsid w:val="00435D16"/>
    <w:rsid w:val="00441C84"/>
    <w:rsid w:val="00462BA1"/>
    <w:rsid w:val="004676B0"/>
    <w:rsid w:val="00471E07"/>
    <w:rsid w:val="0047662A"/>
    <w:rsid w:val="00477F95"/>
    <w:rsid w:val="004849BD"/>
    <w:rsid w:val="00487F16"/>
    <w:rsid w:val="00494FA8"/>
    <w:rsid w:val="00495AFA"/>
    <w:rsid w:val="00496286"/>
    <w:rsid w:val="004A6199"/>
    <w:rsid w:val="004B27CC"/>
    <w:rsid w:val="004C1511"/>
    <w:rsid w:val="004C5EFC"/>
    <w:rsid w:val="004E06C0"/>
    <w:rsid w:val="004F5FFC"/>
    <w:rsid w:val="004F5FFD"/>
    <w:rsid w:val="004F7666"/>
    <w:rsid w:val="00502A1B"/>
    <w:rsid w:val="005075BF"/>
    <w:rsid w:val="00513102"/>
    <w:rsid w:val="005170ED"/>
    <w:rsid w:val="005203EB"/>
    <w:rsid w:val="005211D9"/>
    <w:rsid w:val="00525CA8"/>
    <w:rsid w:val="00532105"/>
    <w:rsid w:val="00533F7E"/>
    <w:rsid w:val="00537721"/>
    <w:rsid w:val="00541C9A"/>
    <w:rsid w:val="00542563"/>
    <w:rsid w:val="00543706"/>
    <w:rsid w:val="00547282"/>
    <w:rsid w:val="005503C7"/>
    <w:rsid w:val="005523D1"/>
    <w:rsid w:val="00556C20"/>
    <w:rsid w:val="005571AF"/>
    <w:rsid w:val="00557F27"/>
    <w:rsid w:val="005600DE"/>
    <w:rsid w:val="00571AA9"/>
    <w:rsid w:val="0059147D"/>
    <w:rsid w:val="00591F95"/>
    <w:rsid w:val="005A21A4"/>
    <w:rsid w:val="005A42FA"/>
    <w:rsid w:val="005A6454"/>
    <w:rsid w:val="005B0A10"/>
    <w:rsid w:val="005B4510"/>
    <w:rsid w:val="005C3818"/>
    <w:rsid w:val="005D24CE"/>
    <w:rsid w:val="005D5513"/>
    <w:rsid w:val="005E316A"/>
    <w:rsid w:val="005E51D3"/>
    <w:rsid w:val="005E5620"/>
    <w:rsid w:val="005E748D"/>
    <w:rsid w:val="005E78B4"/>
    <w:rsid w:val="005F45A3"/>
    <w:rsid w:val="005F48CA"/>
    <w:rsid w:val="006017D6"/>
    <w:rsid w:val="00605162"/>
    <w:rsid w:val="00605888"/>
    <w:rsid w:val="006149F0"/>
    <w:rsid w:val="00615470"/>
    <w:rsid w:val="00615C98"/>
    <w:rsid w:val="006171C6"/>
    <w:rsid w:val="00617653"/>
    <w:rsid w:val="00621538"/>
    <w:rsid w:val="00626B28"/>
    <w:rsid w:val="0062700C"/>
    <w:rsid w:val="00632BAD"/>
    <w:rsid w:val="00634A73"/>
    <w:rsid w:val="006366C0"/>
    <w:rsid w:val="0065237C"/>
    <w:rsid w:val="00670856"/>
    <w:rsid w:val="00670AD7"/>
    <w:rsid w:val="00674842"/>
    <w:rsid w:val="0067610C"/>
    <w:rsid w:val="006914B5"/>
    <w:rsid w:val="00692625"/>
    <w:rsid w:val="006A70A0"/>
    <w:rsid w:val="006C11B6"/>
    <w:rsid w:val="006C3A36"/>
    <w:rsid w:val="006D071F"/>
    <w:rsid w:val="006D6B8A"/>
    <w:rsid w:val="006E5BD3"/>
    <w:rsid w:val="006E7AFA"/>
    <w:rsid w:val="006F1C79"/>
    <w:rsid w:val="006F55DD"/>
    <w:rsid w:val="007003BE"/>
    <w:rsid w:val="007010C8"/>
    <w:rsid w:val="00704E8A"/>
    <w:rsid w:val="00705BCA"/>
    <w:rsid w:val="00707EEC"/>
    <w:rsid w:val="0071330E"/>
    <w:rsid w:val="00713CC6"/>
    <w:rsid w:val="007147CE"/>
    <w:rsid w:val="00715D15"/>
    <w:rsid w:val="00720D67"/>
    <w:rsid w:val="00736DE8"/>
    <w:rsid w:val="00741600"/>
    <w:rsid w:val="007555E1"/>
    <w:rsid w:val="00757E50"/>
    <w:rsid w:val="00760166"/>
    <w:rsid w:val="007728F8"/>
    <w:rsid w:val="0079143A"/>
    <w:rsid w:val="007957C1"/>
    <w:rsid w:val="00797DC9"/>
    <w:rsid w:val="007B5DAD"/>
    <w:rsid w:val="007C22EE"/>
    <w:rsid w:val="007C5E88"/>
    <w:rsid w:val="007C6BCF"/>
    <w:rsid w:val="007D2C7B"/>
    <w:rsid w:val="007D6B71"/>
    <w:rsid w:val="007E324B"/>
    <w:rsid w:val="007E736F"/>
    <w:rsid w:val="007F1FA4"/>
    <w:rsid w:val="007F7897"/>
    <w:rsid w:val="0080271D"/>
    <w:rsid w:val="00807065"/>
    <w:rsid w:val="00807B4F"/>
    <w:rsid w:val="008132AE"/>
    <w:rsid w:val="00814417"/>
    <w:rsid w:val="008168C8"/>
    <w:rsid w:val="0082102E"/>
    <w:rsid w:val="008224CD"/>
    <w:rsid w:val="00822A48"/>
    <w:rsid w:val="00835278"/>
    <w:rsid w:val="00841244"/>
    <w:rsid w:val="00864F64"/>
    <w:rsid w:val="00870E07"/>
    <w:rsid w:val="008715CE"/>
    <w:rsid w:val="00872586"/>
    <w:rsid w:val="00877BC7"/>
    <w:rsid w:val="00881024"/>
    <w:rsid w:val="00887588"/>
    <w:rsid w:val="008A57FC"/>
    <w:rsid w:val="008B42A7"/>
    <w:rsid w:val="008C281E"/>
    <w:rsid w:val="008C61D2"/>
    <w:rsid w:val="008D06A4"/>
    <w:rsid w:val="008E4F00"/>
    <w:rsid w:val="008F2AED"/>
    <w:rsid w:val="00901AE5"/>
    <w:rsid w:val="00901E2C"/>
    <w:rsid w:val="00902D32"/>
    <w:rsid w:val="0091003E"/>
    <w:rsid w:val="009125D7"/>
    <w:rsid w:val="009143FF"/>
    <w:rsid w:val="00916897"/>
    <w:rsid w:val="009305BD"/>
    <w:rsid w:val="00932BA8"/>
    <w:rsid w:val="009459F5"/>
    <w:rsid w:val="00945CA2"/>
    <w:rsid w:val="00950C87"/>
    <w:rsid w:val="009614CF"/>
    <w:rsid w:val="009676B1"/>
    <w:rsid w:val="00975EFB"/>
    <w:rsid w:val="00980AD1"/>
    <w:rsid w:val="0098148A"/>
    <w:rsid w:val="00993C22"/>
    <w:rsid w:val="00997753"/>
    <w:rsid w:val="009A1DA3"/>
    <w:rsid w:val="009B20D3"/>
    <w:rsid w:val="009B3234"/>
    <w:rsid w:val="009B336E"/>
    <w:rsid w:val="009B51C8"/>
    <w:rsid w:val="009B6FA5"/>
    <w:rsid w:val="009C49B4"/>
    <w:rsid w:val="009D487B"/>
    <w:rsid w:val="009D7823"/>
    <w:rsid w:val="009E49A8"/>
    <w:rsid w:val="009E4A7C"/>
    <w:rsid w:val="009E5C9A"/>
    <w:rsid w:val="009E62CC"/>
    <w:rsid w:val="009F0B82"/>
    <w:rsid w:val="009F4936"/>
    <w:rsid w:val="009F7D5C"/>
    <w:rsid w:val="00A009A0"/>
    <w:rsid w:val="00A0128C"/>
    <w:rsid w:val="00A0139C"/>
    <w:rsid w:val="00A01FC3"/>
    <w:rsid w:val="00A159D3"/>
    <w:rsid w:val="00A219EB"/>
    <w:rsid w:val="00A230C4"/>
    <w:rsid w:val="00A31336"/>
    <w:rsid w:val="00A328BF"/>
    <w:rsid w:val="00A341E9"/>
    <w:rsid w:val="00A4218B"/>
    <w:rsid w:val="00A446DE"/>
    <w:rsid w:val="00A4546B"/>
    <w:rsid w:val="00A5331D"/>
    <w:rsid w:val="00A71DAB"/>
    <w:rsid w:val="00A7620C"/>
    <w:rsid w:val="00A83FFA"/>
    <w:rsid w:val="00A84E61"/>
    <w:rsid w:val="00A85226"/>
    <w:rsid w:val="00A92316"/>
    <w:rsid w:val="00A9349C"/>
    <w:rsid w:val="00A93C6C"/>
    <w:rsid w:val="00A960C7"/>
    <w:rsid w:val="00AB0B65"/>
    <w:rsid w:val="00AD0DF2"/>
    <w:rsid w:val="00AF066E"/>
    <w:rsid w:val="00AF65C3"/>
    <w:rsid w:val="00B20DB4"/>
    <w:rsid w:val="00B2253F"/>
    <w:rsid w:val="00B25694"/>
    <w:rsid w:val="00B34967"/>
    <w:rsid w:val="00B46C6A"/>
    <w:rsid w:val="00B6556F"/>
    <w:rsid w:val="00B67F5A"/>
    <w:rsid w:val="00B760CB"/>
    <w:rsid w:val="00B85007"/>
    <w:rsid w:val="00B90D1B"/>
    <w:rsid w:val="00B91058"/>
    <w:rsid w:val="00B92F99"/>
    <w:rsid w:val="00B95C31"/>
    <w:rsid w:val="00BA2498"/>
    <w:rsid w:val="00BA4A38"/>
    <w:rsid w:val="00BB0451"/>
    <w:rsid w:val="00BB3872"/>
    <w:rsid w:val="00BB3C4A"/>
    <w:rsid w:val="00BC42D7"/>
    <w:rsid w:val="00BC54C1"/>
    <w:rsid w:val="00BD411F"/>
    <w:rsid w:val="00BD489F"/>
    <w:rsid w:val="00BD675E"/>
    <w:rsid w:val="00BE2D4A"/>
    <w:rsid w:val="00BE5E74"/>
    <w:rsid w:val="00BE659B"/>
    <w:rsid w:val="00BF0FD9"/>
    <w:rsid w:val="00BF501C"/>
    <w:rsid w:val="00C0048C"/>
    <w:rsid w:val="00C05DA7"/>
    <w:rsid w:val="00C06355"/>
    <w:rsid w:val="00C120EE"/>
    <w:rsid w:val="00C2612F"/>
    <w:rsid w:val="00C30522"/>
    <w:rsid w:val="00C45880"/>
    <w:rsid w:val="00C51231"/>
    <w:rsid w:val="00C55C48"/>
    <w:rsid w:val="00C625AC"/>
    <w:rsid w:val="00C703E5"/>
    <w:rsid w:val="00C71199"/>
    <w:rsid w:val="00C77C40"/>
    <w:rsid w:val="00C809FA"/>
    <w:rsid w:val="00C902BC"/>
    <w:rsid w:val="00C91B6E"/>
    <w:rsid w:val="00C948A9"/>
    <w:rsid w:val="00C95BBB"/>
    <w:rsid w:val="00CA2001"/>
    <w:rsid w:val="00CA229D"/>
    <w:rsid w:val="00CA3CA6"/>
    <w:rsid w:val="00CB0F12"/>
    <w:rsid w:val="00CB1977"/>
    <w:rsid w:val="00CB1C26"/>
    <w:rsid w:val="00CB24FC"/>
    <w:rsid w:val="00CB31D5"/>
    <w:rsid w:val="00CC223B"/>
    <w:rsid w:val="00CD420B"/>
    <w:rsid w:val="00CF0592"/>
    <w:rsid w:val="00CF0D50"/>
    <w:rsid w:val="00CF3854"/>
    <w:rsid w:val="00CF5E05"/>
    <w:rsid w:val="00D008B8"/>
    <w:rsid w:val="00D03282"/>
    <w:rsid w:val="00D066D8"/>
    <w:rsid w:val="00D1435A"/>
    <w:rsid w:val="00D202EF"/>
    <w:rsid w:val="00D24591"/>
    <w:rsid w:val="00D24AFA"/>
    <w:rsid w:val="00D3541B"/>
    <w:rsid w:val="00D5291C"/>
    <w:rsid w:val="00D5593A"/>
    <w:rsid w:val="00D601D2"/>
    <w:rsid w:val="00D65C24"/>
    <w:rsid w:val="00D73E82"/>
    <w:rsid w:val="00D73F0D"/>
    <w:rsid w:val="00D754F1"/>
    <w:rsid w:val="00D800B8"/>
    <w:rsid w:val="00D810C9"/>
    <w:rsid w:val="00D83D2E"/>
    <w:rsid w:val="00D8638D"/>
    <w:rsid w:val="00D9209D"/>
    <w:rsid w:val="00DA3B38"/>
    <w:rsid w:val="00DB4D9E"/>
    <w:rsid w:val="00DB687E"/>
    <w:rsid w:val="00DB6D27"/>
    <w:rsid w:val="00DB6D58"/>
    <w:rsid w:val="00DD4178"/>
    <w:rsid w:val="00DD4FF1"/>
    <w:rsid w:val="00DD7178"/>
    <w:rsid w:val="00DE774E"/>
    <w:rsid w:val="00DF1E59"/>
    <w:rsid w:val="00E00794"/>
    <w:rsid w:val="00E01691"/>
    <w:rsid w:val="00E079A7"/>
    <w:rsid w:val="00E119B9"/>
    <w:rsid w:val="00E14CE0"/>
    <w:rsid w:val="00E1534A"/>
    <w:rsid w:val="00E16E6B"/>
    <w:rsid w:val="00E23155"/>
    <w:rsid w:val="00E23B49"/>
    <w:rsid w:val="00E25578"/>
    <w:rsid w:val="00E26A25"/>
    <w:rsid w:val="00E30C08"/>
    <w:rsid w:val="00E46424"/>
    <w:rsid w:val="00E474B9"/>
    <w:rsid w:val="00E51486"/>
    <w:rsid w:val="00E54657"/>
    <w:rsid w:val="00E60395"/>
    <w:rsid w:val="00E67534"/>
    <w:rsid w:val="00E76EDF"/>
    <w:rsid w:val="00E87C79"/>
    <w:rsid w:val="00E90980"/>
    <w:rsid w:val="00E97240"/>
    <w:rsid w:val="00EA5CB4"/>
    <w:rsid w:val="00EB3B67"/>
    <w:rsid w:val="00EB4177"/>
    <w:rsid w:val="00ED0C3E"/>
    <w:rsid w:val="00ED49E6"/>
    <w:rsid w:val="00EE319A"/>
    <w:rsid w:val="00EE356D"/>
    <w:rsid w:val="00EE60C5"/>
    <w:rsid w:val="00EE7664"/>
    <w:rsid w:val="00F035DC"/>
    <w:rsid w:val="00F05BC9"/>
    <w:rsid w:val="00F123FE"/>
    <w:rsid w:val="00F126F0"/>
    <w:rsid w:val="00F13B58"/>
    <w:rsid w:val="00F174BC"/>
    <w:rsid w:val="00F20CFC"/>
    <w:rsid w:val="00F263F0"/>
    <w:rsid w:val="00F328B1"/>
    <w:rsid w:val="00F33547"/>
    <w:rsid w:val="00F43BD6"/>
    <w:rsid w:val="00F63DB1"/>
    <w:rsid w:val="00F64DF2"/>
    <w:rsid w:val="00F65CA7"/>
    <w:rsid w:val="00F700B7"/>
    <w:rsid w:val="00F725D8"/>
    <w:rsid w:val="00F72FD0"/>
    <w:rsid w:val="00F73F47"/>
    <w:rsid w:val="00F87198"/>
    <w:rsid w:val="00F96338"/>
    <w:rsid w:val="00F974F3"/>
    <w:rsid w:val="00FA1593"/>
    <w:rsid w:val="00FB296F"/>
    <w:rsid w:val="00FB793D"/>
    <w:rsid w:val="00FC2342"/>
    <w:rsid w:val="00FD3BB7"/>
    <w:rsid w:val="00FD5060"/>
    <w:rsid w:val="00FF1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4794D5"/>
  <w15:chartTrackingRefBased/>
  <w15:docId w15:val="{B066BAAA-B671-4A3C-A014-99E53A9B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47D"/>
    <w:pPr>
      <w:spacing w:after="80"/>
    </w:pPr>
  </w:style>
  <w:style w:type="paragraph" w:styleId="Heading1">
    <w:name w:val="heading 1"/>
    <w:basedOn w:val="Normal"/>
    <w:next w:val="Normal"/>
    <w:link w:val="Heading1Char"/>
    <w:uiPriority w:val="9"/>
    <w:qFormat/>
    <w:rsid w:val="00571AA9"/>
    <w:pPr>
      <w:keepNext/>
      <w:keepLines/>
      <w:numPr>
        <w:numId w:val="11"/>
      </w:numPr>
      <w:spacing w:before="120"/>
      <w:ind w:left="426" w:hanging="426"/>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E87C79"/>
    <w:pPr>
      <w:keepNext/>
      <w:keepLines/>
      <w:spacing w:before="3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E87C79"/>
    <w:pPr>
      <w:keepNext/>
      <w:keepLines/>
      <w:spacing w:before="240" w:after="0"/>
      <w:outlineLvl w:val="2"/>
    </w:pPr>
    <w:rPr>
      <w:rFonts w:asciiTheme="majorHAnsi" w:eastAsiaTheme="majorEastAsia" w:hAnsiTheme="majorHAnsi" w:cstheme="majorBidi"/>
      <w: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F46"/>
    <w:rPr>
      <w:color w:val="0563C1" w:themeColor="hyperlink"/>
      <w:u w:val="single"/>
    </w:rPr>
  </w:style>
  <w:style w:type="character" w:customStyle="1" w:styleId="Heading2Char">
    <w:name w:val="Heading 2 Char"/>
    <w:basedOn w:val="DefaultParagraphFont"/>
    <w:link w:val="Heading2"/>
    <w:uiPriority w:val="9"/>
    <w:rsid w:val="00E87C79"/>
    <w:rPr>
      <w:rFonts w:eastAsiaTheme="majorEastAsia" w:cstheme="majorBidi"/>
      <w:b/>
      <w:sz w:val="28"/>
      <w:szCs w:val="26"/>
    </w:rPr>
  </w:style>
  <w:style w:type="character" w:customStyle="1" w:styleId="Heading1Char">
    <w:name w:val="Heading 1 Char"/>
    <w:basedOn w:val="DefaultParagraphFont"/>
    <w:link w:val="Heading1"/>
    <w:uiPriority w:val="9"/>
    <w:rsid w:val="00571AA9"/>
    <w:rPr>
      <w:rFonts w:eastAsiaTheme="majorEastAsia" w:cstheme="majorBidi"/>
      <w:b/>
      <w:sz w:val="36"/>
      <w:szCs w:val="32"/>
    </w:rPr>
  </w:style>
  <w:style w:type="character" w:customStyle="1" w:styleId="Heading3Char">
    <w:name w:val="Heading 3 Char"/>
    <w:basedOn w:val="DefaultParagraphFont"/>
    <w:link w:val="Heading3"/>
    <w:uiPriority w:val="9"/>
    <w:rsid w:val="00E87C79"/>
    <w:rPr>
      <w:rFonts w:asciiTheme="majorHAnsi" w:eastAsiaTheme="majorEastAsia" w:hAnsiTheme="majorHAnsi" w:cstheme="majorBidi"/>
      <w:i/>
      <w:sz w:val="26"/>
      <w:szCs w:val="24"/>
    </w:rPr>
  </w:style>
  <w:style w:type="paragraph" w:styleId="ListParagraph">
    <w:name w:val="List Paragraph"/>
    <w:basedOn w:val="Normal"/>
    <w:uiPriority w:val="34"/>
    <w:qFormat/>
    <w:rsid w:val="00E87C79"/>
    <w:pPr>
      <w:ind w:left="720"/>
      <w:contextualSpacing/>
    </w:pPr>
  </w:style>
  <w:style w:type="table" w:styleId="TableGrid">
    <w:name w:val="Table Grid"/>
    <w:basedOn w:val="TableNormal"/>
    <w:uiPriority w:val="39"/>
    <w:rsid w:val="0016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41C9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41C9A"/>
    <w:rPr>
      <w:rFonts w:ascii="Calibri" w:hAnsi="Calibri" w:cs="Calibri"/>
      <w:noProof/>
      <w:lang w:val="en-US"/>
    </w:rPr>
  </w:style>
  <w:style w:type="paragraph" w:customStyle="1" w:styleId="EndNoteBibliography">
    <w:name w:val="EndNote Bibliography"/>
    <w:basedOn w:val="Normal"/>
    <w:link w:val="EndNoteBibliographyChar"/>
    <w:rsid w:val="00541C9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41C9A"/>
    <w:rPr>
      <w:rFonts w:ascii="Calibri" w:hAnsi="Calibri" w:cs="Calibri"/>
      <w:noProof/>
      <w:lang w:val="en-US"/>
    </w:rPr>
  </w:style>
  <w:style w:type="paragraph" w:styleId="FootnoteText">
    <w:name w:val="footnote text"/>
    <w:basedOn w:val="Normal"/>
    <w:link w:val="FootnoteTextChar"/>
    <w:uiPriority w:val="99"/>
    <w:semiHidden/>
    <w:unhideWhenUsed/>
    <w:rsid w:val="00477F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F95"/>
    <w:rPr>
      <w:sz w:val="20"/>
      <w:szCs w:val="20"/>
    </w:rPr>
  </w:style>
  <w:style w:type="character" w:styleId="FootnoteReference">
    <w:name w:val="footnote reference"/>
    <w:basedOn w:val="DefaultParagraphFont"/>
    <w:uiPriority w:val="99"/>
    <w:semiHidden/>
    <w:unhideWhenUsed/>
    <w:rsid w:val="00477F95"/>
    <w:rPr>
      <w:vertAlign w:val="superscript"/>
    </w:rPr>
  </w:style>
  <w:style w:type="character" w:styleId="CommentReference">
    <w:name w:val="annotation reference"/>
    <w:basedOn w:val="DefaultParagraphFont"/>
    <w:uiPriority w:val="99"/>
    <w:semiHidden/>
    <w:unhideWhenUsed/>
    <w:rsid w:val="00BE5E74"/>
    <w:rPr>
      <w:sz w:val="16"/>
      <w:szCs w:val="16"/>
    </w:rPr>
  </w:style>
  <w:style w:type="paragraph" w:styleId="CommentText">
    <w:name w:val="annotation text"/>
    <w:basedOn w:val="Normal"/>
    <w:link w:val="CommentTextChar"/>
    <w:uiPriority w:val="99"/>
    <w:semiHidden/>
    <w:unhideWhenUsed/>
    <w:rsid w:val="00BE5E74"/>
    <w:pPr>
      <w:spacing w:line="240" w:lineRule="auto"/>
    </w:pPr>
    <w:rPr>
      <w:sz w:val="20"/>
      <w:szCs w:val="20"/>
    </w:rPr>
  </w:style>
  <w:style w:type="character" w:customStyle="1" w:styleId="CommentTextChar">
    <w:name w:val="Comment Text Char"/>
    <w:basedOn w:val="DefaultParagraphFont"/>
    <w:link w:val="CommentText"/>
    <w:uiPriority w:val="99"/>
    <w:semiHidden/>
    <w:rsid w:val="00BE5E74"/>
    <w:rPr>
      <w:sz w:val="20"/>
      <w:szCs w:val="20"/>
    </w:rPr>
  </w:style>
  <w:style w:type="paragraph" w:styleId="CommentSubject">
    <w:name w:val="annotation subject"/>
    <w:basedOn w:val="CommentText"/>
    <w:next w:val="CommentText"/>
    <w:link w:val="CommentSubjectChar"/>
    <w:uiPriority w:val="99"/>
    <w:semiHidden/>
    <w:unhideWhenUsed/>
    <w:rsid w:val="00BE5E74"/>
    <w:rPr>
      <w:b/>
      <w:bCs/>
    </w:rPr>
  </w:style>
  <w:style w:type="character" w:customStyle="1" w:styleId="CommentSubjectChar">
    <w:name w:val="Comment Subject Char"/>
    <w:basedOn w:val="CommentTextChar"/>
    <w:link w:val="CommentSubject"/>
    <w:uiPriority w:val="99"/>
    <w:semiHidden/>
    <w:rsid w:val="00BE5E74"/>
    <w:rPr>
      <w:b/>
      <w:bCs/>
      <w:sz w:val="20"/>
      <w:szCs w:val="20"/>
    </w:rPr>
  </w:style>
  <w:style w:type="paragraph" w:styleId="BalloonText">
    <w:name w:val="Balloon Text"/>
    <w:basedOn w:val="Normal"/>
    <w:link w:val="BalloonTextChar"/>
    <w:uiPriority w:val="99"/>
    <w:semiHidden/>
    <w:unhideWhenUsed/>
    <w:rsid w:val="00BE5E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E74"/>
    <w:rPr>
      <w:rFonts w:ascii="Segoe UI" w:hAnsi="Segoe UI" w:cs="Segoe UI"/>
      <w:sz w:val="18"/>
      <w:szCs w:val="18"/>
    </w:rPr>
  </w:style>
  <w:style w:type="paragraph" w:styleId="NoSpacing">
    <w:name w:val="No Spacing"/>
    <w:uiPriority w:val="1"/>
    <w:qFormat/>
    <w:rsid w:val="00D65C24"/>
    <w:pPr>
      <w:spacing w:after="0" w:line="240" w:lineRule="auto"/>
    </w:pPr>
  </w:style>
  <w:style w:type="paragraph" w:customStyle="1" w:styleId="Els-Affiliation">
    <w:name w:val="Els-Affiliation"/>
    <w:next w:val="Normal"/>
    <w:rsid w:val="00932BA8"/>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932BA8"/>
    <w:pPr>
      <w:keepNext/>
      <w:suppressAutoHyphens/>
      <w:spacing w:line="300" w:lineRule="exact"/>
      <w:jc w:val="center"/>
    </w:pPr>
    <w:rPr>
      <w:rFonts w:ascii="Times New Roman" w:eastAsia="SimSun" w:hAnsi="Times New Roman" w:cs="Times New Roman"/>
      <w:noProof/>
      <w:sz w:val="26"/>
      <w:szCs w:val="20"/>
      <w:lang w:val="en-US"/>
    </w:rPr>
  </w:style>
  <w:style w:type="paragraph" w:styleId="TOCHeading">
    <w:name w:val="TOC Heading"/>
    <w:basedOn w:val="Heading1"/>
    <w:next w:val="Normal"/>
    <w:uiPriority w:val="39"/>
    <w:unhideWhenUsed/>
    <w:qFormat/>
    <w:rsid w:val="00932BA8"/>
    <w:pPr>
      <w:spacing w:before="240" w:after="0"/>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932BA8"/>
    <w:pPr>
      <w:spacing w:after="100"/>
    </w:pPr>
  </w:style>
  <w:style w:type="paragraph" w:styleId="TOC2">
    <w:name w:val="toc 2"/>
    <w:basedOn w:val="Normal"/>
    <w:next w:val="Normal"/>
    <w:autoRedefine/>
    <w:uiPriority w:val="39"/>
    <w:unhideWhenUsed/>
    <w:rsid w:val="00932BA8"/>
    <w:pPr>
      <w:spacing w:after="100"/>
      <w:ind w:left="220"/>
    </w:pPr>
  </w:style>
  <w:style w:type="paragraph" w:styleId="TOC3">
    <w:name w:val="toc 3"/>
    <w:basedOn w:val="Normal"/>
    <w:next w:val="Normal"/>
    <w:autoRedefine/>
    <w:uiPriority w:val="39"/>
    <w:unhideWhenUsed/>
    <w:rsid w:val="00932BA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06BEC-B572-4DD5-8E1C-E9A52F2E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8253</TotalTime>
  <Pages>11</Pages>
  <Words>9128</Words>
  <Characters>52033</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Joel Millward-Hopkins</cp:lastModifiedBy>
  <cp:revision>448</cp:revision>
  <dcterms:created xsi:type="dcterms:W3CDTF">2021-03-17T10:37:00Z</dcterms:created>
  <dcterms:modified xsi:type="dcterms:W3CDTF">2021-12-22T13:19:00Z</dcterms:modified>
</cp:coreProperties>
</file>