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4A035" w14:textId="043E61B3" w:rsidR="00A6476B" w:rsidRPr="00FE38C8" w:rsidRDefault="00A6476B" w:rsidP="00A6476B">
      <w:pPr>
        <w:widowControl w:val="0"/>
        <w:spacing w:after="0" w:line="480" w:lineRule="auto"/>
        <w:ind w:firstLineChars="0" w:firstLine="0"/>
        <w:jc w:val="center"/>
        <w:rPr>
          <w:rFonts w:ascii="Times New Roman" w:hAnsi="Times New Roman" w:cs="Times New Roman"/>
          <w:bCs/>
          <w:sz w:val="36"/>
          <w:szCs w:val="36"/>
        </w:rPr>
      </w:pPr>
      <w:bookmarkStart w:id="0" w:name="_Hlk74658348"/>
      <w:r w:rsidRPr="00FE38C8">
        <w:rPr>
          <w:rFonts w:ascii="Times New Roman" w:hAnsi="Times New Roman" w:cs="Times New Roman"/>
          <w:bCs/>
          <w:sz w:val="36"/>
          <w:szCs w:val="36"/>
        </w:rPr>
        <w:t>Supplementary Materials for</w:t>
      </w:r>
    </w:p>
    <w:p w14:paraId="64FAAAD6" w14:textId="7F78B42C" w:rsidR="00950C2D" w:rsidRPr="002661DE" w:rsidRDefault="00950C2D" w:rsidP="00950C2D">
      <w:pPr>
        <w:widowControl w:val="0"/>
        <w:spacing w:after="0" w:line="480" w:lineRule="auto"/>
        <w:ind w:firstLineChars="0" w:firstLine="0"/>
        <w:jc w:val="center"/>
        <w:rPr>
          <w:rFonts w:ascii="Times New Roman" w:hAnsi="Times New Roman" w:cs="Times New Roman"/>
          <w:sz w:val="24"/>
          <w:szCs w:val="24"/>
        </w:rPr>
      </w:pPr>
      <w:bookmarkStart w:id="1" w:name="_Hlk66890505"/>
      <w:bookmarkEnd w:id="0"/>
      <w:r w:rsidRPr="002661DE">
        <w:rPr>
          <w:rFonts w:ascii="Times New Roman" w:hAnsi="Times New Roman" w:cs="Times New Roman"/>
          <w:b/>
          <w:sz w:val="24"/>
          <w:szCs w:val="24"/>
        </w:rPr>
        <w:t>Adiponectin suppresses tumor growth of nasopharyngeal carcinoma through activating AMPK signaling pathway</w:t>
      </w:r>
    </w:p>
    <w:p w14:paraId="37996201" w14:textId="7A6A8EF1" w:rsidR="00A6476B" w:rsidRPr="002661DE" w:rsidRDefault="00A6476B" w:rsidP="00A6476B">
      <w:pPr>
        <w:widowControl w:val="0"/>
        <w:spacing w:after="0" w:line="480" w:lineRule="auto"/>
        <w:ind w:firstLineChars="0" w:firstLine="0"/>
        <w:rPr>
          <w:rFonts w:ascii="Times New Roman" w:hAnsi="Times New Roman" w:cs="Times New Roman"/>
          <w:sz w:val="24"/>
          <w:szCs w:val="24"/>
          <w:vertAlign w:val="superscript"/>
        </w:rPr>
      </w:pPr>
      <w:r w:rsidRPr="002661DE">
        <w:rPr>
          <w:rFonts w:ascii="Times New Roman" w:hAnsi="Times New Roman" w:cs="Times New Roman"/>
          <w:sz w:val="24"/>
          <w:szCs w:val="24"/>
        </w:rPr>
        <w:t>Zongmeng Zhang</w:t>
      </w:r>
      <w:bookmarkStart w:id="2" w:name="_Hlk34342331"/>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bookmarkStart w:id="3" w:name="_Hlk34342846"/>
      <w:r w:rsidRPr="002661DE">
        <w:rPr>
          <w:rFonts w:ascii="Times New Roman" w:hAnsi="Times New Roman" w:cs="Times New Roman"/>
          <w:sz w:val="24"/>
          <w:szCs w:val="24"/>
        </w:rPr>
        <w:t>Jinlin Du</w:t>
      </w:r>
      <w:bookmarkEnd w:id="1"/>
      <w:r w:rsidRPr="002661DE">
        <w:rPr>
          <w:rFonts w:ascii="Times New Roman" w:hAnsi="Times New Roman" w:cs="Times New Roman"/>
          <w:sz w:val="24"/>
          <w:szCs w:val="24"/>
          <w:vertAlign w:val="superscript"/>
        </w:rPr>
        <w:t>2*</w:t>
      </w:r>
      <w:r w:rsidRPr="002661DE">
        <w:rPr>
          <w:rFonts w:ascii="Times New Roman" w:hAnsi="Times New Roman" w:cs="Times New Roman"/>
          <w:sz w:val="24"/>
          <w:szCs w:val="24"/>
        </w:rPr>
        <w:t>, Hui Shi</w:t>
      </w:r>
      <w:bookmarkEnd w:id="3"/>
      <w:r w:rsidRPr="002661DE">
        <w:rPr>
          <w:rFonts w:ascii="Times New Roman" w:hAnsi="Times New Roman" w:cs="Times New Roman"/>
          <w:sz w:val="24"/>
          <w:szCs w:val="24"/>
          <w:vertAlign w:val="superscript"/>
        </w:rPr>
        <w:t>3</w:t>
      </w:r>
      <w:r w:rsidRPr="002661DE">
        <w:rPr>
          <w:rFonts w:ascii="Times New Roman" w:hAnsi="Times New Roman" w:cs="Times New Roman"/>
          <w:sz w:val="24"/>
          <w:szCs w:val="24"/>
        </w:rPr>
        <w:t>, Shuai Wang</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Yunjing</w:t>
      </w:r>
      <w:proofErr w:type="spellEnd"/>
      <w:r w:rsidRPr="002661DE">
        <w:rPr>
          <w:rFonts w:ascii="Times New Roman" w:hAnsi="Times New Roman" w:cs="Times New Roman"/>
          <w:sz w:val="24"/>
          <w:szCs w:val="24"/>
        </w:rPr>
        <w:t xml:space="preserve"> Yan</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Qihua</w:t>
      </w:r>
      <w:proofErr w:type="spellEnd"/>
      <w:r w:rsidRPr="002661DE">
        <w:rPr>
          <w:rFonts w:ascii="Times New Roman" w:hAnsi="Times New Roman" w:cs="Times New Roman"/>
          <w:sz w:val="24"/>
          <w:szCs w:val="24"/>
        </w:rPr>
        <w:t xml:space="preserve"> Xu</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Sujin</w:t>
      </w:r>
      <w:proofErr w:type="spellEnd"/>
      <w:r w:rsidRPr="002661DE">
        <w:rPr>
          <w:rFonts w:ascii="Times New Roman" w:hAnsi="Times New Roman" w:cs="Times New Roman"/>
          <w:sz w:val="24"/>
          <w:szCs w:val="24"/>
        </w:rPr>
        <w:t xml:space="preserve"> Zhou</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Zhenggang</w:t>
      </w:r>
      <w:proofErr w:type="spellEnd"/>
      <w:r w:rsidRPr="002661DE">
        <w:rPr>
          <w:rFonts w:ascii="Times New Roman" w:hAnsi="Times New Roman" w:cs="Times New Roman"/>
          <w:sz w:val="24"/>
          <w:szCs w:val="24"/>
        </w:rPr>
        <w:t xml:space="preserve"> Zhao</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Yunping</w:t>
      </w:r>
      <w:proofErr w:type="spellEnd"/>
      <w:r w:rsidRPr="002661DE">
        <w:rPr>
          <w:rFonts w:ascii="Times New Roman" w:hAnsi="Times New Roman" w:cs="Times New Roman"/>
          <w:sz w:val="24"/>
          <w:szCs w:val="24"/>
        </w:rPr>
        <w:t xml:space="preserve"> Mu</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proofErr w:type="spellStart"/>
      <w:r w:rsidRPr="002661DE">
        <w:rPr>
          <w:rFonts w:ascii="Times New Roman" w:hAnsi="Times New Roman" w:cs="Times New Roman"/>
          <w:sz w:val="24"/>
          <w:szCs w:val="24"/>
        </w:rPr>
        <w:t>Chaonan</w:t>
      </w:r>
      <w:proofErr w:type="spellEnd"/>
      <w:r w:rsidRPr="002661DE">
        <w:rPr>
          <w:rFonts w:ascii="Times New Roman" w:hAnsi="Times New Roman" w:cs="Times New Roman"/>
          <w:sz w:val="24"/>
          <w:szCs w:val="24"/>
        </w:rPr>
        <w:t xml:space="preserve"> Qian</w:t>
      </w:r>
      <w:r w:rsidRPr="002661DE">
        <w:rPr>
          <w:rFonts w:ascii="Times New Roman" w:hAnsi="Times New Roman" w:cs="Times New Roman"/>
          <w:sz w:val="24"/>
          <w:szCs w:val="24"/>
          <w:vertAlign w:val="superscript"/>
        </w:rPr>
        <w:t>4</w:t>
      </w:r>
      <w:r w:rsidRPr="002661DE">
        <w:rPr>
          <w:rFonts w:ascii="Times New Roman" w:hAnsi="Times New Roman" w:cs="Times New Roman"/>
          <w:sz w:val="24"/>
          <w:szCs w:val="24"/>
        </w:rPr>
        <w:t>,</w:t>
      </w:r>
      <w:r w:rsidRPr="002661DE">
        <w:rPr>
          <w:rFonts w:ascii="Times New Roman" w:hAnsi="Times New Roman" w:cs="Times New Roman"/>
          <w:sz w:val="24"/>
          <w:szCs w:val="24"/>
          <w:vertAlign w:val="superscript"/>
        </w:rPr>
        <w:t xml:space="preserve"> </w:t>
      </w:r>
      <w:bookmarkStart w:id="4" w:name="_Hlk71702065"/>
      <w:r w:rsidRPr="002661DE">
        <w:rPr>
          <w:rFonts w:ascii="Times New Roman" w:hAnsi="Times New Roman" w:cs="Times New Roman"/>
          <w:sz w:val="24"/>
          <w:szCs w:val="24"/>
        </w:rPr>
        <w:t xml:space="preserve">Allan </w:t>
      </w:r>
      <w:bookmarkStart w:id="5" w:name="_Hlk70970675"/>
      <w:proofErr w:type="spellStart"/>
      <w:r w:rsidRPr="002661DE">
        <w:rPr>
          <w:rFonts w:ascii="Times New Roman" w:hAnsi="Times New Roman" w:cs="Times New Roman"/>
          <w:sz w:val="24"/>
          <w:szCs w:val="24"/>
        </w:rPr>
        <w:t>Zijian</w:t>
      </w:r>
      <w:bookmarkEnd w:id="5"/>
      <w:proofErr w:type="spellEnd"/>
      <w:r w:rsidRPr="002661DE">
        <w:rPr>
          <w:rFonts w:ascii="Times New Roman" w:hAnsi="Times New Roman" w:cs="Times New Roman"/>
          <w:sz w:val="24"/>
          <w:szCs w:val="24"/>
        </w:rPr>
        <w:t xml:space="preserve"> Zhao</w:t>
      </w: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 xml:space="preserve">, </w:t>
      </w:r>
      <w:bookmarkStart w:id="6" w:name="_Hlk66722190"/>
      <w:proofErr w:type="spellStart"/>
      <w:r w:rsidRPr="002661DE">
        <w:rPr>
          <w:rFonts w:ascii="Times New Roman" w:hAnsi="Times New Roman" w:cs="Times New Roman"/>
          <w:sz w:val="24"/>
          <w:szCs w:val="24"/>
        </w:rPr>
        <w:t>Sumei</w:t>
      </w:r>
      <w:proofErr w:type="spellEnd"/>
      <w:r w:rsidRPr="002661DE">
        <w:rPr>
          <w:rFonts w:ascii="Times New Roman" w:hAnsi="Times New Roman" w:cs="Times New Roman"/>
          <w:sz w:val="24"/>
          <w:szCs w:val="24"/>
        </w:rPr>
        <w:t xml:space="preserve"> Cao</w:t>
      </w:r>
      <w:bookmarkEnd w:id="6"/>
      <w:r w:rsidRPr="002661DE">
        <w:rPr>
          <w:rFonts w:ascii="Times New Roman" w:hAnsi="Times New Roman" w:cs="Times New Roman"/>
          <w:sz w:val="24"/>
          <w:szCs w:val="24"/>
          <w:vertAlign w:val="superscript"/>
        </w:rPr>
        <w:t>5#</w:t>
      </w:r>
      <w:bookmarkEnd w:id="2"/>
      <w:r w:rsidRPr="002661DE">
        <w:rPr>
          <w:rFonts w:ascii="Times New Roman" w:hAnsi="Times New Roman" w:cs="Times New Roman"/>
          <w:sz w:val="24"/>
          <w:szCs w:val="24"/>
          <w:vertAlign w:val="superscript"/>
        </w:rPr>
        <w:t xml:space="preserve"> </w:t>
      </w:r>
      <w:r w:rsidRPr="002661DE">
        <w:rPr>
          <w:rFonts w:ascii="Times New Roman" w:hAnsi="Times New Roman" w:cs="Times New Roman"/>
          <w:sz w:val="24"/>
          <w:szCs w:val="24"/>
        </w:rPr>
        <w:t xml:space="preserve">and </w:t>
      </w:r>
      <w:proofErr w:type="spellStart"/>
      <w:r w:rsidRPr="002661DE">
        <w:rPr>
          <w:rFonts w:ascii="Times New Roman" w:hAnsi="Times New Roman" w:cs="Times New Roman"/>
          <w:sz w:val="24"/>
          <w:szCs w:val="24"/>
        </w:rPr>
        <w:t>Fanghong</w:t>
      </w:r>
      <w:proofErr w:type="spellEnd"/>
      <w:r w:rsidRPr="002661DE">
        <w:rPr>
          <w:rFonts w:ascii="Times New Roman" w:hAnsi="Times New Roman" w:cs="Times New Roman"/>
          <w:sz w:val="24"/>
          <w:szCs w:val="24"/>
        </w:rPr>
        <w:t xml:space="preserve"> Li</w:t>
      </w:r>
      <w:r w:rsidRPr="002661DE">
        <w:rPr>
          <w:rFonts w:ascii="Times New Roman" w:hAnsi="Times New Roman" w:cs="Times New Roman"/>
          <w:sz w:val="24"/>
          <w:szCs w:val="24"/>
          <w:vertAlign w:val="superscript"/>
        </w:rPr>
        <w:t>1#</w:t>
      </w:r>
      <w:bookmarkEnd w:id="4"/>
    </w:p>
    <w:p w14:paraId="12518ED1"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vertAlign w:val="superscript"/>
        </w:rPr>
        <w:t>1</w:t>
      </w:r>
      <w:r w:rsidRPr="002661DE">
        <w:rPr>
          <w:rFonts w:ascii="Times New Roman" w:hAnsi="Times New Roman" w:cs="Times New Roman"/>
          <w:sz w:val="24"/>
          <w:szCs w:val="24"/>
        </w:rPr>
        <w:t>The School of Biomedical and Pharmaceutical Sciences, Guangdong University of Technology, Guangzhou 510006, China;</w:t>
      </w:r>
    </w:p>
    <w:p w14:paraId="5DE0A238"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vertAlign w:val="superscript"/>
        </w:rPr>
        <w:t>2</w:t>
      </w:r>
      <w:r w:rsidRPr="002661DE">
        <w:rPr>
          <w:rFonts w:ascii="Times New Roman" w:hAnsi="Times New Roman" w:cs="Times New Roman"/>
          <w:sz w:val="24"/>
          <w:szCs w:val="24"/>
        </w:rPr>
        <w:t xml:space="preserve"> Department of Epidemiology and Health Statistics, School of Public Health, Guangdong Medical University, Dongguan 523808, China;</w:t>
      </w:r>
    </w:p>
    <w:p w14:paraId="0DBC2453"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bookmarkStart w:id="7" w:name="_Hlk67844828"/>
      <w:r w:rsidRPr="002661DE">
        <w:rPr>
          <w:rFonts w:ascii="Times New Roman" w:hAnsi="Times New Roman" w:cs="Times New Roman"/>
          <w:sz w:val="24"/>
          <w:szCs w:val="24"/>
          <w:vertAlign w:val="superscript"/>
        </w:rPr>
        <w:t>3</w:t>
      </w:r>
      <w:r w:rsidRPr="002661DE">
        <w:rPr>
          <w:rFonts w:ascii="Times New Roman" w:hAnsi="Times New Roman" w:cs="Times New Roman"/>
          <w:sz w:val="24"/>
          <w:szCs w:val="24"/>
        </w:rPr>
        <w:t xml:space="preserve"> Department of Pathology, Jiangsu Province Hospital of Chinese Medicine, Affiliated Hospital of Nanjing University of Chinese Medicine, Nanjing 210029, China;</w:t>
      </w:r>
    </w:p>
    <w:bookmarkEnd w:id="7"/>
    <w:p w14:paraId="05CA3FCD"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vertAlign w:val="superscript"/>
        </w:rPr>
        <w:t>4</w:t>
      </w:r>
      <w:r w:rsidRPr="002661DE">
        <w:rPr>
          <w:rFonts w:ascii="Times New Roman" w:hAnsi="Times New Roman" w:cs="Times New Roman"/>
          <w:sz w:val="24"/>
          <w:szCs w:val="24"/>
        </w:rPr>
        <w:t xml:space="preserve"> </w:t>
      </w:r>
      <w:bookmarkStart w:id="8" w:name="_Hlk70689048"/>
      <w:bookmarkStart w:id="9" w:name="_Hlk67819088"/>
      <w:r w:rsidRPr="002661DE">
        <w:rPr>
          <w:rFonts w:ascii="Times New Roman" w:hAnsi="Times New Roman" w:cs="Times New Roman"/>
          <w:sz w:val="24"/>
          <w:szCs w:val="24"/>
        </w:rPr>
        <w:t>State Key Laboratory of Oncology in South China, Collaborative Innovation Center for Cancer Medicine</w:t>
      </w:r>
      <w:bookmarkEnd w:id="8"/>
      <w:r w:rsidRPr="002661DE">
        <w:rPr>
          <w:rFonts w:ascii="Times New Roman" w:hAnsi="Times New Roman" w:cs="Times New Roman"/>
          <w:sz w:val="24"/>
          <w:szCs w:val="24"/>
        </w:rPr>
        <w:t>, Sun Yat-sen University Cancer Center, Guangzhou 510060, China</w:t>
      </w:r>
      <w:bookmarkEnd w:id="9"/>
      <w:r w:rsidRPr="002661DE">
        <w:rPr>
          <w:rFonts w:ascii="Times New Roman" w:hAnsi="Times New Roman" w:cs="Times New Roman"/>
          <w:sz w:val="24"/>
          <w:szCs w:val="24"/>
        </w:rPr>
        <w:t>;</w:t>
      </w:r>
    </w:p>
    <w:p w14:paraId="3AFE3F10"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vertAlign w:val="superscript"/>
        </w:rPr>
        <w:t>5</w:t>
      </w:r>
      <w:r w:rsidRPr="002661DE">
        <w:rPr>
          <w:rFonts w:ascii="Times New Roman" w:hAnsi="Times New Roman" w:cs="Times New Roman"/>
          <w:sz w:val="24"/>
          <w:szCs w:val="24"/>
        </w:rPr>
        <w:t xml:space="preserve"> Department of Cancer Prevention Research, Sun Yat‐sen University Cancer Center, Guangzhou 510060, China;</w:t>
      </w:r>
    </w:p>
    <w:p w14:paraId="46C62D5E"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rPr>
        <w:t>* These authors contributed equally to this work.</w:t>
      </w:r>
    </w:p>
    <w:p w14:paraId="3BC73FD9"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bookmarkStart w:id="10" w:name="_Hlk59011516"/>
      <w:r w:rsidRPr="002661DE">
        <w:rPr>
          <w:rFonts w:ascii="Times New Roman" w:hAnsi="Times New Roman" w:cs="Times New Roman"/>
          <w:b/>
          <w:bCs/>
          <w:sz w:val="24"/>
          <w:szCs w:val="24"/>
          <w:vertAlign w:val="superscript"/>
        </w:rPr>
        <w:t>#</w:t>
      </w:r>
      <w:r w:rsidRPr="002661DE">
        <w:rPr>
          <w:rFonts w:ascii="Times New Roman" w:hAnsi="Times New Roman" w:cs="Times New Roman"/>
          <w:b/>
          <w:bCs/>
          <w:sz w:val="24"/>
          <w:szCs w:val="24"/>
        </w:rPr>
        <w:t xml:space="preserve"> Correspondence to</w:t>
      </w:r>
      <w:r w:rsidRPr="002661DE">
        <w:rPr>
          <w:rFonts w:ascii="Times New Roman" w:hAnsi="Times New Roman" w:cs="Times New Roman"/>
          <w:sz w:val="24"/>
          <w:szCs w:val="24"/>
        </w:rPr>
        <w:t xml:space="preserve">: </w:t>
      </w:r>
    </w:p>
    <w:p w14:paraId="65E9335C"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proofErr w:type="spellStart"/>
      <w:r w:rsidRPr="002661DE">
        <w:rPr>
          <w:rFonts w:ascii="Times New Roman" w:hAnsi="Times New Roman" w:cs="Times New Roman"/>
          <w:sz w:val="24"/>
          <w:szCs w:val="24"/>
        </w:rPr>
        <w:t>Fanghong</w:t>
      </w:r>
      <w:proofErr w:type="spellEnd"/>
      <w:r w:rsidRPr="002661DE">
        <w:rPr>
          <w:rFonts w:ascii="Times New Roman" w:hAnsi="Times New Roman" w:cs="Times New Roman"/>
          <w:sz w:val="24"/>
          <w:szCs w:val="24"/>
        </w:rPr>
        <w:t xml:space="preserve"> Li, M.D., The School of Biomedical and Pharmaceutical Sciences, Guangdong University of Technology</w:t>
      </w:r>
      <w:bookmarkEnd w:id="10"/>
      <w:r w:rsidRPr="002661DE">
        <w:rPr>
          <w:rFonts w:ascii="Times New Roman" w:hAnsi="Times New Roman" w:cs="Times New Roman"/>
          <w:sz w:val="24"/>
          <w:szCs w:val="24"/>
        </w:rPr>
        <w:t xml:space="preserve">; No.100 </w:t>
      </w:r>
      <w:proofErr w:type="spellStart"/>
      <w:r w:rsidRPr="002661DE">
        <w:rPr>
          <w:rFonts w:ascii="Times New Roman" w:hAnsi="Times New Roman" w:cs="Times New Roman"/>
          <w:sz w:val="24"/>
          <w:szCs w:val="24"/>
        </w:rPr>
        <w:t>Waihuanxi</w:t>
      </w:r>
      <w:proofErr w:type="spellEnd"/>
      <w:r w:rsidRPr="002661DE">
        <w:rPr>
          <w:rFonts w:ascii="Times New Roman" w:hAnsi="Times New Roman" w:cs="Times New Roman"/>
          <w:sz w:val="24"/>
          <w:szCs w:val="24"/>
        </w:rPr>
        <w:t xml:space="preserve"> Road, Guangzhou Higher Education Mega Center, Guangzhou </w:t>
      </w:r>
      <w:bookmarkStart w:id="11" w:name="_Hlk66894530"/>
      <w:r w:rsidRPr="002661DE">
        <w:rPr>
          <w:rFonts w:ascii="Times New Roman" w:hAnsi="Times New Roman" w:cs="Times New Roman"/>
          <w:sz w:val="24"/>
          <w:szCs w:val="24"/>
        </w:rPr>
        <w:t>510006</w:t>
      </w:r>
      <w:bookmarkEnd w:id="11"/>
      <w:r w:rsidRPr="002661DE">
        <w:rPr>
          <w:rFonts w:ascii="Times New Roman" w:hAnsi="Times New Roman" w:cs="Times New Roman"/>
          <w:sz w:val="24"/>
          <w:szCs w:val="24"/>
        </w:rPr>
        <w:t>, Guangdong, P. R. China (</w:t>
      </w:r>
      <w:r w:rsidRPr="002661DE">
        <w:rPr>
          <w:rFonts w:ascii="Times New Roman" w:eastAsia="宋体" w:hAnsi="Times New Roman" w:cs="Times New Roman"/>
          <w:kern w:val="0"/>
          <w:sz w:val="24"/>
          <w:szCs w:val="24"/>
        </w:rPr>
        <w:t>Tel: +86-</w:t>
      </w:r>
      <w:r w:rsidRPr="002661DE">
        <w:rPr>
          <w:rFonts w:ascii="Times New Roman" w:eastAsia="宋体" w:hAnsi="Times New Roman" w:cs="Times New Roman"/>
          <w:kern w:val="0"/>
          <w:sz w:val="24"/>
          <w:szCs w:val="24"/>
        </w:rPr>
        <w:lastRenderedPageBreak/>
        <w:t>18027330698, E</w:t>
      </w:r>
      <w:r w:rsidRPr="002661DE">
        <w:rPr>
          <w:rFonts w:ascii="Times New Roman" w:hAnsi="Times New Roman" w:cs="Times New Roman"/>
          <w:sz w:val="24"/>
          <w:szCs w:val="24"/>
        </w:rPr>
        <w:t xml:space="preserve">-mail: </w:t>
      </w:r>
      <w:bookmarkStart w:id="12" w:name="_Hlk74662042"/>
      <w:r w:rsidRPr="002661DE">
        <w:rPr>
          <w:rFonts w:ascii="Times New Roman" w:hAnsi="Times New Roman" w:cs="Times New Roman"/>
          <w:sz w:val="24"/>
          <w:szCs w:val="24"/>
        </w:rPr>
        <w:t>fli@gdut.edu.cn</w:t>
      </w:r>
      <w:bookmarkEnd w:id="12"/>
      <w:r w:rsidRPr="002661DE">
        <w:rPr>
          <w:rFonts w:ascii="Times New Roman" w:hAnsi="Times New Roman" w:cs="Times New Roman"/>
          <w:sz w:val="24"/>
          <w:szCs w:val="24"/>
        </w:rPr>
        <w:t>)</w:t>
      </w:r>
    </w:p>
    <w:p w14:paraId="3E642DDC"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rPr>
        <w:t xml:space="preserve"> Or: </w:t>
      </w:r>
      <w:bookmarkStart w:id="13" w:name="_Hlk74659241"/>
      <w:bookmarkStart w:id="14" w:name="_Hlk74664272"/>
      <w:r w:rsidRPr="002661DE">
        <w:rPr>
          <w:rFonts w:ascii="Times New Roman" w:hAnsi="Times New Roman" w:cs="Times New Roman"/>
          <w:sz w:val="24"/>
          <w:szCs w:val="24"/>
        </w:rPr>
        <w:t>Sumei Cao, Ph.D.,</w:t>
      </w:r>
      <w:bookmarkEnd w:id="13"/>
      <w:r w:rsidRPr="002661DE">
        <w:rPr>
          <w:rFonts w:ascii="Times New Roman" w:hAnsi="Times New Roman" w:cs="Times New Roman"/>
          <w:sz w:val="24"/>
          <w:szCs w:val="24"/>
        </w:rPr>
        <w:t xml:space="preserve"> Department of Cancer Prevention Research, Sun Yat-sen University Cancer Center; 651 Dongfeng Road East, Guangzhou 510060, </w:t>
      </w:r>
      <w:bookmarkStart w:id="15" w:name="_Hlk66722470"/>
      <w:r w:rsidRPr="002661DE">
        <w:rPr>
          <w:rFonts w:ascii="Times New Roman" w:hAnsi="Times New Roman" w:cs="Times New Roman"/>
          <w:sz w:val="24"/>
          <w:szCs w:val="24"/>
        </w:rPr>
        <w:t>Guangdong, P. R. China</w:t>
      </w:r>
      <w:bookmarkEnd w:id="15"/>
      <w:r w:rsidRPr="002661DE">
        <w:rPr>
          <w:rFonts w:ascii="Times New Roman" w:hAnsi="Times New Roman" w:cs="Times New Roman"/>
          <w:sz w:val="24"/>
          <w:szCs w:val="24"/>
        </w:rPr>
        <w:t xml:space="preserve"> (</w:t>
      </w:r>
      <w:r w:rsidRPr="002661DE">
        <w:rPr>
          <w:rFonts w:ascii="Times New Roman" w:eastAsia="宋体" w:hAnsi="Times New Roman" w:cs="Times New Roman"/>
          <w:kern w:val="0"/>
          <w:sz w:val="24"/>
          <w:szCs w:val="24"/>
        </w:rPr>
        <w:t>Tel: +86-13826270146, E</w:t>
      </w:r>
      <w:r w:rsidRPr="002661DE">
        <w:rPr>
          <w:rFonts w:ascii="Times New Roman" w:hAnsi="Times New Roman" w:cs="Times New Roman"/>
          <w:sz w:val="24"/>
          <w:szCs w:val="24"/>
        </w:rPr>
        <w:t>-mail: caosm@sysucc.org.cn).</w:t>
      </w:r>
      <w:bookmarkEnd w:id="14"/>
    </w:p>
    <w:p w14:paraId="244017CE" w14:textId="77777777" w:rsidR="00A6476B" w:rsidRPr="002661DE" w:rsidRDefault="00A6476B" w:rsidP="00A6476B">
      <w:pPr>
        <w:widowControl w:val="0"/>
        <w:spacing w:after="0" w:line="480" w:lineRule="auto"/>
        <w:ind w:firstLineChars="0" w:firstLine="0"/>
        <w:rPr>
          <w:rFonts w:ascii="Times New Roman" w:hAnsi="Times New Roman" w:cs="Times New Roman"/>
          <w:sz w:val="24"/>
          <w:szCs w:val="24"/>
        </w:rPr>
      </w:pPr>
      <w:r w:rsidRPr="002661DE">
        <w:rPr>
          <w:rFonts w:ascii="Times New Roman" w:hAnsi="Times New Roman" w:cs="Times New Roman"/>
          <w:sz w:val="24"/>
          <w:szCs w:val="24"/>
        </w:rPr>
        <w:t xml:space="preserve">Or: Allan </w:t>
      </w:r>
      <w:proofErr w:type="spellStart"/>
      <w:r w:rsidRPr="002661DE">
        <w:rPr>
          <w:rFonts w:ascii="Times New Roman" w:hAnsi="Times New Roman" w:cs="Times New Roman"/>
          <w:sz w:val="24"/>
          <w:szCs w:val="24"/>
        </w:rPr>
        <w:t>Zijian</w:t>
      </w:r>
      <w:proofErr w:type="spellEnd"/>
      <w:r w:rsidRPr="002661DE">
        <w:rPr>
          <w:rFonts w:ascii="Times New Roman" w:hAnsi="Times New Roman" w:cs="Times New Roman"/>
          <w:sz w:val="24"/>
          <w:szCs w:val="24"/>
        </w:rPr>
        <w:t xml:space="preserve"> Zhao, Ph.D., The School of Biomedical and Pharmaceutical Sciences, Guangdong University of Technology; No.100 </w:t>
      </w:r>
      <w:proofErr w:type="spellStart"/>
      <w:r w:rsidRPr="002661DE">
        <w:rPr>
          <w:rFonts w:ascii="Times New Roman" w:hAnsi="Times New Roman" w:cs="Times New Roman"/>
          <w:sz w:val="24"/>
          <w:szCs w:val="24"/>
        </w:rPr>
        <w:t>Waihuanxi</w:t>
      </w:r>
      <w:proofErr w:type="spellEnd"/>
      <w:r w:rsidRPr="002661DE">
        <w:rPr>
          <w:rFonts w:ascii="Times New Roman" w:hAnsi="Times New Roman" w:cs="Times New Roman"/>
          <w:sz w:val="24"/>
          <w:szCs w:val="24"/>
        </w:rPr>
        <w:t xml:space="preserve"> Road, Guangzhou Higher Education Mega Center, Guangzhou 510006, Guangdong, P. R. China (Tel: +86-18027330798, E-mail: </w:t>
      </w:r>
      <w:bookmarkStart w:id="16" w:name="_Hlk74662385"/>
      <w:r w:rsidRPr="002661DE">
        <w:rPr>
          <w:rFonts w:ascii="Times New Roman" w:hAnsi="Times New Roman" w:cs="Times New Roman"/>
          <w:sz w:val="24"/>
          <w:szCs w:val="24"/>
        </w:rPr>
        <w:fldChar w:fldCharType="begin"/>
      </w:r>
      <w:r w:rsidRPr="002661DE">
        <w:rPr>
          <w:rFonts w:ascii="Times New Roman" w:hAnsi="Times New Roman" w:cs="Times New Roman"/>
          <w:sz w:val="24"/>
          <w:szCs w:val="24"/>
        </w:rPr>
        <w:instrText xml:space="preserve"> HYPERLINK "mailto:azzhao@gdut.edu.cn" </w:instrText>
      </w:r>
      <w:r w:rsidRPr="002661DE">
        <w:rPr>
          <w:rFonts w:ascii="Times New Roman" w:hAnsi="Times New Roman" w:cs="Times New Roman"/>
          <w:sz w:val="24"/>
          <w:szCs w:val="24"/>
        </w:rPr>
        <w:fldChar w:fldCharType="separate"/>
      </w:r>
      <w:r w:rsidRPr="002661DE">
        <w:rPr>
          <w:rFonts w:ascii="Times New Roman" w:hAnsi="Times New Roman" w:cs="Times New Roman"/>
          <w:color w:val="0563C1" w:themeColor="hyperlink"/>
          <w:sz w:val="24"/>
          <w:szCs w:val="24"/>
          <w:u w:val="single"/>
        </w:rPr>
        <w:t>azzhao@gdut.edu.cn</w:t>
      </w:r>
      <w:bookmarkEnd w:id="16"/>
      <w:r w:rsidRPr="002661DE">
        <w:rPr>
          <w:rFonts w:ascii="Times New Roman" w:hAnsi="Times New Roman" w:cs="Times New Roman"/>
          <w:sz w:val="24"/>
          <w:szCs w:val="24"/>
        </w:rPr>
        <w:fldChar w:fldCharType="end"/>
      </w:r>
      <w:r w:rsidRPr="002661DE">
        <w:rPr>
          <w:rFonts w:ascii="Times New Roman" w:hAnsi="Times New Roman" w:cs="Times New Roman"/>
          <w:sz w:val="24"/>
          <w:szCs w:val="24"/>
        </w:rPr>
        <w:t>)</w:t>
      </w:r>
    </w:p>
    <w:p w14:paraId="53CF16A9" w14:textId="77777777" w:rsidR="00A6476B" w:rsidRPr="002661DE" w:rsidRDefault="00A6476B" w:rsidP="00A6476B">
      <w:pPr>
        <w:ind w:firstLineChars="83" w:firstLine="199"/>
        <w:rPr>
          <w:rFonts w:ascii="Times New Roman" w:hAnsi="Times New Roman" w:cs="Times New Roman"/>
          <w:sz w:val="24"/>
          <w:szCs w:val="24"/>
        </w:rPr>
      </w:pPr>
    </w:p>
    <w:p w14:paraId="426B6FA8" w14:textId="77777777" w:rsidR="00A6476B" w:rsidRPr="002661DE" w:rsidRDefault="00A6476B" w:rsidP="00A6476B">
      <w:pPr>
        <w:ind w:firstLineChars="71" w:firstLine="170"/>
        <w:jc w:val="left"/>
        <w:rPr>
          <w:rFonts w:ascii="Times New Roman" w:hAnsi="Times New Roman" w:cs="Times New Roman"/>
          <w:b/>
          <w:sz w:val="24"/>
          <w:szCs w:val="24"/>
        </w:rPr>
      </w:pPr>
      <w:r w:rsidRPr="002661DE">
        <w:rPr>
          <w:rFonts w:ascii="Times New Roman" w:hAnsi="Times New Roman" w:cs="Times New Roman"/>
          <w:b/>
          <w:sz w:val="24"/>
          <w:szCs w:val="24"/>
        </w:rPr>
        <w:t>This file includes:</w:t>
      </w:r>
    </w:p>
    <w:p w14:paraId="2EA7626A" w14:textId="77777777" w:rsidR="00A6476B" w:rsidRPr="002661DE" w:rsidRDefault="00A6476B" w:rsidP="00A6476B">
      <w:pPr>
        <w:ind w:firstLine="480"/>
        <w:rPr>
          <w:rFonts w:ascii="Times New Roman" w:hAnsi="Times New Roman" w:cs="Times New Roman"/>
          <w:sz w:val="24"/>
          <w:szCs w:val="24"/>
        </w:rPr>
      </w:pPr>
      <w:r w:rsidRPr="002661DE">
        <w:rPr>
          <w:rFonts w:ascii="Times New Roman" w:hAnsi="Times New Roman" w:cs="Times New Roman"/>
          <w:sz w:val="24"/>
          <w:szCs w:val="24"/>
        </w:rPr>
        <w:t>Supplementary Materials and Methods</w:t>
      </w:r>
    </w:p>
    <w:p w14:paraId="667742F0" w14:textId="382ADE4A" w:rsidR="00A6476B" w:rsidRPr="002661DE" w:rsidRDefault="00A6476B" w:rsidP="00A6476B">
      <w:pPr>
        <w:ind w:firstLine="480"/>
        <w:rPr>
          <w:rFonts w:ascii="Times New Roman" w:hAnsi="Times New Roman" w:cs="Times New Roman"/>
          <w:sz w:val="24"/>
          <w:szCs w:val="24"/>
        </w:rPr>
      </w:pPr>
      <w:r w:rsidRPr="002661DE">
        <w:rPr>
          <w:rFonts w:ascii="Times New Roman" w:hAnsi="Times New Roman" w:cs="Times New Roman"/>
          <w:sz w:val="24"/>
          <w:szCs w:val="24"/>
        </w:rPr>
        <w:t xml:space="preserve">Supplementary Figures 1 to </w:t>
      </w:r>
      <w:r w:rsidR="00AD24B6">
        <w:rPr>
          <w:rFonts w:ascii="Times New Roman" w:hAnsi="Times New Roman" w:cs="Times New Roman"/>
          <w:sz w:val="24"/>
          <w:szCs w:val="24"/>
        </w:rPr>
        <w:t>2</w:t>
      </w:r>
    </w:p>
    <w:p w14:paraId="5C79040E" w14:textId="489AD5E1" w:rsidR="00A6476B" w:rsidRPr="002661DE" w:rsidRDefault="00A6476B" w:rsidP="00A6476B">
      <w:pPr>
        <w:ind w:firstLine="480"/>
        <w:rPr>
          <w:rFonts w:ascii="Times New Roman" w:hAnsi="Times New Roman" w:cs="Times New Roman"/>
          <w:sz w:val="24"/>
          <w:szCs w:val="24"/>
        </w:rPr>
      </w:pPr>
      <w:r w:rsidRPr="002661DE">
        <w:rPr>
          <w:rFonts w:ascii="Times New Roman" w:hAnsi="Times New Roman" w:cs="Times New Roman"/>
          <w:sz w:val="24"/>
          <w:szCs w:val="24"/>
        </w:rPr>
        <w:t xml:space="preserve">Supplementary Tables 1 to </w:t>
      </w:r>
      <w:r w:rsidR="00F453C6" w:rsidRPr="002661DE">
        <w:rPr>
          <w:rFonts w:ascii="Times New Roman" w:hAnsi="Times New Roman" w:cs="Times New Roman"/>
          <w:sz w:val="24"/>
          <w:szCs w:val="24"/>
        </w:rPr>
        <w:t>3</w:t>
      </w:r>
    </w:p>
    <w:p w14:paraId="2937E01D" w14:textId="5F9D86C2" w:rsidR="00A6476B" w:rsidRPr="00D6053D" w:rsidRDefault="00A6476B" w:rsidP="00A6476B">
      <w:pPr>
        <w:ind w:firstLine="480"/>
        <w:rPr>
          <w:rFonts w:ascii="Times New Roman" w:hAnsi="Times New Roman" w:cs="Times New Roman"/>
          <w:sz w:val="24"/>
          <w:szCs w:val="24"/>
        </w:rPr>
      </w:pPr>
    </w:p>
    <w:p w14:paraId="3947B298" w14:textId="0E9B3D33" w:rsidR="00A6476B" w:rsidRPr="00F453C6" w:rsidRDefault="00A6476B" w:rsidP="00A6476B">
      <w:pPr>
        <w:ind w:firstLine="480"/>
        <w:rPr>
          <w:rFonts w:ascii="Times New Roman" w:hAnsi="Times New Roman" w:cs="Times New Roman"/>
          <w:sz w:val="24"/>
          <w:szCs w:val="24"/>
        </w:rPr>
      </w:pPr>
    </w:p>
    <w:p w14:paraId="7487880B" w14:textId="0E7B08E2" w:rsidR="00A6476B" w:rsidRPr="00F453C6" w:rsidRDefault="00A6476B" w:rsidP="00A6476B">
      <w:pPr>
        <w:ind w:firstLine="480"/>
        <w:rPr>
          <w:rFonts w:ascii="Times New Roman" w:hAnsi="Times New Roman" w:cs="Times New Roman"/>
          <w:sz w:val="24"/>
          <w:szCs w:val="24"/>
        </w:rPr>
      </w:pPr>
    </w:p>
    <w:p w14:paraId="21107562" w14:textId="7E906F47" w:rsidR="00A6476B" w:rsidRDefault="00A6476B" w:rsidP="00A6476B">
      <w:pPr>
        <w:ind w:firstLine="480"/>
        <w:rPr>
          <w:rFonts w:ascii="Times New Roman" w:hAnsi="Times New Roman" w:cs="Times New Roman"/>
          <w:sz w:val="24"/>
          <w:szCs w:val="24"/>
        </w:rPr>
      </w:pPr>
    </w:p>
    <w:p w14:paraId="0609FE44" w14:textId="77777777" w:rsidR="00D6053D" w:rsidRPr="00F453C6" w:rsidRDefault="00D6053D" w:rsidP="00A6476B">
      <w:pPr>
        <w:ind w:firstLine="480"/>
        <w:rPr>
          <w:rFonts w:ascii="Times New Roman" w:hAnsi="Times New Roman" w:cs="Times New Roman" w:hint="eastAsia"/>
          <w:sz w:val="24"/>
          <w:szCs w:val="24"/>
        </w:rPr>
      </w:pPr>
    </w:p>
    <w:p w14:paraId="6F8B1C32" w14:textId="46C5B023" w:rsidR="00A6476B" w:rsidRPr="00F453C6" w:rsidRDefault="00A6476B" w:rsidP="00A6476B">
      <w:pPr>
        <w:ind w:firstLine="480"/>
        <w:rPr>
          <w:rFonts w:ascii="Times New Roman" w:hAnsi="Times New Roman" w:cs="Times New Roman"/>
          <w:sz w:val="24"/>
          <w:szCs w:val="24"/>
        </w:rPr>
      </w:pPr>
    </w:p>
    <w:p w14:paraId="2902FFDD" w14:textId="731E9042" w:rsidR="00A6476B" w:rsidRPr="00F453C6" w:rsidRDefault="00A6476B" w:rsidP="00A6476B">
      <w:pPr>
        <w:ind w:firstLine="480"/>
        <w:rPr>
          <w:rFonts w:ascii="Times New Roman" w:hAnsi="Times New Roman" w:cs="Times New Roman"/>
          <w:sz w:val="24"/>
          <w:szCs w:val="24"/>
        </w:rPr>
      </w:pPr>
    </w:p>
    <w:p w14:paraId="76911F0C" w14:textId="3860FEEE" w:rsidR="00A6476B" w:rsidRPr="00F453C6" w:rsidRDefault="00A6476B" w:rsidP="00A6476B">
      <w:pPr>
        <w:ind w:firstLine="480"/>
        <w:rPr>
          <w:rFonts w:ascii="Times New Roman" w:hAnsi="Times New Roman" w:cs="Times New Roman"/>
          <w:sz w:val="24"/>
          <w:szCs w:val="24"/>
        </w:rPr>
      </w:pPr>
    </w:p>
    <w:p w14:paraId="7C20B5C4" w14:textId="0DEA2115" w:rsidR="00A6476B" w:rsidRPr="00F453C6" w:rsidRDefault="00A6476B" w:rsidP="00A6476B">
      <w:pPr>
        <w:ind w:firstLine="480"/>
        <w:rPr>
          <w:rFonts w:ascii="Times New Roman" w:hAnsi="Times New Roman" w:cs="Times New Roman"/>
          <w:sz w:val="24"/>
          <w:szCs w:val="24"/>
        </w:rPr>
      </w:pPr>
    </w:p>
    <w:p w14:paraId="545872F0" w14:textId="77777777" w:rsidR="00A6476B" w:rsidRPr="00F453C6" w:rsidRDefault="00A6476B" w:rsidP="00A6476B">
      <w:pPr>
        <w:ind w:firstLineChars="0" w:firstLine="0"/>
        <w:rPr>
          <w:rFonts w:ascii="Times New Roman" w:hAnsi="Times New Roman" w:cs="Times New Roman"/>
          <w:b/>
          <w:sz w:val="24"/>
          <w:szCs w:val="24"/>
        </w:rPr>
      </w:pPr>
      <w:r w:rsidRPr="00F453C6">
        <w:rPr>
          <w:rFonts w:ascii="Times New Roman" w:hAnsi="Times New Roman" w:cs="Times New Roman"/>
          <w:b/>
          <w:sz w:val="24"/>
          <w:szCs w:val="24"/>
        </w:rPr>
        <w:lastRenderedPageBreak/>
        <w:t>Supplementary Materials and Methods</w:t>
      </w:r>
    </w:p>
    <w:p w14:paraId="23FE1849" w14:textId="77777777" w:rsidR="00A6476B" w:rsidRPr="00F453C6" w:rsidRDefault="00A6476B" w:rsidP="00A6476B">
      <w:pPr>
        <w:widowControl w:val="0"/>
        <w:spacing w:after="0" w:line="480" w:lineRule="auto"/>
        <w:ind w:firstLineChars="0" w:firstLine="0"/>
        <w:rPr>
          <w:rFonts w:ascii="Times New Roman" w:eastAsia="宋体" w:hAnsi="Times New Roman" w:cs="Times New Roman"/>
          <w:b/>
          <w:bCs/>
          <w:sz w:val="24"/>
          <w:szCs w:val="24"/>
        </w:rPr>
      </w:pPr>
      <w:r w:rsidRPr="00F453C6">
        <w:rPr>
          <w:rFonts w:ascii="Times New Roman" w:eastAsia="宋体" w:hAnsi="Times New Roman" w:cs="Times New Roman"/>
          <w:b/>
          <w:bCs/>
          <w:sz w:val="24"/>
          <w:szCs w:val="24"/>
        </w:rPr>
        <w:t>Study designs and participants</w:t>
      </w:r>
    </w:p>
    <w:p w14:paraId="65F67731" w14:textId="3334A1DA"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 xml:space="preserve">In </w:t>
      </w:r>
      <w:bookmarkStart w:id="17" w:name="_Hlk66290887"/>
      <w:r w:rsidRPr="00F453C6">
        <w:rPr>
          <w:rFonts w:ascii="Times New Roman" w:eastAsia="宋体" w:hAnsi="Times New Roman" w:cs="Times New Roman"/>
          <w:sz w:val="24"/>
          <w:szCs w:val="24"/>
        </w:rPr>
        <w:t>the hospital-based case-control study</w:t>
      </w:r>
      <w:bookmarkEnd w:id="17"/>
      <w:r w:rsidRPr="00F453C6">
        <w:rPr>
          <w:rFonts w:ascii="Times New Roman" w:eastAsia="宋体" w:hAnsi="Times New Roman" w:cs="Times New Roman"/>
          <w:sz w:val="24"/>
          <w:szCs w:val="24"/>
        </w:rPr>
        <w:t>, cases (</w:t>
      </w:r>
      <w:r w:rsidRPr="00F453C6">
        <w:rPr>
          <w:rFonts w:ascii="Times New Roman" w:eastAsia="宋体" w:hAnsi="Times New Roman" w:cs="Times New Roman"/>
          <w:i/>
          <w:iCs/>
          <w:sz w:val="24"/>
          <w:szCs w:val="24"/>
        </w:rPr>
        <w:t xml:space="preserve">n </w:t>
      </w:r>
      <w:r w:rsidRPr="00F453C6">
        <w:rPr>
          <w:rFonts w:ascii="Times New Roman" w:eastAsia="宋体" w:hAnsi="Times New Roman" w:cs="Times New Roman"/>
          <w:sz w:val="24"/>
          <w:szCs w:val="24"/>
        </w:rPr>
        <w:t>= 132) and controls (</w:t>
      </w:r>
      <w:r w:rsidRPr="00F453C6">
        <w:rPr>
          <w:rFonts w:ascii="Times New Roman" w:eastAsia="宋体" w:hAnsi="Times New Roman" w:cs="Times New Roman"/>
          <w:i/>
          <w:iCs/>
          <w:sz w:val="24"/>
          <w:szCs w:val="24"/>
        </w:rPr>
        <w:t xml:space="preserve">n </w:t>
      </w:r>
      <w:r w:rsidRPr="00F453C6">
        <w:rPr>
          <w:rFonts w:ascii="Times New Roman" w:eastAsia="宋体" w:hAnsi="Times New Roman" w:cs="Times New Roman"/>
          <w:sz w:val="24"/>
          <w:szCs w:val="24"/>
        </w:rPr>
        <w:t xml:space="preserve">= 152) were consecutively collected from the serum bank of Sun Yat-sen University Cancer Center (SYSUCC) (Guangzhou, Guangdong, China) from 2009 to 2015. The patients were selected based on the following criteria: </w:t>
      </w:r>
      <w:bookmarkStart w:id="18" w:name="_Hlk74216040"/>
      <w:r w:rsidRPr="00F453C6">
        <w:rPr>
          <w:rFonts w:ascii="Times New Roman" w:eastAsia="宋体" w:hAnsi="Times New Roman" w:cs="Times New Roman"/>
          <w:sz w:val="24"/>
          <w:szCs w:val="24"/>
        </w:rPr>
        <w:t>(</w:t>
      </w:r>
      <w:proofErr w:type="spellStart"/>
      <w:r w:rsidRPr="00F453C6">
        <w:rPr>
          <w:rFonts w:ascii="Times New Roman" w:eastAsia="宋体" w:hAnsi="Times New Roman" w:cs="Times New Roman"/>
          <w:sz w:val="24"/>
          <w:szCs w:val="24"/>
        </w:rPr>
        <w:t>i</w:t>
      </w:r>
      <w:proofErr w:type="spellEnd"/>
      <w:r w:rsidRPr="00F453C6">
        <w:rPr>
          <w:rFonts w:ascii="Times New Roman" w:eastAsia="宋体" w:hAnsi="Times New Roman" w:cs="Times New Roman"/>
          <w:sz w:val="24"/>
          <w:szCs w:val="24"/>
        </w:rPr>
        <w:t>)</w:t>
      </w:r>
      <w:bookmarkEnd w:id="18"/>
      <w:r w:rsidRPr="00F453C6">
        <w:rPr>
          <w:rFonts w:ascii="Times New Roman" w:eastAsia="宋体" w:hAnsi="Times New Roman" w:cs="Times New Roman"/>
          <w:sz w:val="24"/>
          <w:szCs w:val="24"/>
        </w:rPr>
        <w:t xml:space="preserve"> Cantonese NPC patients with histologically proven NPC who had not undergone any treatment; </w:t>
      </w:r>
      <w:bookmarkStart w:id="19" w:name="_Hlk74216050"/>
      <w:r w:rsidRPr="00F453C6">
        <w:rPr>
          <w:rFonts w:ascii="Times New Roman" w:eastAsia="宋体" w:hAnsi="Times New Roman" w:cs="Times New Roman"/>
          <w:sz w:val="24"/>
          <w:szCs w:val="24"/>
        </w:rPr>
        <w:t>(ii)</w:t>
      </w:r>
      <w:bookmarkEnd w:id="19"/>
      <w:r w:rsidRPr="00F453C6">
        <w:rPr>
          <w:rFonts w:ascii="Times New Roman" w:eastAsia="宋体" w:hAnsi="Times New Roman" w:cs="Times New Roman"/>
          <w:sz w:val="24"/>
          <w:szCs w:val="24"/>
        </w:rPr>
        <w:t xml:space="preserve"> aged 30–69 years old; </w:t>
      </w:r>
      <w:bookmarkStart w:id="20" w:name="_Hlk74216065"/>
      <w:r w:rsidRPr="00F453C6">
        <w:rPr>
          <w:rFonts w:ascii="Times New Roman" w:eastAsia="宋体" w:hAnsi="Times New Roman" w:cs="Times New Roman"/>
          <w:sz w:val="24"/>
          <w:szCs w:val="24"/>
        </w:rPr>
        <w:t>(iii)</w:t>
      </w:r>
      <w:bookmarkEnd w:id="20"/>
      <w:r w:rsidRPr="00F453C6">
        <w:rPr>
          <w:rFonts w:ascii="Times New Roman" w:eastAsia="宋体" w:hAnsi="Times New Roman" w:cs="Times New Roman"/>
          <w:sz w:val="24"/>
          <w:szCs w:val="24"/>
        </w:rPr>
        <w:t xml:space="preserve"> lacked any severe inflammation, immune system disease, or diabetes; and (iv) had serum samples collected before treatment. Healthy controls undergoing routine health with no history of cancer were individually matched to cases based on cohort of origin, birth year, sex, date of blood collection </w:t>
      </w:r>
      <w:r w:rsidRPr="00F453C6">
        <w:rPr>
          <w:rFonts w:ascii="Times New Roman" w:eastAsia="宋体" w:hAnsi="Times New Roman" w:cs="Times New Roman"/>
          <w:sz w:val="24"/>
          <w:szCs w:val="24"/>
        </w:rPr>
        <w:fldChar w:fldCharType="begin"/>
      </w:r>
      <w:r w:rsidRPr="00F453C6">
        <w:rPr>
          <w:rFonts w:ascii="Times New Roman" w:eastAsia="宋体" w:hAnsi="Times New Roman" w:cs="Times New Roman"/>
          <w:sz w:val="24"/>
          <w:szCs w:val="24"/>
        </w:rPr>
        <w:instrText xml:space="preserve"> ADDIN EN.CITE &lt;EndNote&gt;&lt;Cite&gt;&lt;Author&gt;Yang&lt;/Author&gt;&lt;Year&gt;2018&lt;/Year&gt;&lt;RecNum&gt;68&lt;/RecNum&gt;&lt;DisplayText&gt;[1]&lt;/DisplayText&gt;&lt;record&gt;&lt;rec-number&gt;68&lt;/rec-number&gt;&lt;foreign-keys&gt;&lt;key app="EN" db-id="2wtfe92fnvedr2ezpaepsep1w5esrxwxfzve" timestamp="1621064218"&gt;68&lt;/key&gt;&lt;/foreign-keys&gt;&lt;ref-type name="Electronic Article"&gt;43&lt;/ref-type&gt;&lt;contributors&gt;&lt;authors&gt;&lt;author&gt;Yang, Meng-Jie&lt;/author&gt;&lt;author&gt;Guo, Jie&lt;/author&gt;&lt;author&gt;Ye, Yan-Fang&lt;/author&gt;&lt;author&gt;Chen, Sui-Hong&lt;/author&gt;&lt;author&gt;Peng, Li-Xia&lt;/author&gt;&lt;author&gt;Lin, Chu-Yang&lt;/author&gt;&lt;author&gt;Hu, Ting&lt;/author&gt;&lt;author&gt;Xie, Shang-Hang&lt;/author&gt;&lt;author&gt;Xie, Chuan-Bo&lt;/author&gt;&lt;author&gt;Huang, Qi-Hong&lt;/author&gt;&lt;author&gt;Lu, Yu-Qiang&lt;/author&gt;&lt;author&gt;Liu, Qing&lt;/author&gt;&lt;author&gt;Qian, Chao-Nan&lt;/author&gt;&lt;author&gt;Cao, Su-Mei&lt;/author&gt;&lt;/authors&gt;&lt;/contributors&gt;&lt;auth-address&gt;State Key Laboratory of Oncology in South China, Collaborative Innovation Center for Cancer Medicine, Sun Yat-sen University Cancer Center, Guangzhou, 510060, Guangdong, P. R. China.&lt;/auth-address&gt;&lt;titles&gt;&lt;title&gt;Decreased macrophage inflammatory protein (MIP)-1α and MIP-1β increase the risk of developing nasopharyngeal carcinoma&lt;/title&gt;&lt;secondary-title&gt;Cancer communications&lt;/secondary-title&gt;&lt;alt-title&gt;Cancer Commun&lt;/alt-title&gt;&lt;/titles&gt;&lt;periodical&gt;&lt;full-title&gt;Cancer Communications&lt;/full-title&gt;&lt;abbr-1&gt;Cancer Commun.&lt;/abbr-1&gt;&lt;abbr-2&gt;Cancer Commun&lt;/abbr-2&gt;&lt;/periodical&gt;&lt;alt-periodical&gt;&lt;full-title&gt;Cancer Communications&lt;/full-title&gt;&lt;abbr-1&gt;Cancer Commun.&lt;/abbr-1&gt;&lt;abbr-2&gt;Cancer Commun&lt;/abbr-2&gt;&lt;/alt-periodical&gt;&lt;pages&gt;7&lt;/pages&gt;&lt;volume&gt;38&lt;/volume&gt;&lt;number&gt;1&lt;/number&gt;&lt;dates&gt;&lt;year&gt;2018&lt;/year&gt;&lt;pub-dates&gt;&lt;date&gt;2018/04//&lt;/date&gt;&lt;/pub-dates&gt;&lt;/dates&gt;&lt;isbn&gt;2523-3548&lt;/isbn&gt;&lt;accession-num&gt;29764502&lt;/accession-num&gt;&lt;urls&gt;&lt;related-urls&gt;&lt;url&gt;https://doi.org/10.1186/s40880-018-0279-y&lt;/url&gt;&lt;/related-urls&gt;&lt;/urls&gt;&lt;electronic-resource-num&gt;10.1186/s40880-018-0279-y&lt;/electronic-resource-num&gt;&lt;remote-database-name&gt;PubMed&lt;/remote-database-name&gt;&lt;language&gt;eng&lt;/language&gt;&lt;/record&gt;&lt;/Cite&gt;&lt;/EndNote&gt;</w:instrText>
      </w:r>
      <w:r w:rsidRPr="00F453C6">
        <w:rPr>
          <w:rFonts w:ascii="Times New Roman" w:eastAsia="宋体" w:hAnsi="Times New Roman" w:cs="Times New Roman"/>
          <w:sz w:val="24"/>
          <w:szCs w:val="24"/>
        </w:rPr>
        <w:fldChar w:fldCharType="separate"/>
      </w:r>
      <w:r w:rsidRPr="00F453C6">
        <w:rPr>
          <w:rFonts w:ascii="Times New Roman" w:eastAsia="宋体" w:hAnsi="Times New Roman" w:cs="Times New Roman"/>
          <w:noProof/>
          <w:sz w:val="24"/>
          <w:szCs w:val="24"/>
        </w:rPr>
        <w:t>[1]</w:t>
      </w:r>
      <w:r w:rsidRPr="00F453C6">
        <w:rPr>
          <w:rFonts w:ascii="Times New Roman" w:eastAsia="宋体" w:hAnsi="Times New Roman" w:cs="Times New Roman"/>
          <w:sz w:val="24"/>
          <w:szCs w:val="24"/>
        </w:rPr>
        <w:fldChar w:fldCharType="end"/>
      </w:r>
      <w:r w:rsidRPr="00F453C6">
        <w:rPr>
          <w:rFonts w:ascii="Times New Roman" w:eastAsia="宋体" w:hAnsi="Times New Roman" w:cs="Times New Roman"/>
          <w:sz w:val="24"/>
          <w:szCs w:val="24"/>
        </w:rPr>
        <w:t xml:space="preserve">. All diagnoses of NPC were confirmed by biopsy. </w:t>
      </w:r>
    </w:p>
    <w:p w14:paraId="3B47885D" w14:textId="342EABCD"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 xml:space="preserve">In </w:t>
      </w:r>
      <w:bookmarkStart w:id="21" w:name="_Hlk66290799"/>
      <w:r w:rsidRPr="00F453C6">
        <w:rPr>
          <w:rFonts w:ascii="Times New Roman" w:eastAsia="宋体" w:hAnsi="Times New Roman" w:cs="Times New Roman"/>
          <w:sz w:val="24"/>
          <w:szCs w:val="24"/>
        </w:rPr>
        <w:t>nested case-control study</w:t>
      </w:r>
      <w:bookmarkEnd w:id="21"/>
      <w:r w:rsidRPr="00F453C6">
        <w:rPr>
          <w:rFonts w:ascii="Times New Roman" w:eastAsia="宋体" w:hAnsi="Times New Roman" w:cs="Times New Roman"/>
          <w:sz w:val="24"/>
          <w:szCs w:val="24"/>
        </w:rPr>
        <w:t xml:space="preserve">, 71 patients with NPC via nasopharyngeal fiberoptic examination were selected from community-based NPC screening cohort </w:t>
      </w:r>
      <w:r w:rsidRPr="00F453C6">
        <w:rPr>
          <w:rFonts w:ascii="Times New Roman" w:hAnsi="Times New Roman" w:cs="Times New Roman"/>
          <w:sz w:val="24"/>
          <w:szCs w:val="24"/>
        </w:rPr>
        <w:fldChar w:fldCharType="begin">
          <w:fldData xml:space="preserve">PEVuZE5vdGU+PENpdGU+PEF1dGhvcj5MaXU8L0F1dGhvcj48WWVhcj4yMDEzPC9ZZWFyPjxSZWNO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</w:fldData>
        </w:fldChar>
      </w:r>
      <w:r w:rsidRPr="00F453C6">
        <w:rPr>
          <w:rFonts w:ascii="Times New Roman" w:hAnsi="Times New Roman" w:cs="Times New Roman"/>
          <w:sz w:val="24"/>
          <w:szCs w:val="24"/>
        </w:rPr>
        <w:instrText xml:space="preserve"> ADDIN EN.CITE </w:instrText>
      </w:r>
      <w:r w:rsidRPr="00F453C6">
        <w:rPr>
          <w:rFonts w:ascii="Times New Roman" w:hAnsi="Times New Roman" w:cs="Times New Roman"/>
          <w:sz w:val="24"/>
          <w:szCs w:val="24"/>
        </w:rPr>
        <w:fldChar w:fldCharType="begin">
          <w:fldData xml:space="preserve">PEVuZE5vdGU+PENpdGU+PEF1dGhvcj5MaXU8L0F1dGhvcj48WWVhcj4yMDEzPC9ZZWFyPjxSZWNO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</w:fldData>
        </w:fldChar>
      </w:r>
      <w:r w:rsidRPr="00F453C6">
        <w:rPr>
          <w:rFonts w:ascii="Times New Roman" w:hAnsi="Times New Roman" w:cs="Times New Roman"/>
          <w:sz w:val="24"/>
          <w:szCs w:val="24"/>
        </w:rPr>
        <w:instrText xml:space="preserve"> ADDIN EN.CITE.DATA </w:instrText>
      </w:r>
      <w:r w:rsidRPr="00F453C6">
        <w:rPr>
          <w:rFonts w:ascii="Times New Roman" w:hAnsi="Times New Roman" w:cs="Times New Roman"/>
          <w:sz w:val="24"/>
          <w:szCs w:val="24"/>
        </w:rPr>
      </w:r>
      <w:r w:rsidRPr="00F453C6">
        <w:rPr>
          <w:rFonts w:ascii="Times New Roman" w:hAnsi="Times New Roman" w:cs="Times New Roman"/>
          <w:sz w:val="24"/>
          <w:szCs w:val="24"/>
        </w:rPr>
        <w:fldChar w:fldCharType="end"/>
      </w:r>
      <w:r w:rsidRPr="00F453C6">
        <w:rPr>
          <w:rFonts w:ascii="Times New Roman" w:hAnsi="Times New Roman" w:cs="Times New Roman"/>
          <w:sz w:val="24"/>
          <w:szCs w:val="24"/>
        </w:rPr>
      </w:r>
      <w:r w:rsidRPr="00F453C6">
        <w:rPr>
          <w:rFonts w:ascii="Times New Roman" w:hAnsi="Times New Roman" w:cs="Times New Roman"/>
          <w:sz w:val="24"/>
          <w:szCs w:val="24"/>
        </w:rPr>
        <w:fldChar w:fldCharType="separate"/>
      </w:r>
      <w:r w:rsidRPr="00F453C6">
        <w:rPr>
          <w:rFonts w:ascii="Times New Roman" w:hAnsi="Times New Roman" w:cs="Times New Roman"/>
          <w:noProof/>
          <w:sz w:val="24"/>
          <w:szCs w:val="24"/>
        </w:rPr>
        <w:t>[2]</w:t>
      </w:r>
      <w:r w:rsidRPr="00F453C6">
        <w:rPr>
          <w:rFonts w:ascii="Times New Roman" w:hAnsi="Times New Roman" w:cs="Times New Roman"/>
          <w:sz w:val="24"/>
          <w:szCs w:val="24"/>
        </w:rPr>
        <w:fldChar w:fldCharType="end"/>
      </w:r>
      <w:r w:rsidRPr="00F453C6">
        <w:rPr>
          <w:rFonts w:ascii="Times New Roman" w:eastAsia="宋体" w:hAnsi="Times New Roman" w:cs="Times New Roman"/>
          <w:sz w:val="24"/>
          <w:szCs w:val="24"/>
        </w:rPr>
        <w:t>. In addition to meeting the inclusion and exclusion criteria, case subjects were required to meet the following criteria: (</w:t>
      </w:r>
      <w:proofErr w:type="spellStart"/>
      <w:r w:rsidRPr="00F453C6">
        <w:rPr>
          <w:rFonts w:ascii="Times New Roman" w:eastAsia="宋体" w:hAnsi="Times New Roman" w:cs="Times New Roman"/>
          <w:sz w:val="24"/>
          <w:szCs w:val="24"/>
        </w:rPr>
        <w:t>i</w:t>
      </w:r>
      <w:proofErr w:type="spellEnd"/>
      <w:r w:rsidRPr="00F453C6">
        <w:rPr>
          <w:rFonts w:ascii="Times New Roman" w:eastAsia="宋体" w:hAnsi="Times New Roman" w:cs="Times New Roman"/>
          <w:sz w:val="24"/>
          <w:szCs w:val="24"/>
        </w:rPr>
        <w:t xml:space="preserve">) maintenance of at least 100 </w:t>
      </w:r>
      <w:proofErr w:type="spellStart"/>
      <w:r w:rsidRPr="00F453C6">
        <w:rPr>
          <w:rFonts w:ascii="Times New Roman" w:eastAsia="宋体" w:hAnsi="Times New Roman" w:cs="Times New Roman"/>
          <w:sz w:val="24"/>
          <w:szCs w:val="24"/>
        </w:rPr>
        <w:t>μL</w:t>
      </w:r>
      <w:proofErr w:type="spellEnd"/>
      <w:r w:rsidRPr="00F453C6">
        <w:rPr>
          <w:rFonts w:ascii="Times New Roman" w:eastAsia="宋体" w:hAnsi="Times New Roman" w:cs="Times New Roman"/>
          <w:sz w:val="24"/>
          <w:szCs w:val="24"/>
        </w:rPr>
        <w:t xml:space="preserve"> of serum samples taken at time of enrollment; (ii) complete age and gender baseline data; and (iii) no serious immunodeficiency disease at time of enrollment. According to the age of the case group (±1-year), gender and blood draw time, the case control ratio was 1:2, and therefore 142 patients without NPC were randomly</w:t>
      </w:r>
      <w:r w:rsidRPr="00F453C6">
        <w:rPr>
          <w:rFonts w:ascii="Times New Roman" w:hAnsi="Times New Roman" w:cs="Times New Roman"/>
          <w:sz w:val="24"/>
          <w:szCs w:val="24"/>
        </w:rPr>
        <w:t xml:space="preserve"> </w:t>
      </w:r>
      <w:r w:rsidRPr="00F453C6">
        <w:rPr>
          <w:rFonts w:ascii="Times New Roman" w:eastAsia="宋体" w:hAnsi="Times New Roman" w:cs="Times New Roman"/>
          <w:sz w:val="24"/>
          <w:szCs w:val="24"/>
        </w:rPr>
        <w:t>assigned as the control group in the cohort. All subjects signed on written informed consent, and human subject approval was obtained from the Institutional Review Board of SYSUCC (No. YP2009051).</w:t>
      </w:r>
    </w:p>
    <w:p w14:paraId="42473166" w14:textId="77777777" w:rsidR="00A6476B" w:rsidRPr="00F453C6" w:rsidRDefault="00A6476B" w:rsidP="00A6476B">
      <w:pPr>
        <w:widowControl w:val="0"/>
        <w:spacing w:after="0" w:line="480" w:lineRule="auto"/>
        <w:ind w:firstLineChars="0" w:firstLine="0"/>
        <w:rPr>
          <w:rFonts w:ascii="Times New Roman" w:eastAsia="宋体" w:hAnsi="Times New Roman" w:cs="Times New Roman"/>
          <w:sz w:val="24"/>
          <w:szCs w:val="24"/>
        </w:rPr>
      </w:pPr>
    </w:p>
    <w:p w14:paraId="403EF92F" w14:textId="77777777" w:rsidR="00A6476B" w:rsidRPr="00F453C6" w:rsidRDefault="00A6476B" w:rsidP="00A6476B">
      <w:pPr>
        <w:widowControl w:val="0"/>
        <w:spacing w:after="0" w:line="480" w:lineRule="auto"/>
        <w:ind w:firstLineChars="0" w:firstLine="0"/>
        <w:rPr>
          <w:rFonts w:ascii="Times New Roman" w:eastAsia="宋体" w:hAnsi="Times New Roman" w:cs="Times New Roman"/>
          <w:b/>
          <w:bCs/>
          <w:sz w:val="24"/>
          <w:szCs w:val="24"/>
        </w:rPr>
      </w:pPr>
      <w:r w:rsidRPr="00F453C6">
        <w:rPr>
          <w:rFonts w:ascii="Times New Roman" w:eastAsia="宋体" w:hAnsi="Times New Roman" w:cs="Times New Roman"/>
          <w:b/>
          <w:bCs/>
          <w:sz w:val="24"/>
          <w:szCs w:val="24"/>
        </w:rPr>
        <w:t>Blood collection and detection</w:t>
      </w:r>
    </w:p>
    <w:p w14:paraId="4AEA65D4" w14:textId="77777777"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Blood samples were collected in inert separation gel coagulation tube after overnight fasting. After centrifugation at 2000g for 20 mins at 4°C, the obtained serum was separated and stored at −80°C until analysis.</w:t>
      </w:r>
    </w:p>
    <w:p w14:paraId="1D51431F" w14:textId="7E1F41C6"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 xml:space="preserve">The serum concentrations of EBV Epstein–Barr nuclear antigen 1–immunoglobulin A (EBNA1-IgA) (ZSGB-Bio, Beijing, China) and </w:t>
      </w:r>
      <w:bookmarkStart w:id="22" w:name="_Hlk65862858"/>
      <w:r w:rsidRPr="00F453C6">
        <w:rPr>
          <w:rFonts w:ascii="Times New Roman" w:eastAsia="宋体" w:hAnsi="Times New Roman" w:cs="Times New Roman"/>
          <w:sz w:val="24"/>
          <w:szCs w:val="24"/>
        </w:rPr>
        <w:t>viral-</w:t>
      </w:r>
      <w:proofErr w:type="spellStart"/>
      <w:r w:rsidRPr="00F453C6">
        <w:rPr>
          <w:rFonts w:ascii="Times New Roman" w:eastAsia="宋体" w:hAnsi="Times New Roman" w:cs="Times New Roman"/>
          <w:sz w:val="24"/>
          <w:szCs w:val="24"/>
        </w:rPr>
        <w:t>caspid</w:t>
      </w:r>
      <w:proofErr w:type="spellEnd"/>
      <w:r w:rsidRPr="00F453C6">
        <w:rPr>
          <w:rFonts w:ascii="Times New Roman" w:eastAsia="宋体" w:hAnsi="Times New Roman" w:cs="Times New Roman"/>
          <w:sz w:val="24"/>
          <w:szCs w:val="24"/>
        </w:rPr>
        <w:t xml:space="preserve"> antigen–IgA (VCA-IgA) (EUROIMMUN </w:t>
      </w:r>
      <w:proofErr w:type="spellStart"/>
      <w:r w:rsidRPr="00F453C6">
        <w:rPr>
          <w:rFonts w:ascii="Times New Roman" w:eastAsia="宋体" w:hAnsi="Times New Roman" w:cs="Times New Roman"/>
          <w:sz w:val="24"/>
          <w:szCs w:val="24"/>
        </w:rPr>
        <w:t>Medizinische</w:t>
      </w:r>
      <w:proofErr w:type="spellEnd"/>
      <w:r w:rsidRPr="00F453C6">
        <w:rPr>
          <w:rFonts w:ascii="Times New Roman" w:eastAsia="宋体" w:hAnsi="Times New Roman" w:cs="Times New Roman"/>
          <w:sz w:val="24"/>
          <w:szCs w:val="24"/>
        </w:rPr>
        <w:t xml:space="preserve"> </w:t>
      </w:r>
      <w:proofErr w:type="spellStart"/>
      <w:r w:rsidRPr="00F453C6">
        <w:rPr>
          <w:rFonts w:ascii="Times New Roman" w:eastAsia="宋体" w:hAnsi="Times New Roman" w:cs="Times New Roman"/>
          <w:sz w:val="24"/>
          <w:szCs w:val="24"/>
        </w:rPr>
        <w:t>Labordiagnostika</w:t>
      </w:r>
      <w:proofErr w:type="spellEnd"/>
      <w:r w:rsidRPr="00F453C6">
        <w:rPr>
          <w:rFonts w:ascii="Times New Roman" w:eastAsia="宋体" w:hAnsi="Times New Roman" w:cs="Times New Roman"/>
          <w:sz w:val="24"/>
          <w:szCs w:val="24"/>
        </w:rPr>
        <w:t xml:space="preserve"> AG, Lübeck, Germany) were measured using an enzyme-linked immunosorbent assay kit according to manufacturer’s instructions.</w:t>
      </w:r>
      <w:bookmarkEnd w:id="22"/>
      <w:r w:rsidRPr="00F453C6">
        <w:rPr>
          <w:rFonts w:ascii="Times New Roman" w:eastAsia="宋体" w:hAnsi="Times New Roman" w:cs="Times New Roman"/>
          <w:sz w:val="24"/>
          <w:szCs w:val="24"/>
        </w:rPr>
        <w:t xml:space="preserve"> </w:t>
      </w:r>
      <w:bookmarkStart w:id="23" w:name="_Hlk68596177"/>
      <w:r w:rsidRPr="00F453C6">
        <w:rPr>
          <w:rFonts w:ascii="Times New Roman" w:eastAsia="宋体" w:hAnsi="Times New Roman" w:cs="Times New Roman"/>
          <w:sz w:val="24"/>
          <w:szCs w:val="24"/>
        </w:rPr>
        <w:t xml:space="preserve">Positivity for ELISA-based antibodies depended on the </w:t>
      </w:r>
      <w:bookmarkStart w:id="24" w:name="_Hlk76387902"/>
      <w:r w:rsidRPr="00F453C6">
        <w:rPr>
          <w:rFonts w:ascii="Times New Roman" w:eastAsia="宋体" w:hAnsi="Times New Roman" w:cs="Times New Roman"/>
          <w:sz w:val="24"/>
          <w:szCs w:val="24"/>
        </w:rPr>
        <w:t>relative optical density (</w:t>
      </w:r>
      <w:proofErr w:type="spellStart"/>
      <w:r w:rsidRPr="00F453C6">
        <w:rPr>
          <w:rFonts w:ascii="Times New Roman" w:eastAsia="宋体" w:hAnsi="Times New Roman" w:cs="Times New Roman"/>
          <w:sz w:val="24"/>
          <w:szCs w:val="24"/>
        </w:rPr>
        <w:t>rOD</w:t>
      </w:r>
      <w:proofErr w:type="spellEnd"/>
      <w:r w:rsidRPr="00F453C6">
        <w:rPr>
          <w:rFonts w:ascii="Times New Roman" w:eastAsia="宋体" w:hAnsi="Times New Roman" w:cs="Times New Roman"/>
          <w:sz w:val="24"/>
          <w:szCs w:val="24"/>
        </w:rPr>
        <w:t>)</w:t>
      </w:r>
      <w:bookmarkEnd w:id="24"/>
      <w:r w:rsidRPr="00F453C6">
        <w:rPr>
          <w:rFonts w:ascii="Times New Roman" w:eastAsia="宋体" w:hAnsi="Times New Roman" w:cs="Times New Roman"/>
          <w:sz w:val="24"/>
          <w:szCs w:val="24"/>
        </w:rPr>
        <w:t xml:space="preserve"> value, which was calculated as the ratio of the optical density value to a reference cutoff OD value tested simultaneously. The positive criteria were ≥0.7 for EBNA1‐IgA and ≥0.8 for VCA‐IgA.</w:t>
      </w:r>
      <w:bookmarkEnd w:id="23"/>
      <w:r w:rsidRPr="00F453C6">
        <w:rPr>
          <w:rFonts w:ascii="Times New Roman" w:eastAsia="宋体" w:hAnsi="Times New Roman" w:cs="Times New Roman"/>
          <w:sz w:val="24"/>
          <w:szCs w:val="24"/>
        </w:rPr>
        <w:t xml:space="preserve"> The risk of nasopharyngeal carcinoma was analyzed using a prior defined assessment equation (Logit </w:t>
      </w:r>
      <w:r w:rsidRPr="00F453C6">
        <w:rPr>
          <w:rFonts w:ascii="Times New Roman" w:eastAsia="宋体" w:hAnsi="Times New Roman" w:cs="Times New Roman"/>
          <w:i/>
          <w:iCs/>
          <w:sz w:val="24"/>
          <w:szCs w:val="24"/>
        </w:rPr>
        <w:t>P</w:t>
      </w:r>
      <w:r w:rsidRPr="00F453C6">
        <w:rPr>
          <w:rFonts w:ascii="Times New Roman" w:eastAsia="宋体" w:hAnsi="Times New Roman" w:cs="Times New Roman"/>
          <w:sz w:val="24"/>
          <w:szCs w:val="24"/>
        </w:rPr>
        <w:t xml:space="preserve"> = −3.934 + 2.203 × VCA-IgA + 4.797 × EBNA1-IgA) </w:t>
      </w:r>
      <w:r w:rsidRPr="00F453C6">
        <w:rPr>
          <w:rFonts w:ascii="Times New Roman" w:hAnsi="Times New Roman" w:cs="Times New Roman"/>
          <w:sz w:val="24"/>
          <w:szCs w:val="24"/>
        </w:rPr>
        <w:fldChar w:fldCharType="begin">
          <w:fldData xml:space="preserve">PEVuZE5vdGU+PENpdGU+PEF1dGhvcj5MaXU8L0F1dGhvcj48WWVhcj4yMDEyPC9ZZWFyPjxSZWNO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</w:fldData>
        </w:fldChar>
      </w:r>
      <w:r w:rsidRPr="00F453C6">
        <w:rPr>
          <w:rFonts w:ascii="Times New Roman" w:hAnsi="Times New Roman" w:cs="Times New Roman"/>
          <w:sz w:val="24"/>
          <w:szCs w:val="24"/>
        </w:rPr>
        <w:instrText xml:space="preserve"> ADDIN EN.CITE </w:instrText>
      </w:r>
      <w:r w:rsidRPr="00F453C6">
        <w:rPr>
          <w:rFonts w:ascii="Times New Roman" w:hAnsi="Times New Roman" w:cs="Times New Roman"/>
          <w:sz w:val="24"/>
          <w:szCs w:val="24"/>
        </w:rPr>
        <w:fldChar w:fldCharType="begin">
          <w:fldData xml:space="preserve">PEVuZE5vdGU+PENpdGU+PEF1dGhvcj5MaXU8L0F1dGhvcj48WWVhcj4yMDEyPC9ZZWFyPjxSZWNO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</w:fldData>
        </w:fldChar>
      </w:r>
      <w:r w:rsidRPr="00F453C6">
        <w:rPr>
          <w:rFonts w:ascii="Times New Roman" w:hAnsi="Times New Roman" w:cs="Times New Roman"/>
          <w:sz w:val="24"/>
          <w:szCs w:val="24"/>
        </w:rPr>
        <w:instrText xml:space="preserve"> ADDIN EN.CITE.DATA </w:instrText>
      </w:r>
      <w:r w:rsidRPr="00F453C6">
        <w:rPr>
          <w:rFonts w:ascii="Times New Roman" w:hAnsi="Times New Roman" w:cs="Times New Roman"/>
          <w:sz w:val="24"/>
          <w:szCs w:val="24"/>
        </w:rPr>
      </w:r>
      <w:r w:rsidRPr="00F453C6">
        <w:rPr>
          <w:rFonts w:ascii="Times New Roman" w:hAnsi="Times New Roman" w:cs="Times New Roman"/>
          <w:sz w:val="24"/>
          <w:szCs w:val="24"/>
        </w:rPr>
        <w:fldChar w:fldCharType="end"/>
      </w:r>
      <w:r w:rsidRPr="00F453C6">
        <w:rPr>
          <w:rFonts w:ascii="Times New Roman" w:hAnsi="Times New Roman" w:cs="Times New Roman"/>
          <w:sz w:val="24"/>
          <w:szCs w:val="24"/>
        </w:rPr>
      </w:r>
      <w:r w:rsidRPr="00F453C6">
        <w:rPr>
          <w:rFonts w:ascii="Times New Roman" w:hAnsi="Times New Roman" w:cs="Times New Roman"/>
          <w:sz w:val="24"/>
          <w:szCs w:val="24"/>
        </w:rPr>
        <w:fldChar w:fldCharType="separate"/>
      </w:r>
      <w:r w:rsidRPr="00F453C6">
        <w:rPr>
          <w:rFonts w:ascii="Times New Roman" w:hAnsi="Times New Roman" w:cs="Times New Roman"/>
          <w:noProof/>
          <w:sz w:val="24"/>
          <w:szCs w:val="24"/>
        </w:rPr>
        <w:t>[3]</w:t>
      </w:r>
      <w:r w:rsidRPr="00F453C6">
        <w:rPr>
          <w:rFonts w:ascii="Times New Roman" w:hAnsi="Times New Roman" w:cs="Times New Roman"/>
          <w:sz w:val="24"/>
          <w:szCs w:val="24"/>
        </w:rPr>
        <w:fldChar w:fldCharType="end"/>
      </w:r>
      <w:r w:rsidRPr="00F453C6">
        <w:rPr>
          <w:rFonts w:ascii="Times New Roman" w:hAnsi="Times New Roman" w:cs="Times New Roman"/>
          <w:sz w:val="24"/>
          <w:szCs w:val="24"/>
        </w:rPr>
        <w:t>.</w:t>
      </w:r>
      <w:r w:rsidRPr="00F453C6">
        <w:rPr>
          <w:rFonts w:ascii="Times New Roman" w:eastAsia="宋体" w:hAnsi="Times New Roman" w:cs="Times New Roman"/>
          <w:sz w:val="24"/>
          <w:szCs w:val="24"/>
        </w:rPr>
        <w:t xml:space="preserve"> If the baseline serologic results fulfilled the definition of high risk, the participants were referred for diagnostic examinations, and different screening intervals were assigned to the high-risk (</w:t>
      </w:r>
      <w:r w:rsidRPr="008006F3">
        <w:rPr>
          <w:rFonts w:ascii="Times New Roman" w:eastAsia="宋体" w:hAnsi="Times New Roman" w:cs="Times New Roman"/>
          <w:i/>
          <w:iCs/>
          <w:sz w:val="24"/>
          <w:szCs w:val="24"/>
        </w:rPr>
        <w:t>P</w:t>
      </w:r>
      <w:r w:rsidRPr="00F453C6">
        <w:rPr>
          <w:rFonts w:ascii="Times New Roman" w:eastAsia="宋体" w:hAnsi="Times New Roman" w:cs="Times New Roman"/>
          <w:sz w:val="24"/>
          <w:szCs w:val="24"/>
        </w:rPr>
        <w:t xml:space="preserve"> ≥ 0.98), medium-risk (0.98 &gt;</w:t>
      </w:r>
      <w:r w:rsidRPr="008006F3">
        <w:rPr>
          <w:rFonts w:ascii="Times New Roman" w:eastAsia="宋体" w:hAnsi="Times New Roman" w:cs="Times New Roman"/>
          <w:i/>
          <w:iCs/>
          <w:sz w:val="24"/>
          <w:szCs w:val="24"/>
        </w:rPr>
        <w:t xml:space="preserve"> P</w:t>
      </w:r>
      <w:r w:rsidRPr="00F453C6">
        <w:rPr>
          <w:rFonts w:ascii="Times New Roman" w:eastAsia="宋体" w:hAnsi="Times New Roman" w:cs="Times New Roman"/>
          <w:sz w:val="24"/>
          <w:szCs w:val="24"/>
        </w:rPr>
        <w:t xml:space="preserve"> ≥ 0.65), and low-risk (</w:t>
      </w:r>
      <w:r w:rsidRPr="008006F3">
        <w:rPr>
          <w:rFonts w:ascii="Times New Roman" w:eastAsia="宋体" w:hAnsi="Times New Roman" w:cs="Times New Roman"/>
          <w:i/>
          <w:iCs/>
          <w:sz w:val="24"/>
          <w:szCs w:val="24"/>
        </w:rPr>
        <w:t>P</w:t>
      </w:r>
      <w:r w:rsidRPr="00F453C6">
        <w:rPr>
          <w:rFonts w:ascii="Times New Roman" w:eastAsia="宋体" w:hAnsi="Times New Roman" w:cs="Times New Roman"/>
          <w:sz w:val="24"/>
          <w:szCs w:val="24"/>
        </w:rPr>
        <w:t xml:space="preserve"> &lt; 0.65) groups.</w:t>
      </w:r>
    </w:p>
    <w:p w14:paraId="5188AC37" w14:textId="77777777"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 xml:space="preserve">The adiponectin concentration was measured using a </w:t>
      </w:r>
      <w:proofErr w:type="spellStart"/>
      <w:r w:rsidRPr="00F453C6">
        <w:rPr>
          <w:rFonts w:ascii="Times New Roman" w:eastAsia="宋体" w:hAnsi="Times New Roman" w:cs="Times New Roman"/>
          <w:sz w:val="24"/>
          <w:szCs w:val="24"/>
        </w:rPr>
        <w:t>Milliplex</w:t>
      </w:r>
      <w:proofErr w:type="spellEnd"/>
      <w:r w:rsidRPr="00F453C6">
        <w:rPr>
          <w:rFonts w:ascii="Times New Roman" w:eastAsia="宋体" w:hAnsi="Times New Roman" w:cs="Times New Roman"/>
          <w:sz w:val="24"/>
          <w:szCs w:val="24"/>
        </w:rPr>
        <w:t xml:space="preserve"> map kit by the Luminex 200TM instrument (Millipore, Billerica, MA, USA)</w:t>
      </w:r>
      <w:r w:rsidRPr="00F453C6">
        <w:rPr>
          <w:rFonts w:ascii="Times New Roman" w:hAnsi="Times New Roman" w:cs="Times New Roman"/>
          <w:sz w:val="24"/>
          <w:szCs w:val="24"/>
        </w:rPr>
        <w:t xml:space="preserve"> </w:t>
      </w:r>
      <w:r w:rsidRPr="00F453C6">
        <w:rPr>
          <w:rFonts w:ascii="Times New Roman" w:eastAsia="宋体" w:hAnsi="Times New Roman" w:cs="Times New Roman"/>
          <w:sz w:val="24"/>
          <w:szCs w:val="24"/>
        </w:rPr>
        <w:t xml:space="preserve">in the Laboratory of Cancer Prevention and Control Center of Sun Yat-sen University </w:t>
      </w:r>
      <w:bookmarkStart w:id="25" w:name="_Hlk79356651"/>
      <w:r w:rsidRPr="00F453C6">
        <w:rPr>
          <w:rFonts w:ascii="Times New Roman" w:eastAsia="宋体" w:hAnsi="Times New Roman" w:cs="Times New Roman"/>
          <w:sz w:val="24"/>
          <w:szCs w:val="24"/>
        </w:rPr>
        <w:t>(Guangzhou, Guangdong, China)</w:t>
      </w:r>
      <w:bookmarkEnd w:id="25"/>
      <w:r w:rsidRPr="00F453C6">
        <w:rPr>
          <w:rFonts w:ascii="Times New Roman" w:eastAsia="宋体" w:hAnsi="Times New Roman" w:cs="Times New Roman"/>
          <w:sz w:val="24"/>
          <w:szCs w:val="24"/>
        </w:rPr>
        <w:t xml:space="preserve">. The measurement procedure was strictly in accordance with the </w:t>
      </w:r>
      <w:r w:rsidRPr="00F453C6">
        <w:rPr>
          <w:rFonts w:ascii="Times New Roman" w:eastAsia="宋体" w:hAnsi="Times New Roman" w:cs="Times New Roman"/>
          <w:sz w:val="24"/>
          <w:szCs w:val="24"/>
        </w:rPr>
        <w:lastRenderedPageBreak/>
        <w:t>standard steps of the manufacturer's kit, and the case and control serum samples were randomly distributed to each plate to ensure that the tester blindly detects the case-control state of the test sample.</w:t>
      </w:r>
      <w:r w:rsidRPr="00F453C6">
        <w:rPr>
          <w:rFonts w:ascii="Times New Roman" w:hAnsi="Times New Roman" w:cs="Times New Roman"/>
          <w:sz w:val="24"/>
          <w:szCs w:val="24"/>
        </w:rPr>
        <w:t xml:space="preserve"> </w:t>
      </w:r>
      <w:r w:rsidRPr="00F453C6">
        <w:rPr>
          <w:rFonts w:ascii="Times New Roman" w:eastAsia="宋体" w:hAnsi="Times New Roman" w:cs="Times New Roman"/>
          <w:sz w:val="24"/>
          <w:szCs w:val="24"/>
        </w:rPr>
        <w:t>The coefficients of variation (CVs) and intraclass correlation coefficients (ICCs) of quality controls provided by the manufacturer were computed to evaluate the reproducibility of assays.</w:t>
      </w:r>
    </w:p>
    <w:p w14:paraId="03439D6A" w14:textId="77777777" w:rsidR="00A6476B" w:rsidRPr="00F453C6" w:rsidRDefault="00A6476B" w:rsidP="00A6476B">
      <w:pPr>
        <w:widowControl w:val="0"/>
        <w:spacing w:after="0" w:line="480" w:lineRule="auto"/>
        <w:ind w:firstLine="480"/>
        <w:rPr>
          <w:rFonts w:ascii="Times New Roman" w:eastAsia="宋体" w:hAnsi="Times New Roman" w:cs="Times New Roman"/>
          <w:sz w:val="24"/>
          <w:szCs w:val="24"/>
        </w:rPr>
      </w:pPr>
    </w:p>
    <w:p w14:paraId="53FAA068" w14:textId="77777777" w:rsidR="00A6476B" w:rsidRPr="00F453C6" w:rsidRDefault="00A6476B" w:rsidP="00A6476B">
      <w:pPr>
        <w:widowControl w:val="0"/>
        <w:spacing w:after="0" w:line="480" w:lineRule="auto"/>
        <w:ind w:firstLineChars="0" w:firstLine="0"/>
        <w:rPr>
          <w:rFonts w:ascii="Times New Roman" w:eastAsia="宋体" w:hAnsi="Times New Roman" w:cs="Times New Roman"/>
          <w:b/>
          <w:bCs/>
          <w:sz w:val="24"/>
          <w:szCs w:val="24"/>
        </w:rPr>
      </w:pPr>
      <w:r w:rsidRPr="00F453C6">
        <w:rPr>
          <w:rFonts w:ascii="Times New Roman" w:eastAsia="宋体" w:hAnsi="Times New Roman" w:cs="Times New Roman"/>
          <w:b/>
          <w:bCs/>
          <w:sz w:val="24"/>
          <w:szCs w:val="24"/>
        </w:rPr>
        <w:t>Epidemiological analysis</w:t>
      </w:r>
    </w:p>
    <w:p w14:paraId="50E898C3" w14:textId="23F04950" w:rsidR="00A6476B" w:rsidRDefault="00A6476B" w:rsidP="00A6476B">
      <w:pPr>
        <w:widowControl w:val="0"/>
        <w:spacing w:after="0" w:line="480" w:lineRule="auto"/>
        <w:ind w:firstLine="480"/>
        <w:rPr>
          <w:rFonts w:ascii="Times New Roman" w:eastAsia="宋体" w:hAnsi="Times New Roman" w:cs="Times New Roman"/>
          <w:sz w:val="24"/>
          <w:szCs w:val="24"/>
        </w:rPr>
      </w:pPr>
      <w:r w:rsidRPr="00F453C6">
        <w:rPr>
          <w:rFonts w:ascii="Times New Roman" w:eastAsia="宋体" w:hAnsi="Times New Roman" w:cs="Times New Roman"/>
          <w:sz w:val="24"/>
          <w:szCs w:val="24"/>
        </w:rPr>
        <w:t>Descriptive characteristics of NPC cases and controls are presented as proportions or as mean ± SD. Chi-square (χ</w:t>
      </w:r>
      <w:r w:rsidRPr="00F453C6">
        <w:rPr>
          <w:rFonts w:ascii="Times New Roman" w:eastAsia="宋体" w:hAnsi="Times New Roman" w:cs="Times New Roman"/>
          <w:sz w:val="24"/>
          <w:szCs w:val="24"/>
          <w:vertAlign w:val="superscript"/>
        </w:rPr>
        <w:t>2</w:t>
      </w:r>
      <w:r w:rsidRPr="00F453C6">
        <w:rPr>
          <w:rFonts w:ascii="Times New Roman" w:eastAsia="宋体" w:hAnsi="Times New Roman" w:cs="Times New Roman"/>
          <w:sz w:val="24"/>
          <w:szCs w:val="24"/>
        </w:rPr>
        <w:t>) tests and independent-samples t tests were used to compare differences between cases and controls groups</w:t>
      </w:r>
      <w:bookmarkStart w:id="26" w:name="_Hlk22461454"/>
      <w:r w:rsidRPr="00F453C6">
        <w:rPr>
          <w:rFonts w:ascii="Times New Roman" w:eastAsia="宋体" w:hAnsi="Times New Roman" w:cs="Times New Roman"/>
          <w:sz w:val="24"/>
          <w:szCs w:val="24"/>
        </w:rPr>
        <w:t xml:space="preserve">. Median levels of adiponectin among cases and controls were compared using the Wilcoxon rank-sum test to compare differences between groups. </w:t>
      </w:r>
      <w:bookmarkStart w:id="27" w:name="_Hlk23019685"/>
      <w:r w:rsidRPr="00F453C6">
        <w:rPr>
          <w:rFonts w:ascii="Times New Roman" w:eastAsia="宋体" w:hAnsi="Times New Roman" w:cs="Times New Roman"/>
          <w:sz w:val="24"/>
          <w:szCs w:val="24"/>
        </w:rPr>
        <w:t xml:space="preserve">Adiponectin </w:t>
      </w:r>
      <w:bookmarkEnd w:id="27"/>
      <w:r w:rsidRPr="00F453C6">
        <w:rPr>
          <w:rFonts w:ascii="Times New Roman" w:eastAsia="宋体" w:hAnsi="Times New Roman" w:cs="Times New Roman"/>
          <w:sz w:val="24"/>
          <w:szCs w:val="24"/>
        </w:rPr>
        <w:t xml:space="preserve">levels were divided into three groups according to the </w:t>
      </w:r>
      <w:bookmarkStart w:id="28" w:name="_Hlk66290764"/>
      <w:proofErr w:type="spellStart"/>
      <w:r w:rsidRPr="00F453C6">
        <w:rPr>
          <w:rFonts w:ascii="Times New Roman" w:eastAsia="宋体" w:hAnsi="Times New Roman" w:cs="Times New Roman"/>
          <w:sz w:val="24"/>
          <w:szCs w:val="24"/>
        </w:rPr>
        <w:t>tertile</w:t>
      </w:r>
      <w:bookmarkEnd w:id="28"/>
      <w:proofErr w:type="spellEnd"/>
      <w:r w:rsidRPr="00F453C6">
        <w:rPr>
          <w:rFonts w:ascii="Times New Roman" w:eastAsia="宋体" w:hAnsi="Times New Roman" w:cs="Times New Roman"/>
          <w:sz w:val="24"/>
          <w:szCs w:val="24"/>
        </w:rPr>
        <w:t xml:space="preserve"> of the adiponectin concentration in the control group. Odds ratios (ORs) and 95% confidence intervals (95% CIs) for risk of NPC were computed using </w:t>
      </w:r>
      <w:bookmarkStart w:id="29" w:name="_Hlk66290815"/>
      <w:r w:rsidRPr="00F453C6">
        <w:rPr>
          <w:rFonts w:ascii="Times New Roman" w:eastAsia="宋体" w:hAnsi="Times New Roman" w:cs="Times New Roman"/>
          <w:sz w:val="24"/>
          <w:szCs w:val="24"/>
        </w:rPr>
        <w:t>conditional logistic regression models in prospective case-control study</w:t>
      </w:r>
      <w:bookmarkEnd w:id="29"/>
      <w:r w:rsidRPr="00F453C6">
        <w:rPr>
          <w:rFonts w:ascii="Times New Roman" w:eastAsia="宋体" w:hAnsi="Times New Roman" w:cs="Times New Roman"/>
          <w:sz w:val="24"/>
          <w:szCs w:val="24"/>
        </w:rPr>
        <w:t xml:space="preserve"> and unconditional logistic regression models in the hospital-based case-control study. </w:t>
      </w:r>
      <w:bookmarkEnd w:id="26"/>
      <w:r w:rsidRPr="00F453C6">
        <w:rPr>
          <w:rFonts w:ascii="Times New Roman" w:eastAsia="宋体" w:hAnsi="Times New Roman" w:cs="Times New Roman"/>
          <w:sz w:val="24"/>
          <w:szCs w:val="24"/>
        </w:rPr>
        <w:t xml:space="preserve">In multivariable models, we adjusted for established or suspected risk factors of NPC, including age, sex, EBV infection, family history of NPC and smoking. Analyses stratified by sex categories using unconditional logistic regression models adjusted for matching factors. Statistical analysis was performed using SAS statistical software version 9.4 (SAS Institute, Cary, NC, USA). All hypothesis tests were two-sided test, </w:t>
      </w:r>
      <w:r w:rsidRPr="008006F3">
        <w:rPr>
          <w:rFonts w:ascii="Times New Roman" w:eastAsia="宋体" w:hAnsi="Times New Roman" w:cs="Times New Roman"/>
          <w:i/>
          <w:iCs/>
          <w:sz w:val="24"/>
          <w:szCs w:val="24"/>
        </w:rPr>
        <w:t>P</w:t>
      </w:r>
      <w:r w:rsidRPr="00F453C6">
        <w:rPr>
          <w:rFonts w:ascii="Times New Roman" w:eastAsia="宋体" w:hAnsi="Times New Roman" w:cs="Times New Roman"/>
          <w:sz w:val="24"/>
          <w:szCs w:val="24"/>
        </w:rPr>
        <w:t xml:space="preserve"> &lt; 0.05 was considered statistically significant.</w:t>
      </w:r>
    </w:p>
    <w:p w14:paraId="54395AA0" w14:textId="76BDED1C" w:rsidR="00DC3050" w:rsidRPr="002661DE" w:rsidRDefault="00DC3050" w:rsidP="002661DE">
      <w:pPr>
        <w:widowControl w:val="0"/>
        <w:spacing w:after="0" w:line="480" w:lineRule="auto"/>
        <w:ind w:firstLineChars="0" w:firstLine="0"/>
        <w:rPr>
          <w:rFonts w:ascii="Times New Roman" w:eastAsia="宋体" w:hAnsi="Times New Roman" w:cs="Times New Roman"/>
          <w:b/>
          <w:bCs/>
          <w:sz w:val="24"/>
          <w:szCs w:val="24"/>
        </w:rPr>
      </w:pPr>
      <w:r w:rsidRPr="002661DE">
        <w:rPr>
          <w:rFonts w:ascii="Times New Roman" w:eastAsia="宋体" w:hAnsi="Times New Roman" w:cs="Times New Roman"/>
          <w:b/>
          <w:bCs/>
          <w:sz w:val="24"/>
          <w:szCs w:val="24"/>
        </w:rPr>
        <w:lastRenderedPageBreak/>
        <w:t xml:space="preserve">Reference </w:t>
      </w:r>
    </w:p>
    <w:p w14:paraId="16D5D1E1" w14:textId="77777777" w:rsidR="00A6476B" w:rsidRPr="002661DE" w:rsidRDefault="00A6476B" w:rsidP="002661DE">
      <w:pPr>
        <w:pStyle w:val="EndNoteBibliography"/>
        <w:spacing w:after="0" w:line="480" w:lineRule="auto"/>
        <w:ind w:left="360" w:hangingChars="150" w:hanging="360"/>
        <w:rPr>
          <w:rFonts w:ascii="Times New Roman" w:hAnsi="Times New Roman" w:cs="Times New Roman"/>
          <w:sz w:val="24"/>
          <w:szCs w:val="24"/>
        </w:rPr>
      </w:pPr>
      <w:r w:rsidRPr="002661DE">
        <w:rPr>
          <w:rFonts w:ascii="Times New Roman" w:hAnsi="Times New Roman" w:cs="Times New Roman"/>
          <w:sz w:val="24"/>
          <w:szCs w:val="24"/>
        </w:rPr>
        <w:fldChar w:fldCharType="begin"/>
      </w:r>
      <w:r w:rsidRPr="002661DE">
        <w:rPr>
          <w:rFonts w:ascii="Times New Roman" w:hAnsi="Times New Roman" w:cs="Times New Roman"/>
          <w:sz w:val="24"/>
          <w:szCs w:val="24"/>
        </w:rPr>
        <w:instrText xml:space="preserve"> ADDIN EN.REFLIST </w:instrText>
      </w:r>
      <w:r w:rsidRPr="002661DE">
        <w:rPr>
          <w:rFonts w:ascii="Times New Roman" w:hAnsi="Times New Roman" w:cs="Times New Roman"/>
          <w:sz w:val="24"/>
          <w:szCs w:val="24"/>
        </w:rPr>
        <w:fldChar w:fldCharType="separate"/>
      </w:r>
      <w:r w:rsidRPr="002661DE">
        <w:rPr>
          <w:rFonts w:ascii="Times New Roman" w:hAnsi="Times New Roman" w:cs="Times New Roman"/>
          <w:sz w:val="24"/>
          <w:szCs w:val="24"/>
        </w:rPr>
        <w:t>1.</w:t>
      </w:r>
      <w:r w:rsidRPr="002661DE">
        <w:rPr>
          <w:rFonts w:ascii="Times New Roman" w:hAnsi="Times New Roman" w:cs="Times New Roman"/>
          <w:sz w:val="24"/>
          <w:szCs w:val="24"/>
        </w:rPr>
        <w:tab/>
        <w:t>Yang M-J, Guo J, Ye Y-F, Chen S-H, Peng L-X, Lin C-Y, et al. (2018) Decreased macrophage inflammatory protein (MIP)-1α and MIP-1β increase the risk of developing nasopharyngeal carcinoma. Cancer Commun 38, 7 doi: 10.1186/s40880-018-0279-y.</w:t>
      </w:r>
    </w:p>
    <w:p w14:paraId="1640A03A" w14:textId="488CD139" w:rsidR="00A6476B" w:rsidRPr="002661DE" w:rsidRDefault="00A6476B" w:rsidP="002661DE">
      <w:pPr>
        <w:pStyle w:val="EndNoteBibliography"/>
        <w:spacing w:after="0" w:line="480" w:lineRule="auto"/>
        <w:ind w:left="480" w:hangingChars="200" w:hanging="480"/>
        <w:rPr>
          <w:rFonts w:ascii="Times New Roman" w:hAnsi="Times New Roman" w:cs="Times New Roman"/>
          <w:sz w:val="24"/>
          <w:szCs w:val="24"/>
        </w:rPr>
      </w:pPr>
      <w:r w:rsidRPr="002661DE">
        <w:rPr>
          <w:rFonts w:ascii="Times New Roman" w:hAnsi="Times New Roman" w:cs="Times New Roman"/>
          <w:sz w:val="24"/>
          <w:szCs w:val="24"/>
        </w:rPr>
        <w:t>2.</w:t>
      </w:r>
      <w:r w:rsidRPr="002661DE">
        <w:rPr>
          <w:rFonts w:ascii="Times New Roman" w:hAnsi="Times New Roman" w:cs="Times New Roman"/>
          <w:sz w:val="24"/>
          <w:szCs w:val="24"/>
        </w:rPr>
        <w:tab/>
        <w:t xml:space="preserve">Liu Z, Ji M-F, Huang Q-H, Fang F, Liu Q, Jia W-H, et al. Two Epstein-Barr virus-related </w:t>
      </w:r>
      <w:r w:rsidR="005C6DEF" w:rsidRPr="002661DE">
        <w:rPr>
          <w:rFonts w:ascii="Times New Roman" w:hAnsi="Times New Roman" w:cs="Times New Roman"/>
          <w:sz w:val="24"/>
          <w:szCs w:val="24"/>
        </w:rPr>
        <w:t xml:space="preserve"> </w:t>
      </w:r>
      <w:r w:rsidRPr="002661DE">
        <w:rPr>
          <w:rFonts w:ascii="Times New Roman" w:hAnsi="Times New Roman" w:cs="Times New Roman"/>
          <w:sz w:val="24"/>
          <w:szCs w:val="24"/>
        </w:rPr>
        <w:t>serologic antibody tests in nasopharyngeal carcinoma screening: results from the initial phase of a cluster randomized controlled trial in Southern China.</w:t>
      </w:r>
      <w:r w:rsidRPr="002661DE">
        <w:rPr>
          <w:rFonts w:ascii="Times New Roman" w:hAnsi="Times New Roman" w:cs="Times New Roman"/>
          <w:i/>
          <w:sz w:val="24"/>
          <w:szCs w:val="24"/>
        </w:rPr>
        <w:t xml:space="preserve"> </w:t>
      </w:r>
      <w:r w:rsidRPr="002661DE">
        <w:rPr>
          <w:rFonts w:ascii="Times New Roman" w:hAnsi="Times New Roman" w:cs="Times New Roman"/>
          <w:sz w:val="24"/>
          <w:szCs w:val="24"/>
        </w:rPr>
        <w:t>Am J Epidemiol. 2013; 177: 242-250.</w:t>
      </w:r>
    </w:p>
    <w:p w14:paraId="0EF42381" w14:textId="77777777" w:rsidR="00A6476B" w:rsidRPr="002661DE" w:rsidRDefault="00A6476B" w:rsidP="002661DE">
      <w:pPr>
        <w:pStyle w:val="EndNoteBibliography"/>
        <w:spacing w:line="480" w:lineRule="auto"/>
        <w:ind w:left="480" w:hangingChars="200" w:hanging="480"/>
        <w:rPr>
          <w:rFonts w:ascii="Times New Roman" w:hAnsi="Times New Roman" w:cs="Times New Roman"/>
          <w:sz w:val="24"/>
          <w:szCs w:val="24"/>
        </w:rPr>
      </w:pPr>
      <w:r w:rsidRPr="002661DE">
        <w:rPr>
          <w:rFonts w:ascii="Times New Roman" w:hAnsi="Times New Roman" w:cs="Times New Roman"/>
          <w:sz w:val="24"/>
          <w:szCs w:val="24"/>
        </w:rPr>
        <w:t>3.</w:t>
      </w:r>
      <w:r w:rsidRPr="002661DE">
        <w:rPr>
          <w:rFonts w:ascii="Times New Roman" w:hAnsi="Times New Roman" w:cs="Times New Roman"/>
          <w:sz w:val="24"/>
          <w:szCs w:val="24"/>
        </w:rPr>
        <w:tab/>
        <w:t>Liu Y, Huang Q, Liu W, Liu Q, Jia W, Chang E, et al. Establishment of VCA and EBNA1 IgA-based combination by enzyme-linked immunosorbent assay as preferred screening method for nasopharyngeal carcinoma: a two-stage design with a preliminary performance study and a mass screening in southern China.</w:t>
      </w:r>
      <w:r w:rsidRPr="002661DE">
        <w:rPr>
          <w:rFonts w:ascii="Times New Roman" w:hAnsi="Times New Roman" w:cs="Times New Roman"/>
          <w:i/>
          <w:sz w:val="24"/>
          <w:szCs w:val="24"/>
        </w:rPr>
        <w:t xml:space="preserve"> </w:t>
      </w:r>
      <w:r w:rsidRPr="002661DE">
        <w:rPr>
          <w:rFonts w:ascii="Times New Roman" w:hAnsi="Times New Roman" w:cs="Times New Roman"/>
          <w:sz w:val="24"/>
          <w:szCs w:val="24"/>
        </w:rPr>
        <w:t>Int J Cancer. 2012; 131: 406-416.</w:t>
      </w:r>
    </w:p>
    <w:p w14:paraId="6C300E1F" w14:textId="21A20503" w:rsidR="005C6DEF" w:rsidRPr="00F453C6" w:rsidRDefault="00A6476B" w:rsidP="002661DE">
      <w:pPr>
        <w:spacing w:after="0" w:line="480" w:lineRule="auto"/>
        <w:ind w:firstLineChars="0" w:firstLine="0"/>
        <w:rPr>
          <w:rFonts w:ascii="Times New Roman" w:hAnsi="Times New Roman" w:cs="Times New Roman"/>
          <w:sz w:val="24"/>
          <w:szCs w:val="24"/>
        </w:rPr>
        <w:sectPr w:rsidR="005C6DEF" w:rsidRPr="00F453C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r w:rsidRPr="002661DE">
        <w:rPr>
          <w:rFonts w:ascii="Times New Roman" w:hAnsi="Times New Roman" w:cs="Times New Roman"/>
          <w:sz w:val="24"/>
          <w:szCs w:val="24"/>
        </w:rPr>
        <w:fldChar w:fldCharType="end"/>
      </w:r>
    </w:p>
    <w:p w14:paraId="18DAF13B" w14:textId="77777777" w:rsidR="0066291B" w:rsidRDefault="005C6DEF" w:rsidP="00937B11">
      <w:pPr>
        <w:spacing w:after="0"/>
        <w:ind w:firstLineChars="0" w:firstLine="0"/>
        <w:rPr>
          <w:rFonts w:ascii="Times New Roman" w:hAnsi="Times New Roman" w:cs="Times New Roman"/>
          <w:b/>
          <w:bCs/>
          <w:sz w:val="24"/>
          <w:szCs w:val="24"/>
        </w:rPr>
      </w:pPr>
      <w:r w:rsidRPr="00F453C6">
        <w:rPr>
          <w:rFonts w:ascii="Times New Roman" w:hAnsi="Times New Roman" w:cs="Times New Roman"/>
          <w:b/>
          <w:bCs/>
          <w:sz w:val="24"/>
          <w:szCs w:val="24"/>
        </w:rPr>
        <w:lastRenderedPageBreak/>
        <w:t>Supplementary</w:t>
      </w:r>
      <w:r w:rsidR="0066291B">
        <w:rPr>
          <w:rFonts w:ascii="Times New Roman" w:hAnsi="Times New Roman" w:cs="Times New Roman"/>
          <w:b/>
          <w:bCs/>
          <w:sz w:val="24"/>
          <w:szCs w:val="24"/>
        </w:rPr>
        <w:t xml:space="preserve"> </w:t>
      </w:r>
      <w:r w:rsidRPr="00F453C6">
        <w:rPr>
          <w:rFonts w:ascii="Times New Roman" w:hAnsi="Times New Roman" w:cs="Times New Roman"/>
          <w:b/>
          <w:bCs/>
          <w:sz w:val="24"/>
          <w:szCs w:val="24"/>
        </w:rPr>
        <w:t>Figures</w:t>
      </w:r>
    </w:p>
    <w:p w14:paraId="5984AC6E" w14:textId="707550CF" w:rsidR="005C6DEF" w:rsidRDefault="00C531A0" w:rsidP="005C6DEF">
      <w:pPr>
        <w:ind w:firstLineChars="0" w:firstLine="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AA1A58" wp14:editId="69F00F6B">
            <wp:extent cx="5274310" cy="30861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086100"/>
                    </a:xfrm>
                    <a:prstGeom prst="rect">
                      <a:avLst/>
                    </a:prstGeom>
                  </pic:spPr>
                </pic:pic>
              </a:graphicData>
            </a:graphic>
          </wp:inline>
        </w:drawing>
      </w:r>
    </w:p>
    <w:p w14:paraId="4060DD75" w14:textId="33B97CF6" w:rsidR="00D35E41" w:rsidRDefault="0066291B" w:rsidP="00C531A0">
      <w:pPr>
        <w:spacing w:after="0"/>
        <w:ind w:firstLineChars="0" w:firstLine="0"/>
        <w:rPr>
          <w:rFonts w:ascii="Times New Roman" w:hAnsi="Times New Roman" w:cs="Times New Roman"/>
          <w:b/>
          <w:bCs/>
          <w:sz w:val="24"/>
          <w:szCs w:val="24"/>
        </w:rPr>
      </w:pPr>
      <w:r w:rsidRPr="0066291B">
        <w:rPr>
          <w:rFonts w:ascii="Times New Roman" w:hAnsi="Times New Roman" w:cs="Times New Roman"/>
          <w:b/>
          <w:bCs/>
          <w:sz w:val="24"/>
          <w:szCs w:val="24"/>
        </w:rPr>
        <w:t xml:space="preserve">Supplementary Fig. </w:t>
      </w:r>
      <w:r w:rsidR="00C531A0">
        <w:rPr>
          <w:rFonts w:ascii="Times New Roman" w:hAnsi="Times New Roman" w:cs="Times New Roman"/>
          <w:b/>
          <w:bCs/>
          <w:sz w:val="24"/>
          <w:szCs w:val="24"/>
        </w:rPr>
        <w:t>1</w:t>
      </w:r>
      <w:r w:rsidR="00950C2D" w:rsidRPr="0000451F">
        <w:rPr>
          <w:rFonts w:ascii="Times New Roman" w:hAnsi="Times New Roman" w:cs="Times New Roman"/>
          <w:b/>
          <w:bCs/>
          <w:sz w:val="24"/>
          <w:szCs w:val="24"/>
        </w:rPr>
        <w:t xml:space="preserve"> </w:t>
      </w:r>
      <w:r w:rsidR="00D35E41" w:rsidRPr="00D35E41">
        <w:rPr>
          <w:rFonts w:ascii="Times New Roman" w:hAnsi="Times New Roman" w:cs="Times New Roman"/>
          <w:b/>
          <w:bCs/>
          <w:sz w:val="24"/>
          <w:szCs w:val="24"/>
        </w:rPr>
        <w:t>Adipo</w:t>
      </w:r>
      <w:r w:rsidR="00D35E41">
        <w:rPr>
          <w:rFonts w:ascii="Times New Roman" w:hAnsi="Times New Roman" w:cs="Times New Roman"/>
          <w:b/>
          <w:bCs/>
          <w:sz w:val="24"/>
          <w:szCs w:val="24"/>
        </w:rPr>
        <w:t>Ron</w:t>
      </w:r>
      <w:r w:rsidR="00D35E41" w:rsidRPr="00D35E41">
        <w:rPr>
          <w:rFonts w:ascii="Times New Roman" w:hAnsi="Times New Roman" w:cs="Times New Roman"/>
          <w:b/>
          <w:bCs/>
          <w:sz w:val="24"/>
          <w:szCs w:val="24"/>
        </w:rPr>
        <w:t xml:space="preserve"> induces </w:t>
      </w:r>
      <w:r w:rsidR="00D35E41">
        <w:rPr>
          <w:rFonts w:ascii="Times New Roman" w:hAnsi="Times New Roman" w:cs="Times New Roman"/>
          <w:b/>
          <w:bCs/>
          <w:sz w:val="24"/>
          <w:szCs w:val="24"/>
        </w:rPr>
        <w:t>apoptosis</w:t>
      </w:r>
      <w:r w:rsidR="00D35E41" w:rsidRPr="00D35E41">
        <w:rPr>
          <w:rFonts w:ascii="Times New Roman" w:hAnsi="Times New Roman" w:cs="Times New Roman"/>
          <w:b/>
          <w:bCs/>
          <w:sz w:val="24"/>
          <w:szCs w:val="24"/>
        </w:rPr>
        <w:t xml:space="preserve"> in </w:t>
      </w:r>
      <w:r w:rsidR="00D35E41">
        <w:rPr>
          <w:rFonts w:ascii="Times New Roman" w:hAnsi="Times New Roman" w:cs="Times New Roman"/>
          <w:b/>
          <w:bCs/>
          <w:sz w:val="24"/>
          <w:szCs w:val="24"/>
        </w:rPr>
        <w:t>NPC cells.</w:t>
      </w:r>
    </w:p>
    <w:p w14:paraId="619A714F" w14:textId="44B0740D" w:rsidR="00D35E41" w:rsidRDefault="00C531A0" w:rsidP="00C531A0">
      <w:pPr>
        <w:spacing w:after="0"/>
        <w:ind w:firstLineChars="0" w:firstLine="0"/>
        <w:rPr>
          <w:rFonts w:ascii="Times New Roman" w:hAnsi="Times New Roman" w:cs="Times New Roman"/>
          <w:sz w:val="24"/>
          <w:szCs w:val="24"/>
        </w:rPr>
      </w:pPr>
      <w:r w:rsidRPr="00C531A0">
        <w:rPr>
          <w:rFonts w:ascii="Times New Roman" w:hAnsi="Times New Roman" w:cs="Times New Roman"/>
          <w:sz w:val="24"/>
          <w:szCs w:val="24"/>
        </w:rPr>
        <w:t>Annexin V/7-AAD staining of CNE2 and C666-1 cells following 24 h or 48h of exposure to 50 μM AdipoRon. Cell death was then analyzed</w:t>
      </w:r>
      <w:r w:rsidR="00D35E41">
        <w:rPr>
          <w:rFonts w:ascii="Times New Roman" w:hAnsi="Times New Roman" w:cs="Times New Roman"/>
          <w:sz w:val="24"/>
          <w:szCs w:val="24"/>
        </w:rPr>
        <w:t xml:space="preserve"> </w:t>
      </w:r>
      <w:r w:rsidRPr="00C531A0">
        <w:rPr>
          <w:rFonts w:ascii="Times New Roman" w:hAnsi="Times New Roman" w:cs="Times New Roman"/>
          <w:sz w:val="24"/>
          <w:szCs w:val="24"/>
        </w:rPr>
        <w:t>using flow cytometer.</w:t>
      </w:r>
    </w:p>
    <w:p w14:paraId="20615C55" w14:textId="410E6DE3" w:rsidR="005C6DEF" w:rsidRPr="00F453C6" w:rsidRDefault="00C531A0" w:rsidP="00C531A0">
      <w:pPr>
        <w:spacing w:after="0"/>
        <w:ind w:firstLineChars="0"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8261BB2" wp14:editId="4D52B4DA">
            <wp:extent cx="5274310" cy="493268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932680"/>
                    </a:xfrm>
                    <a:prstGeom prst="rect">
                      <a:avLst/>
                    </a:prstGeom>
                  </pic:spPr>
                </pic:pic>
              </a:graphicData>
            </a:graphic>
          </wp:inline>
        </w:drawing>
      </w:r>
    </w:p>
    <w:p w14:paraId="615F2F22" w14:textId="6DFBB711" w:rsidR="004F67D5" w:rsidRPr="00F453C6" w:rsidRDefault="0066291B" w:rsidP="004F67D5">
      <w:pPr>
        <w:spacing w:after="0"/>
        <w:ind w:firstLineChars="0" w:firstLine="0"/>
        <w:rPr>
          <w:rFonts w:ascii="Times New Roman" w:hAnsi="Times New Roman" w:cs="Times New Roman"/>
          <w:b/>
          <w:bCs/>
          <w:sz w:val="24"/>
          <w:szCs w:val="24"/>
        </w:rPr>
      </w:pPr>
      <w:bookmarkStart w:id="30" w:name="_Hlk80974095"/>
      <w:r w:rsidRPr="0066291B">
        <w:rPr>
          <w:rFonts w:ascii="Times New Roman" w:hAnsi="Times New Roman" w:cs="Times New Roman"/>
          <w:b/>
          <w:bCs/>
          <w:sz w:val="24"/>
          <w:szCs w:val="24"/>
        </w:rPr>
        <w:t xml:space="preserve">Supplementary Fig. </w:t>
      </w:r>
      <w:r w:rsidR="00C531A0">
        <w:rPr>
          <w:rFonts w:ascii="Times New Roman" w:hAnsi="Times New Roman" w:cs="Times New Roman"/>
          <w:b/>
          <w:bCs/>
          <w:sz w:val="24"/>
          <w:szCs w:val="24"/>
        </w:rPr>
        <w:t>2</w:t>
      </w:r>
      <w:r w:rsidR="005C6DEF" w:rsidRPr="00F453C6">
        <w:rPr>
          <w:rFonts w:ascii="Times New Roman" w:hAnsi="Times New Roman" w:cs="Times New Roman"/>
          <w:b/>
          <w:bCs/>
          <w:sz w:val="24"/>
          <w:szCs w:val="24"/>
        </w:rPr>
        <w:t xml:space="preserve"> </w:t>
      </w:r>
      <w:bookmarkEnd w:id="30"/>
      <w:r w:rsidR="004F67D5" w:rsidRPr="00F453C6">
        <w:rPr>
          <w:rFonts w:ascii="Times New Roman" w:hAnsi="Times New Roman" w:cs="Times New Roman"/>
          <w:b/>
          <w:bCs/>
          <w:sz w:val="24"/>
          <w:szCs w:val="24"/>
        </w:rPr>
        <w:t>AdipoRon potently inhibit</w:t>
      </w:r>
      <w:r w:rsidR="00D35E41">
        <w:rPr>
          <w:rFonts w:ascii="Times New Roman" w:hAnsi="Times New Roman" w:cs="Times New Roman"/>
          <w:b/>
          <w:bCs/>
          <w:sz w:val="24"/>
          <w:szCs w:val="24"/>
        </w:rPr>
        <w:t>s</w:t>
      </w:r>
      <w:r w:rsidR="004F67D5" w:rsidRPr="00F453C6">
        <w:rPr>
          <w:rFonts w:ascii="Times New Roman" w:hAnsi="Times New Roman" w:cs="Times New Roman"/>
          <w:b/>
          <w:bCs/>
          <w:sz w:val="24"/>
          <w:szCs w:val="24"/>
        </w:rPr>
        <w:t xml:space="preserve"> in vivo NPC tumor growth.</w:t>
      </w:r>
    </w:p>
    <w:p w14:paraId="7CEC45BB" w14:textId="4C07D238" w:rsidR="005C6DEF" w:rsidRPr="00F453C6" w:rsidRDefault="00D81DC4" w:rsidP="004F67D5">
      <w:pPr>
        <w:spacing w:after="0"/>
        <w:ind w:firstLineChars="0" w:firstLine="0"/>
        <w:rPr>
          <w:rFonts w:ascii="Times New Roman" w:hAnsi="Times New Roman" w:cs="Times New Roman"/>
          <w:sz w:val="24"/>
          <w:szCs w:val="24"/>
        </w:rPr>
      </w:pPr>
      <w:r w:rsidRPr="00F453C6">
        <w:rPr>
          <w:rFonts w:ascii="Times New Roman" w:hAnsi="Times New Roman" w:cs="Times New Roman"/>
          <w:b/>
          <w:bCs/>
          <w:sz w:val="24"/>
          <w:szCs w:val="24"/>
        </w:rPr>
        <w:t>A, C</w:t>
      </w:r>
      <w:r w:rsidRPr="00F453C6">
        <w:rPr>
          <w:rFonts w:ascii="Times New Roman" w:hAnsi="Times New Roman" w:cs="Times New Roman"/>
          <w:sz w:val="24"/>
          <w:szCs w:val="24"/>
        </w:rPr>
        <w:t xml:space="preserve"> Images of subcutaneous CNE-2 cells derived tumors (</w:t>
      </w:r>
      <w:bookmarkStart w:id="31" w:name="_Hlk80987889"/>
      <w:r w:rsidRPr="008006F3">
        <w:rPr>
          <w:rFonts w:ascii="Times New Roman" w:hAnsi="Times New Roman" w:cs="Times New Roman"/>
          <w:i/>
          <w:iCs/>
          <w:sz w:val="24"/>
          <w:szCs w:val="24"/>
        </w:rPr>
        <w:t>n</w:t>
      </w:r>
      <w:r w:rsidRPr="00F453C6">
        <w:rPr>
          <w:rFonts w:ascii="Times New Roman" w:hAnsi="Times New Roman" w:cs="Times New Roman"/>
          <w:sz w:val="24"/>
          <w:szCs w:val="24"/>
        </w:rPr>
        <w:t xml:space="preserve"> = 6 per group) </w:t>
      </w:r>
      <w:bookmarkEnd w:id="31"/>
      <w:r w:rsidRPr="00F453C6">
        <w:rPr>
          <w:rFonts w:ascii="Times New Roman" w:hAnsi="Times New Roman" w:cs="Times New Roman"/>
          <w:sz w:val="24"/>
          <w:szCs w:val="24"/>
        </w:rPr>
        <w:t xml:space="preserve">and </w:t>
      </w:r>
      <w:r w:rsidR="00C531A0">
        <w:rPr>
          <w:rFonts w:ascii="Times New Roman" w:hAnsi="Times New Roman" w:cs="Times New Roman"/>
          <w:sz w:val="24"/>
          <w:szCs w:val="24"/>
        </w:rPr>
        <w:t>5-8F</w:t>
      </w:r>
      <w:r w:rsidRPr="00F453C6">
        <w:rPr>
          <w:rFonts w:ascii="Times New Roman" w:hAnsi="Times New Roman" w:cs="Times New Roman"/>
          <w:sz w:val="24"/>
          <w:szCs w:val="24"/>
        </w:rPr>
        <w:t xml:space="preserve"> cells derived tumors (</w:t>
      </w:r>
      <w:r w:rsidRPr="008006F3">
        <w:rPr>
          <w:rFonts w:ascii="Times New Roman" w:hAnsi="Times New Roman" w:cs="Times New Roman"/>
          <w:i/>
          <w:iCs/>
          <w:sz w:val="24"/>
          <w:szCs w:val="24"/>
        </w:rPr>
        <w:t>n</w:t>
      </w:r>
      <w:r w:rsidRPr="00F453C6">
        <w:rPr>
          <w:rFonts w:ascii="Times New Roman" w:hAnsi="Times New Roman" w:cs="Times New Roman"/>
          <w:sz w:val="24"/>
          <w:szCs w:val="24"/>
        </w:rPr>
        <w:t xml:space="preserve"> = 8 per group) following the treatment of vehicle alone or AdipoRon (</w:t>
      </w:r>
      <w:r w:rsidR="00AD24B6">
        <w:rPr>
          <w:rFonts w:ascii="Times New Roman" w:hAnsi="Times New Roman" w:cs="Times New Roman"/>
          <w:sz w:val="24"/>
          <w:szCs w:val="24"/>
        </w:rPr>
        <w:t>5</w:t>
      </w:r>
      <w:r w:rsidRPr="00F453C6">
        <w:rPr>
          <w:rFonts w:ascii="Times New Roman" w:hAnsi="Times New Roman" w:cs="Times New Roman"/>
          <w:sz w:val="24"/>
          <w:szCs w:val="24"/>
        </w:rPr>
        <w:t xml:space="preserve">0 mg/kg per day). </w:t>
      </w:r>
      <w:r w:rsidRPr="00F453C6">
        <w:rPr>
          <w:rFonts w:ascii="Times New Roman" w:hAnsi="Times New Roman" w:cs="Times New Roman"/>
          <w:b/>
          <w:bCs/>
          <w:sz w:val="24"/>
          <w:szCs w:val="24"/>
        </w:rPr>
        <w:t>B, D</w:t>
      </w:r>
      <w:r w:rsidRPr="00F453C6">
        <w:rPr>
          <w:rFonts w:ascii="Times New Roman" w:hAnsi="Times New Roman" w:cs="Times New Roman"/>
          <w:sz w:val="24"/>
          <w:szCs w:val="24"/>
        </w:rPr>
        <w:t xml:space="preserve"> Body weight of nude mice bearing CNE-2 tumor (</w:t>
      </w:r>
      <w:r w:rsidRPr="008006F3">
        <w:rPr>
          <w:rFonts w:ascii="Times New Roman" w:hAnsi="Times New Roman" w:cs="Times New Roman"/>
          <w:i/>
          <w:iCs/>
          <w:sz w:val="24"/>
          <w:szCs w:val="24"/>
        </w:rPr>
        <w:t>n</w:t>
      </w:r>
      <w:r w:rsidRPr="00F453C6">
        <w:rPr>
          <w:rFonts w:ascii="Times New Roman" w:hAnsi="Times New Roman" w:cs="Times New Roman"/>
          <w:sz w:val="24"/>
          <w:szCs w:val="24"/>
        </w:rPr>
        <w:t xml:space="preserve"> = 6 per group) or C666-1 tumors (n = 8 per group).</w:t>
      </w:r>
    </w:p>
    <w:p w14:paraId="6CC059DB" w14:textId="0066A59E" w:rsidR="00D81DC4" w:rsidRPr="00F453C6" w:rsidRDefault="00D81DC4" w:rsidP="00D81DC4">
      <w:pPr>
        <w:ind w:firstLineChars="0" w:firstLine="0"/>
        <w:rPr>
          <w:rFonts w:ascii="Times New Roman" w:hAnsi="Times New Roman" w:cs="Times New Roman"/>
          <w:sz w:val="24"/>
          <w:szCs w:val="24"/>
        </w:rPr>
        <w:sectPr w:rsidR="00D81DC4" w:rsidRPr="00F453C6">
          <w:pgSz w:w="11906" w:h="16838"/>
          <w:pgMar w:top="1440" w:right="1800" w:bottom="1440" w:left="1800" w:header="851" w:footer="992" w:gutter="0"/>
          <w:cols w:space="425"/>
          <w:docGrid w:type="lines" w:linePitch="312"/>
        </w:sectPr>
      </w:pPr>
    </w:p>
    <w:p w14:paraId="5E64DBF8" w14:textId="7A048BA2" w:rsidR="005C6DEF" w:rsidRPr="00F453C6" w:rsidRDefault="005C6DEF" w:rsidP="00846D22">
      <w:pPr>
        <w:spacing w:after="0"/>
        <w:ind w:firstLineChars="0" w:firstLine="0"/>
        <w:rPr>
          <w:rFonts w:ascii="Times New Roman" w:hAnsi="Times New Roman" w:cs="Times New Roman"/>
          <w:b/>
          <w:bCs/>
          <w:sz w:val="24"/>
          <w:szCs w:val="24"/>
        </w:rPr>
      </w:pPr>
      <w:r w:rsidRPr="00F453C6">
        <w:rPr>
          <w:rFonts w:ascii="Times New Roman" w:hAnsi="Times New Roman" w:cs="Times New Roman"/>
          <w:b/>
          <w:bCs/>
          <w:sz w:val="24"/>
          <w:szCs w:val="24"/>
        </w:rPr>
        <w:lastRenderedPageBreak/>
        <w:t>Supplementary Tables</w:t>
      </w:r>
    </w:p>
    <w:p w14:paraId="717DA5B1" w14:textId="7BD85377" w:rsidR="00EA0270" w:rsidRPr="00F453C6" w:rsidRDefault="00EA0270" w:rsidP="00EA0270">
      <w:pPr>
        <w:widowControl w:val="0"/>
        <w:spacing w:after="0" w:line="240" w:lineRule="auto"/>
        <w:ind w:firstLineChars="0" w:firstLine="0"/>
        <w:jc w:val="center"/>
        <w:rPr>
          <w:rFonts w:ascii="Times New Roman" w:hAnsi="Times New Roman" w:cs="Times New Roman"/>
          <w:sz w:val="15"/>
          <w:szCs w:val="15"/>
        </w:rPr>
      </w:pPr>
      <w:r w:rsidRPr="00F453C6">
        <w:rPr>
          <w:rFonts w:ascii="Times New Roman" w:hAnsi="Times New Roman" w:cs="Times New Roman"/>
          <w:b/>
          <w:bCs/>
          <w:kern w:val="0"/>
          <w:sz w:val="15"/>
          <w:szCs w:val="15"/>
        </w:rPr>
        <w:t xml:space="preserve">Table </w:t>
      </w:r>
      <w:r>
        <w:rPr>
          <w:rFonts w:ascii="Times New Roman" w:hAnsi="Times New Roman" w:cs="Times New Roman"/>
          <w:b/>
          <w:bCs/>
          <w:kern w:val="0"/>
          <w:sz w:val="15"/>
          <w:szCs w:val="15"/>
        </w:rPr>
        <w:t>1</w:t>
      </w:r>
      <w:r w:rsidRPr="00F453C6">
        <w:rPr>
          <w:rFonts w:ascii="Times New Roman" w:hAnsi="Times New Roman" w:cs="Times New Roman"/>
          <w:b/>
          <w:bCs/>
          <w:kern w:val="0"/>
          <w:sz w:val="15"/>
          <w:szCs w:val="15"/>
        </w:rPr>
        <w:t xml:space="preserve">. </w:t>
      </w:r>
      <w:bookmarkStart w:id="32" w:name="_Hlk60164793"/>
      <w:r w:rsidRPr="00F453C6">
        <w:rPr>
          <w:rFonts w:ascii="Times New Roman" w:hAnsi="Times New Roman" w:cs="Times New Roman"/>
          <w:b/>
          <w:bCs/>
          <w:kern w:val="0"/>
          <w:sz w:val="15"/>
          <w:szCs w:val="15"/>
        </w:rPr>
        <w:t xml:space="preserve">Characteristics of nasopharyngeal carcinoma cases and controls in the case–control and nested case–control </w:t>
      </w:r>
      <w:proofErr w:type="spellStart"/>
      <w:proofErr w:type="gramStart"/>
      <w:r w:rsidRPr="00F453C6">
        <w:rPr>
          <w:rFonts w:ascii="Times New Roman" w:hAnsi="Times New Roman" w:cs="Times New Roman"/>
          <w:b/>
          <w:bCs/>
          <w:kern w:val="0"/>
          <w:sz w:val="15"/>
          <w:szCs w:val="15"/>
        </w:rPr>
        <w:t>studies</w:t>
      </w:r>
      <w:bookmarkEnd w:id="32"/>
      <w:r w:rsidRPr="00F453C6">
        <w:rPr>
          <w:rFonts w:ascii="Times New Roman" w:hAnsi="Times New Roman" w:cs="Times New Roman"/>
          <w:b/>
          <w:bCs/>
          <w:kern w:val="0"/>
          <w:sz w:val="15"/>
          <w:szCs w:val="15"/>
        </w:rPr>
        <w:t>.</w:t>
      </w:r>
      <w:r w:rsidRPr="00F453C6">
        <w:rPr>
          <w:rFonts w:ascii="Times New Roman" w:hAnsi="Times New Roman" w:cs="Times New Roman"/>
          <w:b/>
          <w:bCs/>
          <w:kern w:val="0"/>
          <w:sz w:val="15"/>
          <w:szCs w:val="15"/>
          <w:vertAlign w:val="superscript"/>
        </w:rPr>
        <w:t>a</w:t>
      </w:r>
      <w:proofErr w:type="spellEnd"/>
      <w:proofErr w:type="gramEnd"/>
    </w:p>
    <w:tbl>
      <w:tblPr>
        <w:tblW w:w="4896" w:type="pct"/>
        <w:jc w:val="center"/>
        <w:tblLayout w:type="fixed"/>
        <w:tblLook w:val="04A0" w:firstRow="1" w:lastRow="0" w:firstColumn="1" w:lastColumn="0" w:noHBand="0" w:noVBand="1"/>
      </w:tblPr>
      <w:tblGrid>
        <w:gridCol w:w="1558"/>
        <w:gridCol w:w="1274"/>
        <w:gridCol w:w="1274"/>
        <w:gridCol w:w="740"/>
        <w:gridCol w:w="1277"/>
        <w:gridCol w:w="1275"/>
        <w:gridCol w:w="735"/>
      </w:tblGrid>
      <w:tr w:rsidR="00EA0270" w:rsidRPr="00F453C6" w14:paraId="0F824D06" w14:textId="77777777" w:rsidTr="002851C0">
        <w:trPr>
          <w:trHeight w:val="285"/>
          <w:jc w:val="center"/>
        </w:trPr>
        <w:tc>
          <w:tcPr>
            <w:tcW w:w="958" w:type="pct"/>
            <w:tcBorders>
              <w:top w:val="single" w:sz="4" w:space="0" w:color="auto"/>
              <w:left w:val="nil"/>
              <w:right w:val="nil"/>
            </w:tcBorders>
            <w:shd w:val="clear" w:color="auto" w:fill="auto"/>
            <w:noWrap/>
            <w:vAlign w:val="center"/>
            <w:hideMark/>
          </w:tcPr>
          <w:p w14:paraId="7C4A7B3F"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2021" w:type="pct"/>
            <w:gridSpan w:val="3"/>
            <w:tcBorders>
              <w:top w:val="single" w:sz="4" w:space="0" w:color="auto"/>
              <w:left w:val="nil"/>
              <w:bottom w:val="single" w:sz="4" w:space="0" w:color="auto"/>
              <w:right w:val="nil"/>
            </w:tcBorders>
            <w:vAlign w:val="center"/>
          </w:tcPr>
          <w:p w14:paraId="50671B25" w14:textId="77777777" w:rsidR="00EA0270" w:rsidRPr="00F453C6" w:rsidRDefault="00EA0270" w:rsidP="002851C0">
            <w:pPr>
              <w:spacing w:after="0" w:line="240" w:lineRule="auto"/>
              <w:ind w:firstLineChars="0" w:firstLine="0"/>
              <w:jc w:val="center"/>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Hospital-based case-control study</w:t>
            </w:r>
          </w:p>
        </w:tc>
        <w:tc>
          <w:tcPr>
            <w:tcW w:w="2021" w:type="pct"/>
            <w:gridSpan w:val="3"/>
            <w:tcBorders>
              <w:top w:val="single" w:sz="4" w:space="0" w:color="auto"/>
              <w:left w:val="nil"/>
              <w:bottom w:val="single" w:sz="4" w:space="0" w:color="auto"/>
              <w:right w:val="nil"/>
            </w:tcBorders>
            <w:shd w:val="clear" w:color="auto" w:fill="auto"/>
            <w:noWrap/>
            <w:vAlign w:val="center"/>
          </w:tcPr>
          <w:p w14:paraId="1E892CA4" w14:textId="77777777" w:rsidR="00EA0270" w:rsidRPr="00F453C6" w:rsidRDefault="00EA0270" w:rsidP="002851C0">
            <w:pPr>
              <w:spacing w:after="0" w:line="240" w:lineRule="auto"/>
              <w:ind w:firstLineChars="0" w:firstLine="0"/>
              <w:jc w:val="center"/>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Nested case-control study</w:t>
            </w:r>
          </w:p>
        </w:tc>
      </w:tr>
      <w:tr w:rsidR="00EA0270" w:rsidRPr="00F453C6" w14:paraId="41AC236A" w14:textId="77777777" w:rsidTr="002851C0">
        <w:trPr>
          <w:trHeight w:val="285"/>
          <w:jc w:val="center"/>
        </w:trPr>
        <w:tc>
          <w:tcPr>
            <w:tcW w:w="958" w:type="pct"/>
            <w:tcBorders>
              <w:left w:val="nil"/>
              <w:bottom w:val="single" w:sz="4" w:space="0" w:color="auto"/>
              <w:right w:val="nil"/>
            </w:tcBorders>
            <w:shd w:val="clear" w:color="auto" w:fill="auto"/>
            <w:noWrap/>
            <w:vAlign w:val="center"/>
          </w:tcPr>
          <w:p w14:paraId="14D1908F"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Characteristic</w:t>
            </w:r>
          </w:p>
        </w:tc>
        <w:tc>
          <w:tcPr>
            <w:tcW w:w="783" w:type="pct"/>
            <w:tcBorders>
              <w:top w:val="single" w:sz="4" w:space="0" w:color="auto"/>
              <w:left w:val="nil"/>
              <w:bottom w:val="single" w:sz="4" w:space="0" w:color="auto"/>
              <w:right w:val="nil"/>
            </w:tcBorders>
            <w:shd w:val="clear" w:color="auto" w:fill="auto"/>
            <w:vAlign w:val="center"/>
          </w:tcPr>
          <w:p w14:paraId="46A38C53"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Cases</w:t>
            </w:r>
          </w:p>
        </w:tc>
        <w:tc>
          <w:tcPr>
            <w:tcW w:w="783" w:type="pct"/>
            <w:tcBorders>
              <w:top w:val="single" w:sz="4" w:space="0" w:color="auto"/>
              <w:left w:val="nil"/>
              <w:bottom w:val="single" w:sz="4" w:space="0" w:color="auto"/>
              <w:right w:val="nil"/>
            </w:tcBorders>
            <w:shd w:val="clear" w:color="auto" w:fill="auto"/>
            <w:vAlign w:val="center"/>
          </w:tcPr>
          <w:p w14:paraId="0B4B25D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Controls</w:t>
            </w:r>
          </w:p>
        </w:tc>
        <w:tc>
          <w:tcPr>
            <w:tcW w:w="455" w:type="pct"/>
            <w:tcBorders>
              <w:top w:val="single" w:sz="4" w:space="0" w:color="auto"/>
              <w:left w:val="nil"/>
              <w:bottom w:val="single" w:sz="4" w:space="0" w:color="auto"/>
              <w:right w:val="nil"/>
            </w:tcBorders>
            <w:shd w:val="clear" w:color="auto" w:fill="auto"/>
            <w:vAlign w:val="center"/>
          </w:tcPr>
          <w:p w14:paraId="5CF79334"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i/>
                <w:iCs/>
                <w:color w:val="000000"/>
                <w:kern w:val="0"/>
                <w:sz w:val="15"/>
                <w:szCs w:val="15"/>
              </w:rPr>
              <w:t>P</w:t>
            </w:r>
            <w:r w:rsidRPr="00F453C6">
              <w:rPr>
                <w:rFonts w:ascii="Times New Roman" w:eastAsia="等线" w:hAnsi="Times New Roman" w:cs="Times New Roman"/>
                <w:i/>
                <w:iCs/>
                <w:color w:val="000000"/>
                <w:kern w:val="0"/>
                <w:sz w:val="15"/>
                <w:szCs w:val="15"/>
                <w:vertAlign w:val="superscript"/>
              </w:rPr>
              <w:t>e</w:t>
            </w:r>
          </w:p>
        </w:tc>
        <w:tc>
          <w:tcPr>
            <w:tcW w:w="785" w:type="pct"/>
            <w:tcBorders>
              <w:top w:val="single" w:sz="4" w:space="0" w:color="auto"/>
              <w:left w:val="nil"/>
              <w:bottom w:val="single" w:sz="4" w:space="0" w:color="auto"/>
              <w:right w:val="nil"/>
            </w:tcBorders>
            <w:shd w:val="clear" w:color="auto" w:fill="auto"/>
            <w:noWrap/>
            <w:vAlign w:val="center"/>
          </w:tcPr>
          <w:p w14:paraId="20D71386"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Cases</w:t>
            </w:r>
          </w:p>
        </w:tc>
        <w:tc>
          <w:tcPr>
            <w:tcW w:w="784" w:type="pct"/>
            <w:tcBorders>
              <w:top w:val="single" w:sz="4" w:space="0" w:color="auto"/>
              <w:left w:val="nil"/>
              <w:bottom w:val="single" w:sz="4" w:space="0" w:color="auto"/>
              <w:right w:val="nil"/>
            </w:tcBorders>
            <w:shd w:val="clear" w:color="auto" w:fill="auto"/>
            <w:noWrap/>
            <w:vAlign w:val="center"/>
          </w:tcPr>
          <w:p w14:paraId="7614C927"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Controls</w:t>
            </w:r>
          </w:p>
        </w:tc>
        <w:tc>
          <w:tcPr>
            <w:tcW w:w="452" w:type="pct"/>
            <w:tcBorders>
              <w:top w:val="single" w:sz="4" w:space="0" w:color="auto"/>
              <w:left w:val="nil"/>
              <w:bottom w:val="single" w:sz="4" w:space="0" w:color="auto"/>
              <w:right w:val="nil"/>
            </w:tcBorders>
            <w:shd w:val="clear" w:color="auto" w:fill="auto"/>
            <w:noWrap/>
            <w:vAlign w:val="center"/>
          </w:tcPr>
          <w:p w14:paraId="1675D654" w14:textId="77777777" w:rsidR="00EA0270" w:rsidRPr="00F453C6" w:rsidRDefault="00EA0270" w:rsidP="002851C0">
            <w:pPr>
              <w:spacing w:after="0" w:line="240" w:lineRule="auto"/>
              <w:ind w:firstLineChars="0" w:firstLine="0"/>
              <w:rPr>
                <w:rFonts w:ascii="Times New Roman" w:eastAsia="等线" w:hAnsi="Times New Roman" w:cs="Times New Roman"/>
                <w:i/>
                <w:iCs/>
                <w:color w:val="000000"/>
                <w:kern w:val="0"/>
                <w:sz w:val="15"/>
                <w:szCs w:val="15"/>
              </w:rPr>
            </w:pPr>
            <w:proofErr w:type="spellStart"/>
            <w:r w:rsidRPr="00F453C6">
              <w:rPr>
                <w:rFonts w:ascii="Times New Roman" w:eastAsia="等线" w:hAnsi="Times New Roman" w:cs="Times New Roman"/>
                <w:i/>
                <w:iCs/>
                <w:color w:val="000000"/>
                <w:kern w:val="0"/>
                <w:sz w:val="15"/>
                <w:szCs w:val="15"/>
              </w:rPr>
              <w:t>P</w:t>
            </w:r>
            <w:r w:rsidRPr="00F453C6">
              <w:rPr>
                <w:rFonts w:ascii="Times New Roman" w:eastAsia="等线" w:hAnsi="Times New Roman" w:cs="Times New Roman"/>
                <w:color w:val="000000"/>
                <w:kern w:val="0"/>
                <w:sz w:val="15"/>
                <w:szCs w:val="15"/>
                <w:vertAlign w:val="superscript"/>
              </w:rPr>
              <w:t>f</w:t>
            </w:r>
            <w:proofErr w:type="spellEnd"/>
          </w:p>
        </w:tc>
      </w:tr>
      <w:tr w:rsidR="00EA0270" w:rsidRPr="00F453C6" w14:paraId="4D5D33C8" w14:textId="77777777" w:rsidTr="002851C0">
        <w:trPr>
          <w:trHeight w:val="285"/>
          <w:jc w:val="center"/>
        </w:trPr>
        <w:tc>
          <w:tcPr>
            <w:tcW w:w="958" w:type="pct"/>
            <w:tcBorders>
              <w:top w:val="single" w:sz="4" w:space="0" w:color="auto"/>
              <w:left w:val="nil"/>
              <w:bottom w:val="nil"/>
              <w:right w:val="nil"/>
            </w:tcBorders>
            <w:shd w:val="clear" w:color="auto" w:fill="auto"/>
            <w:noWrap/>
            <w:vAlign w:val="center"/>
            <w:hideMark/>
          </w:tcPr>
          <w:p w14:paraId="03D77D9E"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Total</w:t>
            </w:r>
          </w:p>
        </w:tc>
        <w:tc>
          <w:tcPr>
            <w:tcW w:w="783" w:type="pct"/>
            <w:tcBorders>
              <w:top w:val="single" w:sz="4" w:space="0" w:color="auto"/>
            </w:tcBorders>
            <w:vAlign w:val="center"/>
          </w:tcPr>
          <w:p w14:paraId="7CFABD48"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132 (100)</w:t>
            </w:r>
          </w:p>
        </w:tc>
        <w:tc>
          <w:tcPr>
            <w:tcW w:w="783" w:type="pct"/>
            <w:tcBorders>
              <w:top w:val="single" w:sz="4" w:space="0" w:color="auto"/>
            </w:tcBorders>
            <w:vAlign w:val="center"/>
          </w:tcPr>
          <w:p w14:paraId="3A3C7DC6"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152 (100)</w:t>
            </w:r>
          </w:p>
        </w:tc>
        <w:tc>
          <w:tcPr>
            <w:tcW w:w="455" w:type="pct"/>
            <w:tcBorders>
              <w:top w:val="single" w:sz="4" w:space="0" w:color="auto"/>
            </w:tcBorders>
            <w:vAlign w:val="center"/>
          </w:tcPr>
          <w:p w14:paraId="3DB1F04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single" w:sz="4" w:space="0" w:color="auto"/>
              <w:left w:val="nil"/>
              <w:bottom w:val="nil"/>
              <w:right w:val="nil"/>
            </w:tcBorders>
            <w:shd w:val="clear" w:color="auto" w:fill="auto"/>
            <w:noWrap/>
            <w:vAlign w:val="center"/>
            <w:hideMark/>
          </w:tcPr>
          <w:p w14:paraId="6E5B4AA6"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71 (100)</w:t>
            </w:r>
          </w:p>
        </w:tc>
        <w:tc>
          <w:tcPr>
            <w:tcW w:w="784" w:type="pct"/>
            <w:tcBorders>
              <w:top w:val="single" w:sz="4" w:space="0" w:color="auto"/>
              <w:left w:val="nil"/>
              <w:bottom w:val="nil"/>
              <w:right w:val="nil"/>
            </w:tcBorders>
            <w:shd w:val="clear" w:color="auto" w:fill="auto"/>
            <w:noWrap/>
            <w:vAlign w:val="center"/>
            <w:hideMark/>
          </w:tcPr>
          <w:p w14:paraId="3F4BBC5D"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142 (100)</w:t>
            </w:r>
          </w:p>
        </w:tc>
        <w:tc>
          <w:tcPr>
            <w:tcW w:w="452" w:type="pct"/>
            <w:tcBorders>
              <w:top w:val="single" w:sz="4" w:space="0" w:color="auto"/>
              <w:left w:val="nil"/>
              <w:bottom w:val="nil"/>
              <w:right w:val="nil"/>
            </w:tcBorders>
            <w:shd w:val="clear" w:color="auto" w:fill="auto"/>
            <w:noWrap/>
            <w:vAlign w:val="center"/>
            <w:hideMark/>
          </w:tcPr>
          <w:p w14:paraId="57861194"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43947971"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0B985168"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eastAsia="宋体" w:hAnsi="Times New Roman" w:cs="Times New Roman"/>
                <w:sz w:val="15"/>
                <w:szCs w:val="15"/>
              </w:rPr>
              <w:t>Gender</w:t>
            </w:r>
          </w:p>
        </w:tc>
        <w:tc>
          <w:tcPr>
            <w:tcW w:w="783" w:type="pct"/>
            <w:vAlign w:val="center"/>
          </w:tcPr>
          <w:p w14:paraId="6D77BCC6" w14:textId="77777777" w:rsidR="00EA0270" w:rsidRPr="00F453C6" w:rsidRDefault="00EA0270" w:rsidP="002851C0">
            <w:pPr>
              <w:widowControl w:val="0"/>
              <w:spacing w:after="0" w:line="240" w:lineRule="auto"/>
              <w:ind w:firstLineChars="0" w:firstLine="0"/>
              <w:jc w:val="left"/>
              <w:rPr>
                <w:rFonts w:ascii="Times New Roman" w:eastAsia="宋体" w:hAnsi="Times New Roman" w:cs="Times New Roman"/>
                <w:sz w:val="15"/>
                <w:szCs w:val="15"/>
              </w:rPr>
            </w:pPr>
          </w:p>
        </w:tc>
        <w:tc>
          <w:tcPr>
            <w:tcW w:w="783" w:type="pct"/>
            <w:vAlign w:val="center"/>
          </w:tcPr>
          <w:p w14:paraId="2591E866"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p>
        </w:tc>
        <w:tc>
          <w:tcPr>
            <w:tcW w:w="455" w:type="pct"/>
            <w:vAlign w:val="center"/>
          </w:tcPr>
          <w:p w14:paraId="698D5D41"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hAnsi="Times New Roman" w:cs="Times New Roman"/>
                <w:sz w:val="15"/>
                <w:szCs w:val="15"/>
              </w:rPr>
              <w:t>0.531</w:t>
            </w:r>
          </w:p>
        </w:tc>
        <w:tc>
          <w:tcPr>
            <w:tcW w:w="785" w:type="pct"/>
            <w:tcBorders>
              <w:top w:val="nil"/>
              <w:left w:val="nil"/>
              <w:bottom w:val="nil"/>
              <w:right w:val="nil"/>
            </w:tcBorders>
            <w:shd w:val="clear" w:color="auto" w:fill="auto"/>
            <w:noWrap/>
            <w:vAlign w:val="center"/>
            <w:hideMark/>
          </w:tcPr>
          <w:p w14:paraId="6F3F7C66"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p>
        </w:tc>
        <w:tc>
          <w:tcPr>
            <w:tcW w:w="784" w:type="pct"/>
            <w:tcBorders>
              <w:top w:val="nil"/>
              <w:left w:val="nil"/>
              <w:bottom w:val="nil"/>
              <w:right w:val="nil"/>
            </w:tcBorders>
            <w:shd w:val="clear" w:color="auto" w:fill="auto"/>
            <w:noWrap/>
            <w:vAlign w:val="center"/>
            <w:hideMark/>
          </w:tcPr>
          <w:p w14:paraId="71944392"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p>
        </w:tc>
        <w:tc>
          <w:tcPr>
            <w:tcW w:w="452" w:type="pct"/>
            <w:tcBorders>
              <w:top w:val="nil"/>
              <w:left w:val="nil"/>
              <w:bottom w:val="nil"/>
              <w:right w:val="nil"/>
            </w:tcBorders>
            <w:shd w:val="clear" w:color="auto" w:fill="auto"/>
            <w:noWrap/>
            <w:vAlign w:val="center"/>
            <w:hideMark/>
          </w:tcPr>
          <w:p w14:paraId="5FF1353E"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eastAsia="宋体" w:hAnsi="Times New Roman" w:cs="Times New Roman"/>
                <w:sz w:val="15"/>
                <w:szCs w:val="15"/>
              </w:rPr>
              <w:t>1.000</w:t>
            </w:r>
          </w:p>
        </w:tc>
      </w:tr>
      <w:tr w:rsidR="00EA0270" w:rsidRPr="00F453C6" w14:paraId="28C6DE03" w14:textId="77777777" w:rsidTr="002851C0">
        <w:trPr>
          <w:trHeight w:val="405"/>
          <w:jc w:val="center"/>
        </w:trPr>
        <w:tc>
          <w:tcPr>
            <w:tcW w:w="958" w:type="pct"/>
            <w:tcBorders>
              <w:top w:val="nil"/>
              <w:left w:val="nil"/>
              <w:bottom w:val="nil"/>
              <w:right w:val="nil"/>
            </w:tcBorders>
            <w:shd w:val="clear" w:color="auto" w:fill="auto"/>
            <w:noWrap/>
            <w:vAlign w:val="center"/>
            <w:hideMark/>
          </w:tcPr>
          <w:p w14:paraId="3203CFCD"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r w:rsidRPr="00F453C6">
              <w:rPr>
                <w:rFonts w:ascii="Times New Roman" w:eastAsia="宋体" w:hAnsi="Times New Roman" w:cs="Times New Roman"/>
                <w:sz w:val="15"/>
                <w:szCs w:val="15"/>
              </w:rPr>
              <w:t>Male</w:t>
            </w:r>
          </w:p>
        </w:tc>
        <w:tc>
          <w:tcPr>
            <w:tcW w:w="783" w:type="pct"/>
            <w:vAlign w:val="center"/>
          </w:tcPr>
          <w:p w14:paraId="5747A697" w14:textId="77777777" w:rsidR="00EA0270" w:rsidRPr="00F453C6" w:rsidRDefault="00EA0270" w:rsidP="002851C0">
            <w:pPr>
              <w:widowControl w:val="0"/>
              <w:spacing w:after="0" w:line="240" w:lineRule="auto"/>
              <w:ind w:firstLineChars="0" w:firstLine="0"/>
              <w:jc w:val="left"/>
              <w:rPr>
                <w:rFonts w:ascii="Times New Roman" w:eastAsia="宋体" w:hAnsi="Times New Roman" w:cs="Times New Roman"/>
                <w:sz w:val="15"/>
                <w:szCs w:val="15"/>
              </w:rPr>
            </w:pPr>
            <w:r w:rsidRPr="00F453C6">
              <w:rPr>
                <w:rFonts w:ascii="Times New Roman" w:hAnsi="Times New Roman" w:cs="Times New Roman"/>
                <w:sz w:val="15"/>
                <w:szCs w:val="15"/>
              </w:rPr>
              <w:t>114 (86.4)</w:t>
            </w:r>
          </w:p>
        </w:tc>
        <w:tc>
          <w:tcPr>
            <w:tcW w:w="783" w:type="pct"/>
            <w:vAlign w:val="center"/>
          </w:tcPr>
          <w:p w14:paraId="72CED4C1"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hAnsi="Times New Roman" w:cs="Times New Roman"/>
                <w:sz w:val="15"/>
                <w:szCs w:val="15"/>
              </w:rPr>
              <w:t>135 (88.8)</w:t>
            </w:r>
          </w:p>
        </w:tc>
        <w:tc>
          <w:tcPr>
            <w:tcW w:w="455" w:type="pct"/>
            <w:vAlign w:val="center"/>
          </w:tcPr>
          <w:p w14:paraId="03C4F185"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3572231B"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eastAsia="宋体" w:hAnsi="Times New Roman" w:cs="Times New Roman"/>
                <w:sz w:val="15"/>
                <w:szCs w:val="15"/>
              </w:rPr>
              <w:t>45 (63.4)</w:t>
            </w:r>
          </w:p>
        </w:tc>
        <w:tc>
          <w:tcPr>
            <w:tcW w:w="784" w:type="pct"/>
            <w:tcBorders>
              <w:top w:val="nil"/>
              <w:left w:val="nil"/>
              <w:bottom w:val="nil"/>
              <w:right w:val="nil"/>
            </w:tcBorders>
            <w:shd w:val="clear" w:color="auto" w:fill="auto"/>
            <w:noWrap/>
            <w:vAlign w:val="center"/>
            <w:hideMark/>
          </w:tcPr>
          <w:p w14:paraId="76B98797" w14:textId="77777777" w:rsidR="00EA0270" w:rsidRPr="00F453C6" w:rsidRDefault="00EA0270" w:rsidP="002851C0">
            <w:pPr>
              <w:widowControl w:val="0"/>
              <w:spacing w:after="0" w:line="240" w:lineRule="auto"/>
              <w:ind w:firstLineChars="50" w:firstLine="75"/>
              <w:rPr>
                <w:rFonts w:ascii="Times New Roman" w:eastAsia="宋体" w:hAnsi="Times New Roman" w:cs="Times New Roman"/>
                <w:sz w:val="15"/>
                <w:szCs w:val="15"/>
              </w:rPr>
            </w:pPr>
            <w:r w:rsidRPr="00F453C6">
              <w:rPr>
                <w:rFonts w:ascii="Times New Roman" w:eastAsia="宋体" w:hAnsi="Times New Roman" w:cs="Times New Roman"/>
                <w:sz w:val="15"/>
                <w:szCs w:val="15"/>
              </w:rPr>
              <w:t>90 (63.4)</w:t>
            </w:r>
          </w:p>
        </w:tc>
        <w:tc>
          <w:tcPr>
            <w:tcW w:w="452" w:type="pct"/>
            <w:tcBorders>
              <w:top w:val="nil"/>
              <w:left w:val="nil"/>
              <w:bottom w:val="nil"/>
              <w:right w:val="nil"/>
            </w:tcBorders>
            <w:shd w:val="clear" w:color="auto" w:fill="auto"/>
            <w:noWrap/>
            <w:vAlign w:val="center"/>
            <w:hideMark/>
          </w:tcPr>
          <w:p w14:paraId="4693A251"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p>
        </w:tc>
      </w:tr>
      <w:tr w:rsidR="00EA0270" w:rsidRPr="00F453C6" w14:paraId="446C92E7"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703FD1BC"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r w:rsidRPr="00F453C6">
              <w:rPr>
                <w:rFonts w:ascii="Times New Roman" w:eastAsia="宋体" w:hAnsi="Times New Roman" w:cs="Times New Roman"/>
                <w:sz w:val="15"/>
                <w:szCs w:val="15"/>
              </w:rPr>
              <w:t>Female</w:t>
            </w:r>
          </w:p>
        </w:tc>
        <w:tc>
          <w:tcPr>
            <w:tcW w:w="783" w:type="pct"/>
            <w:vAlign w:val="center"/>
          </w:tcPr>
          <w:p w14:paraId="5B5DFF6C" w14:textId="77777777" w:rsidR="00EA0270" w:rsidRPr="00F453C6" w:rsidRDefault="00EA0270" w:rsidP="002851C0">
            <w:pPr>
              <w:widowControl w:val="0"/>
              <w:spacing w:after="0" w:line="240" w:lineRule="auto"/>
              <w:ind w:firstLineChars="50" w:firstLine="75"/>
              <w:jc w:val="left"/>
              <w:rPr>
                <w:rFonts w:ascii="Times New Roman" w:eastAsia="宋体" w:hAnsi="Times New Roman" w:cs="Times New Roman"/>
                <w:sz w:val="15"/>
                <w:szCs w:val="15"/>
              </w:rPr>
            </w:pPr>
            <w:r w:rsidRPr="00F453C6">
              <w:rPr>
                <w:rFonts w:ascii="Times New Roman" w:hAnsi="Times New Roman" w:cs="Times New Roman"/>
                <w:sz w:val="15"/>
                <w:szCs w:val="15"/>
              </w:rPr>
              <w:t>18 (13.6)</w:t>
            </w:r>
          </w:p>
        </w:tc>
        <w:tc>
          <w:tcPr>
            <w:tcW w:w="783" w:type="pct"/>
            <w:vAlign w:val="center"/>
          </w:tcPr>
          <w:p w14:paraId="401CC241" w14:textId="77777777" w:rsidR="00EA0270" w:rsidRPr="00F453C6" w:rsidRDefault="00EA0270" w:rsidP="002851C0">
            <w:pPr>
              <w:widowControl w:val="0"/>
              <w:spacing w:after="0" w:line="240" w:lineRule="auto"/>
              <w:ind w:firstLineChars="50" w:firstLine="75"/>
              <w:rPr>
                <w:rFonts w:ascii="Times New Roman" w:eastAsia="宋体" w:hAnsi="Times New Roman" w:cs="Times New Roman"/>
                <w:sz w:val="15"/>
                <w:szCs w:val="15"/>
              </w:rPr>
            </w:pPr>
            <w:r w:rsidRPr="00F453C6">
              <w:rPr>
                <w:rFonts w:ascii="Times New Roman" w:hAnsi="Times New Roman" w:cs="Times New Roman"/>
                <w:sz w:val="15"/>
                <w:szCs w:val="15"/>
              </w:rPr>
              <w:t>17 (11.2)</w:t>
            </w:r>
          </w:p>
        </w:tc>
        <w:tc>
          <w:tcPr>
            <w:tcW w:w="455" w:type="pct"/>
            <w:vAlign w:val="center"/>
          </w:tcPr>
          <w:p w14:paraId="2A55004C"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19F91E6E" w14:textId="77777777" w:rsidR="00EA0270" w:rsidRPr="00F453C6" w:rsidRDefault="00EA0270" w:rsidP="002851C0">
            <w:pPr>
              <w:widowControl w:val="0"/>
              <w:spacing w:after="0" w:line="240" w:lineRule="auto"/>
              <w:ind w:firstLineChars="0" w:firstLine="0"/>
              <w:rPr>
                <w:rFonts w:ascii="Times New Roman" w:eastAsia="宋体" w:hAnsi="Times New Roman" w:cs="Times New Roman"/>
                <w:sz w:val="15"/>
                <w:szCs w:val="15"/>
              </w:rPr>
            </w:pPr>
            <w:r w:rsidRPr="00F453C6">
              <w:rPr>
                <w:rFonts w:ascii="Times New Roman" w:eastAsia="宋体" w:hAnsi="Times New Roman" w:cs="Times New Roman"/>
                <w:sz w:val="15"/>
                <w:szCs w:val="15"/>
              </w:rPr>
              <w:t>26 (36.6)</w:t>
            </w:r>
          </w:p>
        </w:tc>
        <w:tc>
          <w:tcPr>
            <w:tcW w:w="784" w:type="pct"/>
            <w:tcBorders>
              <w:top w:val="nil"/>
              <w:left w:val="nil"/>
              <w:bottom w:val="nil"/>
              <w:right w:val="nil"/>
            </w:tcBorders>
            <w:shd w:val="clear" w:color="auto" w:fill="auto"/>
            <w:noWrap/>
            <w:vAlign w:val="center"/>
            <w:hideMark/>
          </w:tcPr>
          <w:p w14:paraId="05112BFE" w14:textId="77777777" w:rsidR="00EA0270" w:rsidRPr="00F453C6" w:rsidRDefault="00EA0270" w:rsidP="002851C0">
            <w:pPr>
              <w:widowControl w:val="0"/>
              <w:spacing w:after="0" w:line="240" w:lineRule="auto"/>
              <w:ind w:firstLineChars="50" w:firstLine="75"/>
              <w:rPr>
                <w:rFonts w:ascii="Times New Roman" w:eastAsia="宋体" w:hAnsi="Times New Roman" w:cs="Times New Roman"/>
                <w:sz w:val="15"/>
                <w:szCs w:val="15"/>
              </w:rPr>
            </w:pPr>
            <w:r w:rsidRPr="00F453C6">
              <w:rPr>
                <w:rFonts w:ascii="Times New Roman" w:eastAsia="宋体" w:hAnsi="Times New Roman" w:cs="Times New Roman"/>
                <w:sz w:val="15"/>
                <w:szCs w:val="15"/>
              </w:rPr>
              <w:t>52 (36.6)</w:t>
            </w:r>
          </w:p>
        </w:tc>
        <w:tc>
          <w:tcPr>
            <w:tcW w:w="452" w:type="pct"/>
            <w:tcBorders>
              <w:top w:val="nil"/>
              <w:left w:val="nil"/>
              <w:bottom w:val="nil"/>
              <w:right w:val="nil"/>
            </w:tcBorders>
            <w:shd w:val="clear" w:color="auto" w:fill="auto"/>
            <w:noWrap/>
            <w:vAlign w:val="center"/>
            <w:hideMark/>
          </w:tcPr>
          <w:p w14:paraId="7ED1746E" w14:textId="77777777" w:rsidR="00EA0270" w:rsidRPr="00F453C6" w:rsidRDefault="00EA0270" w:rsidP="002851C0">
            <w:pPr>
              <w:widowControl w:val="0"/>
              <w:spacing w:after="0" w:line="240" w:lineRule="auto"/>
              <w:ind w:firstLineChars="100" w:firstLine="150"/>
              <w:rPr>
                <w:rFonts w:ascii="Times New Roman" w:eastAsia="宋体" w:hAnsi="Times New Roman" w:cs="Times New Roman"/>
                <w:sz w:val="15"/>
                <w:szCs w:val="15"/>
              </w:rPr>
            </w:pPr>
          </w:p>
        </w:tc>
      </w:tr>
      <w:tr w:rsidR="00EA0270" w:rsidRPr="00F453C6" w14:paraId="1FFD71EF" w14:textId="77777777" w:rsidTr="002851C0">
        <w:trPr>
          <w:trHeight w:val="285"/>
          <w:jc w:val="center"/>
        </w:trPr>
        <w:tc>
          <w:tcPr>
            <w:tcW w:w="958" w:type="pct"/>
            <w:tcBorders>
              <w:top w:val="nil"/>
              <w:left w:val="nil"/>
              <w:bottom w:val="nil"/>
              <w:right w:val="nil"/>
            </w:tcBorders>
            <w:shd w:val="clear" w:color="auto" w:fill="auto"/>
            <w:noWrap/>
            <w:hideMark/>
          </w:tcPr>
          <w:p w14:paraId="144C73F9"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Age</w:t>
            </w:r>
          </w:p>
        </w:tc>
        <w:tc>
          <w:tcPr>
            <w:tcW w:w="783" w:type="pct"/>
            <w:shd w:val="clear" w:color="auto" w:fill="auto"/>
            <w:vAlign w:val="center"/>
          </w:tcPr>
          <w:p w14:paraId="5409D8F2" w14:textId="77777777" w:rsidR="00EA0270" w:rsidRPr="00F453C6" w:rsidRDefault="00EA0270" w:rsidP="002851C0">
            <w:pPr>
              <w:widowControl w:val="0"/>
              <w:spacing w:after="0" w:line="240" w:lineRule="auto"/>
              <w:ind w:firstLineChars="0" w:firstLine="0"/>
              <w:jc w:val="left"/>
              <w:rPr>
                <w:rFonts w:ascii="Times New Roman" w:hAnsi="Times New Roman" w:cs="Times New Roman"/>
                <w:sz w:val="15"/>
                <w:szCs w:val="15"/>
              </w:rPr>
            </w:pPr>
            <w:r w:rsidRPr="00F453C6">
              <w:rPr>
                <w:rFonts w:ascii="Times New Roman" w:hAnsi="Times New Roman" w:cs="Times New Roman"/>
                <w:sz w:val="15"/>
                <w:szCs w:val="15"/>
              </w:rPr>
              <w:t>46.7 ± 9.4</w:t>
            </w:r>
          </w:p>
        </w:tc>
        <w:tc>
          <w:tcPr>
            <w:tcW w:w="783" w:type="pct"/>
            <w:shd w:val="clear" w:color="auto" w:fill="auto"/>
            <w:vAlign w:val="center"/>
          </w:tcPr>
          <w:p w14:paraId="18D48C51"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46.0 ± 8.5</w:t>
            </w:r>
          </w:p>
        </w:tc>
        <w:tc>
          <w:tcPr>
            <w:tcW w:w="455" w:type="pct"/>
            <w:shd w:val="clear" w:color="auto" w:fill="auto"/>
            <w:vAlign w:val="center"/>
          </w:tcPr>
          <w:p w14:paraId="2D17AF15"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0.670</w:t>
            </w:r>
          </w:p>
        </w:tc>
        <w:tc>
          <w:tcPr>
            <w:tcW w:w="785" w:type="pct"/>
            <w:tcBorders>
              <w:top w:val="nil"/>
              <w:left w:val="nil"/>
              <w:bottom w:val="nil"/>
              <w:right w:val="nil"/>
            </w:tcBorders>
            <w:shd w:val="clear" w:color="auto" w:fill="auto"/>
            <w:noWrap/>
            <w:vAlign w:val="center"/>
            <w:hideMark/>
          </w:tcPr>
          <w:p w14:paraId="00A48031"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48.27 ± 8.6</w:t>
            </w:r>
          </w:p>
        </w:tc>
        <w:tc>
          <w:tcPr>
            <w:tcW w:w="784" w:type="pct"/>
            <w:tcBorders>
              <w:top w:val="nil"/>
              <w:left w:val="nil"/>
              <w:bottom w:val="nil"/>
              <w:right w:val="nil"/>
            </w:tcBorders>
            <w:shd w:val="clear" w:color="auto" w:fill="auto"/>
            <w:noWrap/>
            <w:vAlign w:val="center"/>
            <w:hideMark/>
          </w:tcPr>
          <w:p w14:paraId="41D676D2"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48.27 ± 8.6</w:t>
            </w:r>
          </w:p>
        </w:tc>
        <w:tc>
          <w:tcPr>
            <w:tcW w:w="452" w:type="pct"/>
            <w:tcBorders>
              <w:top w:val="nil"/>
              <w:left w:val="nil"/>
              <w:bottom w:val="nil"/>
              <w:right w:val="nil"/>
            </w:tcBorders>
            <w:shd w:val="clear" w:color="auto" w:fill="auto"/>
            <w:noWrap/>
            <w:vAlign w:val="center"/>
            <w:hideMark/>
          </w:tcPr>
          <w:p w14:paraId="5B9937C5" w14:textId="77777777" w:rsidR="00EA0270" w:rsidRPr="00F453C6" w:rsidRDefault="00EA0270" w:rsidP="002851C0">
            <w:pPr>
              <w:widowControl w:val="0"/>
              <w:spacing w:after="0" w:line="240" w:lineRule="auto"/>
              <w:ind w:firstLineChars="0" w:firstLine="0"/>
              <w:rPr>
                <w:rFonts w:ascii="Times New Roman" w:hAnsi="Times New Roman" w:cs="Times New Roman"/>
                <w:bCs/>
                <w:color w:val="000000" w:themeColor="text1"/>
                <w:sz w:val="15"/>
                <w:szCs w:val="15"/>
              </w:rPr>
            </w:pPr>
            <w:r w:rsidRPr="00F453C6">
              <w:rPr>
                <w:rFonts w:ascii="Times New Roman" w:hAnsi="Times New Roman" w:cs="Times New Roman"/>
                <w:bCs/>
                <w:color w:val="000000" w:themeColor="text1"/>
                <w:sz w:val="15"/>
                <w:szCs w:val="15"/>
              </w:rPr>
              <w:t>0.994</w:t>
            </w:r>
          </w:p>
        </w:tc>
      </w:tr>
      <w:tr w:rsidR="00EA0270" w:rsidRPr="00F453C6" w14:paraId="38C23C80" w14:textId="77777777" w:rsidTr="002851C0">
        <w:trPr>
          <w:trHeight w:val="285"/>
          <w:jc w:val="center"/>
        </w:trPr>
        <w:tc>
          <w:tcPr>
            <w:tcW w:w="958" w:type="pct"/>
            <w:tcBorders>
              <w:top w:val="nil"/>
              <w:left w:val="nil"/>
              <w:bottom w:val="nil"/>
              <w:right w:val="nil"/>
            </w:tcBorders>
            <w:shd w:val="clear" w:color="auto" w:fill="auto"/>
            <w:noWrap/>
            <w:hideMark/>
          </w:tcPr>
          <w:p w14:paraId="5908B0D8"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Age group</w:t>
            </w:r>
          </w:p>
        </w:tc>
        <w:tc>
          <w:tcPr>
            <w:tcW w:w="783" w:type="pct"/>
            <w:shd w:val="clear" w:color="auto" w:fill="auto"/>
            <w:vAlign w:val="center"/>
          </w:tcPr>
          <w:p w14:paraId="3D753233" w14:textId="77777777" w:rsidR="00EA0270" w:rsidRPr="00F453C6" w:rsidRDefault="00EA0270" w:rsidP="002851C0">
            <w:pPr>
              <w:widowControl w:val="0"/>
              <w:spacing w:after="0" w:line="240" w:lineRule="auto"/>
              <w:ind w:firstLineChars="0" w:firstLine="0"/>
              <w:jc w:val="left"/>
              <w:rPr>
                <w:rFonts w:ascii="Times New Roman" w:hAnsi="Times New Roman" w:cs="Times New Roman"/>
                <w:sz w:val="15"/>
                <w:szCs w:val="15"/>
              </w:rPr>
            </w:pPr>
          </w:p>
        </w:tc>
        <w:tc>
          <w:tcPr>
            <w:tcW w:w="783" w:type="pct"/>
            <w:shd w:val="clear" w:color="auto" w:fill="auto"/>
            <w:vAlign w:val="center"/>
          </w:tcPr>
          <w:p w14:paraId="54139F4D"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p>
        </w:tc>
        <w:tc>
          <w:tcPr>
            <w:tcW w:w="455" w:type="pct"/>
            <w:shd w:val="clear" w:color="auto" w:fill="auto"/>
            <w:vAlign w:val="center"/>
          </w:tcPr>
          <w:p w14:paraId="0FD31F79"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0.004</w:t>
            </w:r>
          </w:p>
        </w:tc>
        <w:tc>
          <w:tcPr>
            <w:tcW w:w="785" w:type="pct"/>
            <w:tcBorders>
              <w:top w:val="nil"/>
              <w:left w:val="nil"/>
              <w:bottom w:val="nil"/>
              <w:right w:val="nil"/>
            </w:tcBorders>
            <w:shd w:val="clear" w:color="auto" w:fill="auto"/>
            <w:noWrap/>
            <w:vAlign w:val="center"/>
            <w:hideMark/>
          </w:tcPr>
          <w:p w14:paraId="316B17E9"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c>
          <w:tcPr>
            <w:tcW w:w="784" w:type="pct"/>
            <w:tcBorders>
              <w:top w:val="nil"/>
              <w:left w:val="nil"/>
              <w:bottom w:val="nil"/>
              <w:right w:val="nil"/>
            </w:tcBorders>
            <w:shd w:val="clear" w:color="auto" w:fill="auto"/>
            <w:noWrap/>
            <w:vAlign w:val="center"/>
            <w:hideMark/>
          </w:tcPr>
          <w:p w14:paraId="74810CE6"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c>
          <w:tcPr>
            <w:tcW w:w="452" w:type="pct"/>
            <w:tcBorders>
              <w:top w:val="nil"/>
              <w:left w:val="nil"/>
              <w:bottom w:val="nil"/>
              <w:right w:val="nil"/>
            </w:tcBorders>
            <w:shd w:val="clear" w:color="auto" w:fill="auto"/>
            <w:noWrap/>
            <w:vAlign w:val="center"/>
            <w:hideMark/>
          </w:tcPr>
          <w:p w14:paraId="15D8C9CB"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1.000</w:t>
            </w:r>
          </w:p>
        </w:tc>
      </w:tr>
      <w:tr w:rsidR="00EA0270" w:rsidRPr="00F453C6" w14:paraId="1FA44EB4" w14:textId="77777777" w:rsidTr="002851C0">
        <w:trPr>
          <w:trHeight w:val="285"/>
          <w:jc w:val="center"/>
        </w:trPr>
        <w:tc>
          <w:tcPr>
            <w:tcW w:w="958" w:type="pct"/>
            <w:tcBorders>
              <w:top w:val="nil"/>
              <w:left w:val="nil"/>
              <w:bottom w:val="nil"/>
              <w:right w:val="nil"/>
            </w:tcBorders>
            <w:shd w:val="clear" w:color="auto" w:fill="auto"/>
            <w:noWrap/>
            <w:hideMark/>
          </w:tcPr>
          <w:p w14:paraId="0E97C67B"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r w:rsidRPr="00F453C6">
              <w:rPr>
                <w:rFonts w:ascii="Times New Roman" w:hAnsi="Times New Roman" w:cs="Times New Roman"/>
                <w:sz w:val="15"/>
                <w:szCs w:val="15"/>
              </w:rPr>
              <w:t>30-39</w:t>
            </w:r>
          </w:p>
        </w:tc>
        <w:tc>
          <w:tcPr>
            <w:tcW w:w="783" w:type="pct"/>
            <w:shd w:val="clear" w:color="auto" w:fill="auto"/>
            <w:vAlign w:val="center"/>
          </w:tcPr>
          <w:p w14:paraId="6FA61733" w14:textId="77777777" w:rsidR="00EA0270" w:rsidRPr="00F453C6" w:rsidRDefault="00EA0270" w:rsidP="002851C0">
            <w:pPr>
              <w:widowControl w:val="0"/>
              <w:spacing w:after="0" w:line="240" w:lineRule="auto"/>
              <w:ind w:firstLineChars="50" w:firstLine="75"/>
              <w:jc w:val="left"/>
              <w:rPr>
                <w:rFonts w:ascii="Times New Roman" w:hAnsi="Times New Roman" w:cs="Times New Roman"/>
                <w:sz w:val="15"/>
                <w:szCs w:val="15"/>
              </w:rPr>
            </w:pPr>
            <w:r w:rsidRPr="00F453C6">
              <w:rPr>
                <w:rFonts w:ascii="Times New Roman" w:hAnsi="Times New Roman" w:cs="Times New Roman"/>
                <w:sz w:val="15"/>
                <w:szCs w:val="15"/>
              </w:rPr>
              <w:t>33 (25.0)</w:t>
            </w:r>
          </w:p>
        </w:tc>
        <w:tc>
          <w:tcPr>
            <w:tcW w:w="783" w:type="pct"/>
            <w:shd w:val="clear" w:color="auto" w:fill="auto"/>
            <w:vAlign w:val="center"/>
          </w:tcPr>
          <w:p w14:paraId="51D4FA69"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37 (24.3)</w:t>
            </w:r>
          </w:p>
        </w:tc>
        <w:tc>
          <w:tcPr>
            <w:tcW w:w="455" w:type="pct"/>
            <w:shd w:val="clear" w:color="auto" w:fill="auto"/>
            <w:vAlign w:val="center"/>
          </w:tcPr>
          <w:p w14:paraId="729763C9"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34DC0776"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15 (21.1)</w:t>
            </w:r>
          </w:p>
        </w:tc>
        <w:tc>
          <w:tcPr>
            <w:tcW w:w="784" w:type="pct"/>
            <w:tcBorders>
              <w:top w:val="nil"/>
              <w:left w:val="nil"/>
              <w:bottom w:val="nil"/>
              <w:right w:val="nil"/>
            </w:tcBorders>
            <w:shd w:val="clear" w:color="auto" w:fill="auto"/>
            <w:noWrap/>
            <w:vAlign w:val="center"/>
            <w:hideMark/>
          </w:tcPr>
          <w:p w14:paraId="78171401"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30 (21.1)</w:t>
            </w:r>
          </w:p>
        </w:tc>
        <w:tc>
          <w:tcPr>
            <w:tcW w:w="452" w:type="pct"/>
            <w:tcBorders>
              <w:top w:val="nil"/>
              <w:left w:val="nil"/>
              <w:bottom w:val="nil"/>
              <w:right w:val="nil"/>
            </w:tcBorders>
            <w:shd w:val="clear" w:color="auto" w:fill="auto"/>
            <w:noWrap/>
            <w:vAlign w:val="center"/>
            <w:hideMark/>
          </w:tcPr>
          <w:p w14:paraId="286757E9"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r>
      <w:tr w:rsidR="00EA0270" w:rsidRPr="00F453C6" w14:paraId="3234A19A" w14:textId="77777777" w:rsidTr="002851C0">
        <w:trPr>
          <w:trHeight w:val="285"/>
          <w:jc w:val="center"/>
        </w:trPr>
        <w:tc>
          <w:tcPr>
            <w:tcW w:w="958" w:type="pct"/>
            <w:tcBorders>
              <w:top w:val="nil"/>
              <w:left w:val="nil"/>
              <w:bottom w:val="nil"/>
              <w:right w:val="nil"/>
            </w:tcBorders>
            <w:shd w:val="clear" w:color="auto" w:fill="auto"/>
            <w:noWrap/>
            <w:hideMark/>
          </w:tcPr>
          <w:p w14:paraId="7D6C06AF"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r w:rsidRPr="00F453C6">
              <w:rPr>
                <w:rFonts w:ascii="Times New Roman" w:hAnsi="Times New Roman" w:cs="Times New Roman"/>
                <w:sz w:val="15"/>
                <w:szCs w:val="15"/>
              </w:rPr>
              <w:t>40-49</w:t>
            </w:r>
          </w:p>
        </w:tc>
        <w:tc>
          <w:tcPr>
            <w:tcW w:w="783" w:type="pct"/>
            <w:shd w:val="clear" w:color="auto" w:fill="auto"/>
            <w:vAlign w:val="center"/>
          </w:tcPr>
          <w:p w14:paraId="344969BA" w14:textId="77777777" w:rsidR="00EA0270" w:rsidRPr="00F453C6" w:rsidRDefault="00EA0270" w:rsidP="002851C0">
            <w:pPr>
              <w:widowControl w:val="0"/>
              <w:spacing w:after="0" w:line="240" w:lineRule="auto"/>
              <w:ind w:firstLineChars="50" w:firstLine="75"/>
              <w:jc w:val="left"/>
              <w:rPr>
                <w:rFonts w:ascii="Times New Roman" w:hAnsi="Times New Roman" w:cs="Times New Roman"/>
                <w:sz w:val="15"/>
                <w:szCs w:val="15"/>
              </w:rPr>
            </w:pPr>
            <w:r w:rsidRPr="00F453C6">
              <w:rPr>
                <w:rFonts w:ascii="Times New Roman" w:hAnsi="Times New Roman" w:cs="Times New Roman"/>
                <w:sz w:val="15"/>
                <w:szCs w:val="15"/>
              </w:rPr>
              <w:t>55 (41.7)</w:t>
            </w:r>
          </w:p>
        </w:tc>
        <w:tc>
          <w:tcPr>
            <w:tcW w:w="783" w:type="pct"/>
            <w:shd w:val="clear" w:color="auto" w:fill="auto"/>
            <w:vAlign w:val="center"/>
          </w:tcPr>
          <w:p w14:paraId="7F69CBAC"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61 (40.1)</w:t>
            </w:r>
          </w:p>
        </w:tc>
        <w:tc>
          <w:tcPr>
            <w:tcW w:w="455" w:type="pct"/>
            <w:shd w:val="clear" w:color="auto" w:fill="auto"/>
            <w:vAlign w:val="center"/>
          </w:tcPr>
          <w:p w14:paraId="18B79427"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55BB49A6"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19 (26.8)</w:t>
            </w:r>
          </w:p>
        </w:tc>
        <w:tc>
          <w:tcPr>
            <w:tcW w:w="784" w:type="pct"/>
            <w:tcBorders>
              <w:top w:val="nil"/>
              <w:left w:val="nil"/>
              <w:bottom w:val="nil"/>
              <w:right w:val="nil"/>
            </w:tcBorders>
            <w:shd w:val="clear" w:color="auto" w:fill="auto"/>
            <w:noWrap/>
            <w:vAlign w:val="center"/>
            <w:hideMark/>
          </w:tcPr>
          <w:p w14:paraId="0D0548F6"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38 (26.8)</w:t>
            </w:r>
          </w:p>
        </w:tc>
        <w:tc>
          <w:tcPr>
            <w:tcW w:w="452" w:type="pct"/>
            <w:tcBorders>
              <w:top w:val="nil"/>
              <w:left w:val="nil"/>
              <w:bottom w:val="nil"/>
              <w:right w:val="nil"/>
            </w:tcBorders>
            <w:shd w:val="clear" w:color="auto" w:fill="auto"/>
            <w:noWrap/>
            <w:vAlign w:val="center"/>
            <w:hideMark/>
          </w:tcPr>
          <w:p w14:paraId="1ECCCF2D"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r>
      <w:tr w:rsidR="00EA0270" w:rsidRPr="00F453C6" w14:paraId="1D4225A8" w14:textId="77777777" w:rsidTr="002851C0">
        <w:trPr>
          <w:trHeight w:val="285"/>
          <w:jc w:val="center"/>
        </w:trPr>
        <w:tc>
          <w:tcPr>
            <w:tcW w:w="958" w:type="pct"/>
            <w:tcBorders>
              <w:top w:val="nil"/>
              <w:left w:val="nil"/>
              <w:bottom w:val="nil"/>
              <w:right w:val="nil"/>
            </w:tcBorders>
            <w:shd w:val="clear" w:color="auto" w:fill="auto"/>
            <w:noWrap/>
            <w:hideMark/>
          </w:tcPr>
          <w:p w14:paraId="282869E3"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r w:rsidRPr="00F453C6">
              <w:rPr>
                <w:rFonts w:ascii="Times New Roman" w:hAnsi="Times New Roman" w:cs="Times New Roman"/>
                <w:sz w:val="15"/>
                <w:szCs w:val="15"/>
              </w:rPr>
              <w:t>50-59</w:t>
            </w:r>
          </w:p>
        </w:tc>
        <w:tc>
          <w:tcPr>
            <w:tcW w:w="783" w:type="pct"/>
            <w:shd w:val="clear" w:color="auto" w:fill="auto"/>
            <w:vAlign w:val="center"/>
          </w:tcPr>
          <w:p w14:paraId="3172F43F" w14:textId="77777777" w:rsidR="00EA0270" w:rsidRPr="00F453C6" w:rsidRDefault="00EA0270" w:rsidP="002851C0">
            <w:pPr>
              <w:widowControl w:val="0"/>
              <w:spacing w:after="0" w:line="240" w:lineRule="auto"/>
              <w:ind w:firstLineChars="50" w:firstLine="75"/>
              <w:jc w:val="left"/>
              <w:rPr>
                <w:rFonts w:ascii="Times New Roman" w:hAnsi="Times New Roman" w:cs="Times New Roman"/>
                <w:sz w:val="15"/>
                <w:szCs w:val="15"/>
              </w:rPr>
            </w:pPr>
            <w:r w:rsidRPr="00F453C6">
              <w:rPr>
                <w:rFonts w:ascii="Times New Roman" w:hAnsi="Times New Roman" w:cs="Times New Roman"/>
                <w:sz w:val="15"/>
                <w:szCs w:val="15"/>
              </w:rPr>
              <w:t>25 (18.9)</w:t>
            </w:r>
          </w:p>
        </w:tc>
        <w:tc>
          <w:tcPr>
            <w:tcW w:w="783" w:type="pct"/>
            <w:shd w:val="clear" w:color="auto" w:fill="auto"/>
            <w:vAlign w:val="center"/>
          </w:tcPr>
          <w:p w14:paraId="2210D301"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48 (31.6)</w:t>
            </w:r>
          </w:p>
        </w:tc>
        <w:tc>
          <w:tcPr>
            <w:tcW w:w="455" w:type="pct"/>
            <w:shd w:val="clear" w:color="auto" w:fill="auto"/>
            <w:vAlign w:val="center"/>
          </w:tcPr>
          <w:p w14:paraId="7A7B9717"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7260435D"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r w:rsidRPr="00F453C6">
              <w:rPr>
                <w:rFonts w:ascii="Times New Roman" w:hAnsi="Times New Roman" w:cs="Times New Roman"/>
                <w:sz w:val="15"/>
                <w:szCs w:val="15"/>
              </w:rPr>
              <w:t>31 (43.7)</w:t>
            </w:r>
          </w:p>
        </w:tc>
        <w:tc>
          <w:tcPr>
            <w:tcW w:w="784" w:type="pct"/>
            <w:tcBorders>
              <w:top w:val="nil"/>
              <w:left w:val="nil"/>
              <w:bottom w:val="nil"/>
              <w:right w:val="nil"/>
            </w:tcBorders>
            <w:shd w:val="clear" w:color="auto" w:fill="auto"/>
            <w:noWrap/>
            <w:vAlign w:val="center"/>
            <w:hideMark/>
          </w:tcPr>
          <w:p w14:paraId="72054A48"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62 (43.7)</w:t>
            </w:r>
          </w:p>
        </w:tc>
        <w:tc>
          <w:tcPr>
            <w:tcW w:w="452" w:type="pct"/>
            <w:tcBorders>
              <w:top w:val="nil"/>
              <w:left w:val="nil"/>
              <w:bottom w:val="nil"/>
              <w:right w:val="nil"/>
            </w:tcBorders>
            <w:shd w:val="clear" w:color="auto" w:fill="auto"/>
            <w:noWrap/>
            <w:vAlign w:val="center"/>
            <w:hideMark/>
          </w:tcPr>
          <w:p w14:paraId="4FFFA3F7"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r>
      <w:tr w:rsidR="00EA0270" w:rsidRPr="00F453C6" w14:paraId="160F942E" w14:textId="77777777" w:rsidTr="002851C0">
        <w:trPr>
          <w:trHeight w:val="285"/>
          <w:jc w:val="center"/>
        </w:trPr>
        <w:tc>
          <w:tcPr>
            <w:tcW w:w="958" w:type="pct"/>
            <w:tcBorders>
              <w:top w:val="nil"/>
              <w:left w:val="nil"/>
              <w:bottom w:val="nil"/>
              <w:right w:val="nil"/>
            </w:tcBorders>
            <w:shd w:val="clear" w:color="auto" w:fill="auto"/>
            <w:noWrap/>
            <w:hideMark/>
          </w:tcPr>
          <w:p w14:paraId="0DAB593A"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r w:rsidRPr="00F453C6">
              <w:rPr>
                <w:rFonts w:ascii="Times New Roman" w:hAnsi="Times New Roman" w:cs="Times New Roman"/>
                <w:sz w:val="15"/>
                <w:szCs w:val="15"/>
              </w:rPr>
              <w:t>60-69</w:t>
            </w:r>
          </w:p>
        </w:tc>
        <w:tc>
          <w:tcPr>
            <w:tcW w:w="783" w:type="pct"/>
            <w:tcBorders>
              <w:bottom w:val="nil"/>
            </w:tcBorders>
            <w:shd w:val="clear" w:color="auto" w:fill="auto"/>
            <w:vAlign w:val="center"/>
          </w:tcPr>
          <w:p w14:paraId="018ACC95" w14:textId="77777777" w:rsidR="00EA0270" w:rsidRPr="00F453C6" w:rsidRDefault="00EA0270" w:rsidP="002851C0">
            <w:pPr>
              <w:widowControl w:val="0"/>
              <w:spacing w:after="0" w:line="240" w:lineRule="auto"/>
              <w:ind w:firstLineChars="50" w:firstLine="75"/>
              <w:jc w:val="left"/>
              <w:rPr>
                <w:rFonts w:ascii="Times New Roman" w:hAnsi="Times New Roman" w:cs="Times New Roman"/>
                <w:sz w:val="15"/>
                <w:szCs w:val="15"/>
              </w:rPr>
            </w:pPr>
            <w:r w:rsidRPr="00F453C6">
              <w:rPr>
                <w:rFonts w:ascii="Times New Roman" w:hAnsi="Times New Roman" w:cs="Times New Roman"/>
                <w:sz w:val="15"/>
                <w:szCs w:val="15"/>
              </w:rPr>
              <w:t>19 (14.4)</w:t>
            </w:r>
          </w:p>
        </w:tc>
        <w:tc>
          <w:tcPr>
            <w:tcW w:w="783" w:type="pct"/>
            <w:tcBorders>
              <w:bottom w:val="nil"/>
            </w:tcBorders>
            <w:shd w:val="clear" w:color="auto" w:fill="auto"/>
            <w:vAlign w:val="center"/>
          </w:tcPr>
          <w:p w14:paraId="44D720AF"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r w:rsidRPr="00F453C6">
              <w:rPr>
                <w:rFonts w:ascii="Times New Roman" w:hAnsi="Times New Roman" w:cs="Times New Roman"/>
                <w:sz w:val="15"/>
                <w:szCs w:val="15"/>
              </w:rPr>
              <w:t>6 (4.0)</w:t>
            </w:r>
          </w:p>
        </w:tc>
        <w:tc>
          <w:tcPr>
            <w:tcW w:w="455" w:type="pct"/>
            <w:tcBorders>
              <w:bottom w:val="nil"/>
            </w:tcBorders>
            <w:shd w:val="clear" w:color="auto" w:fill="auto"/>
            <w:vAlign w:val="center"/>
          </w:tcPr>
          <w:p w14:paraId="0C0DA807" w14:textId="77777777" w:rsidR="00EA0270" w:rsidRPr="00F453C6" w:rsidRDefault="00EA0270" w:rsidP="002851C0">
            <w:pPr>
              <w:widowControl w:val="0"/>
              <w:spacing w:after="0" w:line="240" w:lineRule="auto"/>
              <w:ind w:firstLineChars="0" w:firstLine="0"/>
              <w:rPr>
                <w:rFonts w:ascii="Times New Roman" w:hAnsi="Times New Roman" w:cs="Times New Roman"/>
                <w:sz w:val="15"/>
                <w:szCs w:val="15"/>
              </w:rPr>
            </w:pPr>
          </w:p>
        </w:tc>
        <w:tc>
          <w:tcPr>
            <w:tcW w:w="785" w:type="pct"/>
            <w:tcBorders>
              <w:top w:val="nil"/>
              <w:left w:val="nil"/>
              <w:bottom w:val="nil"/>
              <w:right w:val="nil"/>
            </w:tcBorders>
            <w:shd w:val="clear" w:color="auto" w:fill="auto"/>
            <w:noWrap/>
            <w:vAlign w:val="center"/>
            <w:hideMark/>
          </w:tcPr>
          <w:p w14:paraId="02F3DA4E"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6 (8.4)</w:t>
            </w:r>
          </w:p>
        </w:tc>
        <w:tc>
          <w:tcPr>
            <w:tcW w:w="784" w:type="pct"/>
            <w:tcBorders>
              <w:top w:val="nil"/>
              <w:left w:val="nil"/>
              <w:bottom w:val="nil"/>
              <w:right w:val="nil"/>
            </w:tcBorders>
            <w:shd w:val="clear" w:color="auto" w:fill="auto"/>
            <w:noWrap/>
            <w:vAlign w:val="center"/>
            <w:hideMark/>
          </w:tcPr>
          <w:p w14:paraId="600A99EE" w14:textId="77777777" w:rsidR="00EA0270" w:rsidRPr="00F453C6" w:rsidRDefault="00EA0270" w:rsidP="002851C0">
            <w:pPr>
              <w:widowControl w:val="0"/>
              <w:spacing w:after="0" w:line="240" w:lineRule="auto"/>
              <w:ind w:firstLineChars="50" w:firstLine="75"/>
              <w:rPr>
                <w:rFonts w:ascii="Times New Roman" w:hAnsi="Times New Roman" w:cs="Times New Roman"/>
                <w:sz w:val="15"/>
                <w:szCs w:val="15"/>
              </w:rPr>
            </w:pPr>
            <w:r w:rsidRPr="00F453C6">
              <w:rPr>
                <w:rFonts w:ascii="Times New Roman" w:hAnsi="Times New Roman" w:cs="Times New Roman"/>
                <w:sz w:val="15"/>
                <w:szCs w:val="15"/>
              </w:rPr>
              <w:t>12 (8.4)</w:t>
            </w:r>
          </w:p>
        </w:tc>
        <w:tc>
          <w:tcPr>
            <w:tcW w:w="452" w:type="pct"/>
            <w:tcBorders>
              <w:top w:val="nil"/>
              <w:left w:val="nil"/>
              <w:bottom w:val="nil"/>
              <w:right w:val="nil"/>
            </w:tcBorders>
            <w:shd w:val="clear" w:color="auto" w:fill="auto"/>
            <w:noWrap/>
            <w:vAlign w:val="center"/>
            <w:hideMark/>
          </w:tcPr>
          <w:p w14:paraId="11C03720" w14:textId="77777777" w:rsidR="00EA0270" w:rsidRPr="00F453C6" w:rsidRDefault="00EA0270" w:rsidP="002851C0">
            <w:pPr>
              <w:widowControl w:val="0"/>
              <w:spacing w:after="0" w:line="240" w:lineRule="auto"/>
              <w:ind w:firstLineChars="100" w:firstLine="150"/>
              <w:rPr>
                <w:rFonts w:ascii="Times New Roman" w:hAnsi="Times New Roman" w:cs="Times New Roman"/>
                <w:sz w:val="15"/>
                <w:szCs w:val="15"/>
              </w:rPr>
            </w:pPr>
          </w:p>
        </w:tc>
      </w:tr>
      <w:tr w:rsidR="00EA0270" w:rsidRPr="00F453C6" w14:paraId="5C852353"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6EB45C1C"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bookmarkStart w:id="33" w:name="_Hlk63170183"/>
            <w:r w:rsidRPr="00F453C6">
              <w:rPr>
                <w:rFonts w:ascii="Times New Roman" w:eastAsia="等线" w:hAnsi="Times New Roman" w:cs="Times New Roman"/>
                <w:color w:val="000000"/>
                <w:kern w:val="0"/>
                <w:sz w:val="15"/>
                <w:szCs w:val="15"/>
              </w:rPr>
              <w:t>VCA-</w:t>
            </w:r>
            <w:proofErr w:type="spellStart"/>
            <w:r w:rsidRPr="00F453C6">
              <w:rPr>
                <w:rFonts w:ascii="Times New Roman" w:eastAsia="等线" w:hAnsi="Times New Roman" w:cs="Times New Roman"/>
                <w:color w:val="000000"/>
                <w:kern w:val="0"/>
                <w:sz w:val="15"/>
                <w:szCs w:val="15"/>
              </w:rPr>
              <w:t>IgA</w:t>
            </w:r>
            <w:bookmarkEnd w:id="33"/>
            <w:r w:rsidRPr="00F453C6">
              <w:rPr>
                <w:rFonts w:ascii="Times New Roman" w:eastAsia="等线" w:hAnsi="Times New Roman" w:cs="Times New Roman"/>
                <w:color w:val="000000"/>
                <w:kern w:val="0"/>
                <w:sz w:val="15"/>
                <w:szCs w:val="15"/>
                <w:vertAlign w:val="superscript"/>
              </w:rPr>
              <w:t>b</w:t>
            </w:r>
            <w:proofErr w:type="spellEnd"/>
          </w:p>
        </w:tc>
        <w:tc>
          <w:tcPr>
            <w:tcW w:w="783" w:type="pct"/>
            <w:vAlign w:val="center"/>
          </w:tcPr>
          <w:p w14:paraId="183E8F3E"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783" w:type="pct"/>
            <w:vAlign w:val="center"/>
          </w:tcPr>
          <w:p w14:paraId="3309F4BF"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5" w:type="pct"/>
            <w:tcBorders>
              <w:top w:val="nil"/>
              <w:bottom w:val="nil"/>
            </w:tcBorders>
            <w:shd w:val="clear" w:color="auto" w:fill="auto"/>
            <w:vAlign w:val="center"/>
          </w:tcPr>
          <w:p w14:paraId="1FFF183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&lt;0.001</w:t>
            </w:r>
          </w:p>
        </w:tc>
        <w:tc>
          <w:tcPr>
            <w:tcW w:w="785" w:type="pct"/>
            <w:tcBorders>
              <w:top w:val="nil"/>
              <w:left w:val="nil"/>
              <w:bottom w:val="nil"/>
              <w:right w:val="nil"/>
            </w:tcBorders>
            <w:shd w:val="clear" w:color="auto" w:fill="auto"/>
            <w:noWrap/>
            <w:vAlign w:val="center"/>
            <w:hideMark/>
          </w:tcPr>
          <w:p w14:paraId="18507469"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4" w:type="pct"/>
            <w:tcBorders>
              <w:top w:val="nil"/>
              <w:left w:val="nil"/>
              <w:bottom w:val="nil"/>
              <w:right w:val="nil"/>
            </w:tcBorders>
            <w:shd w:val="clear" w:color="auto" w:fill="auto"/>
            <w:noWrap/>
            <w:vAlign w:val="center"/>
            <w:hideMark/>
          </w:tcPr>
          <w:p w14:paraId="618E9ABD" w14:textId="77777777" w:rsidR="00EA0270" w:rsidRPr="00F453C6" w:rsidRDefault="00EA0270" w:rsidP="002851C0">
            <w:pPr>
              <w:spacing w:after="0" w:line="240" w:lineRule="auto"/>
              <w:ind w:firstLineChars="0" w:firstLine="0"/>
              <w:rPr>
                <w:rFonts w:ascii="Times New Roman" w:eastAsia="Times New Roman" w:hAnsi="Times New Roman" w:cs="Times New Roman"/>
                <w:kern w:val="0"/>
                <w:sz w:val="15"/>
                <w:szCs w:val="15"/>
              </w:rPr>
            </w:pPr>
          </w:p>
        </w:tc>
        <w:tc>
          <w:tcPr>
            <w:tcW w:w="452" w:type="pct"/>
            <w:tcBorders>
              <w:top w:val="nil"/>
              <w:left w:val="nil"/>
              <w:bottom w:val="nil"/>
              <w:right w:val="nil"/>
            </w:tcBorders>
            <w:shd w:val="clear" w:color="auto" w:fill="auto"/>
            <w:noWrap/>
            <w:vAlign w:val="center"/>
            <w:hideMark/>
          </w:tcPr>
          <w:p w14:paraId="36D32026" w14:textId="77777777" w:rsidR="00EA0270" w:rsidRPr="00F453C6" w:rsidRDefault="00EA0270" w:rsidP="002851C0">
            <w:pPr>
              <w:spacing w:after="0" w:line="240" w:lineRule="auto"/>
              <w:ind w:firstLineChars="0" w:firstLine="0"/>
              <w:rPr>
                <w:rFonts w:ascii="Times New Roman" w:eastAsia="等线" w:hAnsi="Times New Roman" w:cs="Times New Roman"/>
                <w:kern w:val="0"/>
                <w:sz w:val="15"/>
                <w:szCs w:val="15"/>
              </w:rPr>
            </w:pPr>
            <w:r w:rsidRPr="00F453C6">
              <w:rPr>
                <w:rFonts w:ascii="Times New Roman" w:eastAsia="等线" w:hAnsi="Times New Roman" w:cs="Times New Roman"/>
                <w:kern w:val="0"/>
                <w:sz w:val="15"/>
                <w:szCs w:val="15"/>
              </w:rPr>
              <w:t>&lt;0.001</w:t>
            </w:r>
          </w:p>
        </w:tc>
      </w:tr>
      <w:tr w:rsidR="00EA0270" w:rsidRPr="00F453C6" w14:paraId="2918F1DB"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7AA918F7"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Seronegative</w:t>
            </w:r>
          </w:p>
        </w:tc>
        <w:tc>
          <w:tcPr>
            <w:tcW w:w="783" w:type="pct"/>
            <w:vAlign w:val="center"/>
          </w:tcPr>
          <w:p w14:paraId="442FB890"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15 (11.4)</w:t>
            </w:r>
          </w:p>
        </w:tc>
        <w:tc>
          <w:tcPr>
            <w:tcW w:w="783" w:type="pct"/>
            <w:vAlign w:val="center"/>
          </w:tcPr>
          <w:p w14:paraId="75C83776"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41 (48.7)</w:t>
            </w:r>
          </w:p>
        </w:tc>
        <w:tc>
          <w:tcPr>
            <w:tcW w:w="455" w:type="pct"/>
            <w:tcBorders>
              <w:top w:val="nil"/>
            </w:tcBorders>
            <w:vAlign w:val="center"/>
          </w:tcPr>
          <w:p w14:paraId="1D04B131"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580E5A13"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17 (23.9)</w:t>
            </w:r>
          </w:p>
        </w:tc>
        <w:tc>
          <w:tcPr>
            <w:tcW w:w="784" w:type="pct"/>
            <w:tcBorders>
              <w:top w:val="nil"/>
              <w:left w:val="nil"/>
              <w:bottom w:val="nil"/>
              <w:right w:val="nil"/>
            </w:tcBorders>
            <w:shd w:val="clear" w:color="auto" w:fill="auto"/>
            <w:noWrap/>
            <w:vAlign w:val="center"/>
            <w:hideMark/>
          </w:tcPr>
          <w:p w14:paraId="39A26A5D" w14:textId="77777777" w:rsidR="00EA0270" w:rsidRPr="00F453C6" w:rsidRDefault="00EA0270" w:rsidP="002851C0">
            <w:pPr>
              <w:spacing w:after="0" w:line="240" w:lineRule="auto"/>
              <w:ind w:firstLineChars="0" w:firstLine="0"/>
              <w:rPr>
                <w:rFonts w:ascii="Times New Roman" w:hAnsi="Times New Roman" w:cs="Times New Roman"/>
                <w:kern w:val="0"/>
                <w:sz w:val="15"/>
                <w:szCs w:val="15"/>
              </w:rPr>
            </w:pPr>
            <w:r w:rsidRPr="00F453C6">
              <w:rPr>
                <w:rFonts w:ascii="Times New Roman" w:hAnsi="Times New Roman" w:cs="Times New Roman"/>
                <w:kern w:val="0"/>
                <w:sz w:val="15"/>
                <w:szCs w:val="15"/>
              </w:rPr>
              <w:t>100 (70.4)</w:t>
            </w:r>
          </w:p>
        </w:tc>
        <w:tc>
          <w:tcPr>
            <w:tcW w:w="452" w:type="pct"/>
            <w:tcBorders>
              <w:top w:val="nil"/>
              <w:left w:val="nil"/>
              <w:bottom w:val="nil"/>
              <w:right w:val="nil"/>
            </w:tcBorders>
            <w:shd w:val="clear" w:color="auto" w:fill="auto"/>
            <w:noWrap/>
            <w:vAlign w:val="center"/>
            <w:hideMark/>
          </w:tcPr>
          <w:p w14:paraId="26D734FF" w14:textId="77777777" w:rsidR="00EA0270" w:rsidRPr="00F453C6" w:rsidRDefault="00EA0270" w:rsidP="002851C0">
            <w:pPr>
              <w:spacing w:after="0" w:line="240" w:lineRule="auto"/>
              <w:ind w:firstLineChars="0" w:firstLine="0"/>
              <w:rPr>
                <w:rFonts w:ascii="Times New Roman" w:eastAsia="等线" w:hAnsi="Times New Roman" w:cs="Times New Roman"/>
                <w:kern w:val="0"/>
                <w:sz w:val="15"/>
                <w:szCs w:val="15"/>
              </w:rPr>
            </w:pPr>
          </w:p>
        </w:tc>
      </w:tr>
      <w:tr w:rsidR="00EA0270" w:rsidRPr="00F453C6" w14:paraId="44BFC9F8"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3D032285"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Seropositive</w:t>
            </w:r>
          </w:p>
        </w:tc>
        <w:tc>
          <w:tcPr>
            <w:tcW w:w="783" w:type="pct"/>
            <w:vAlign w:val="center"/>
          </w:tcPr>
          <w:p w14:paraId="3C50187D"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117 (88.6)</w:t>
            </w:r>
          </w:p>
        </w:tc>
        <w:tc>
          <w:tcPr>
            <w:tcW w:w="783" w:type="pct"/>
            <w:vAlign w:val="center"/>
          </w:tcPr>
          <w:p w14:paraId="67C85AE2"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78 (51.3)</w:t>
            </w:r>
          </w:p>
        </w:tc>
        <w:tc>
          <w:tcPr>
            <w:tcW w:w="455" w:type="pct"/>
            <w:vAlign w:val="center"/>
          </w:tcPr>
          <w:p w14:paraId="0C538A63"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7BF0BC39"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54 (76.1)</w:t>
            </w:r>
          </w:p>
        </w:tc>
        <w:tc>
          <w:tcPr>
            <w:tcW w:w="784" w:type="pct"/>
            <w:tcBorders>
              <w:top w:val="nil"/>
              <w:left w:val="nil"/>
              <w:bottom w:val="nil"/>
              <w:right w:val="nil"/>
            </w:tcBorders>
            <w:shd w:val="clear" w:color="auto" w:fill="auto"/>
            <w:noWrap/>
            <w:vAlign w:val="center"/>
            <w:hideMark/>
          </w:tcPr>
          <w:p w14:paraId="5D71C2C1" w14:textId="77777777" w:rsidR="00EA0270" w:rsidRPr="00F453C6" w:rsidRDefault="00EA0270" w:rsidP="002851C0">
            <w:pPr>
              <w:spacing w:after="0" w:line="240" w:lineRule="auto"/>
              <w:ind w:firstLineChars="50" w:firstLine="75"/>
              <w:rPr>
                <w:rFonts w:ascii="Times New Roman" w:hAnsi="Times New Roman" w:cs="Times New Roman"/>
                <w:kern w:val="0"/>
                <w:sz w:val="15"/>
                <w:szCs w:val="15"/>
              </w:rPr>
            </w:pPr>
            <w:r w:rsidRPr="00F453C6">
              <w:rPr>
                <w:rFonts w:ascii="Times New Roman" w:hAnsi="Times New Roman" w:cs="Times New Roman"/>
                <w:kern w:val="0"/>
                <w:sz w:val="15"/>
                <w:szCs w:val="15"/>
              </w:rPr>
              <w:t>42 (29.6)</w:t>
            </w:r>
          </w:p>
        </w:tc>
        <w:tc>
          <w:tcPr>
            <w:tcW w:w="452" w:type="pct"/>
            <w:tcBorders>
              <w:top w:val="nil"/>
              <w:left w:val="nil"/>
              <w:bottom w:val="nil"/>
              <w:right w:val="nil"/>
            </w:tcBorders>
            <w:shd w:val="clear" w:color="auto" w:fill="auto"/>
            <w:noWrap/>
            <w:vAlign w:val="center"/>
            <w:hideMark/>
          </w:tcPr>
          <w:p w14:paraId="70493D41" w14:textId="77777777" w:rsidR="00EA0270" w:rsidRPr="00F453C6" w:rsidRDefault="00EA0270" w:rsidP="002851C0">
            <w:pPr>
              <w:spacing w:after="0" w:line="240" w:lineRule="auto"/>
              <w:ind w:firstLineChars="0" w:firstLine="0"/>
              <w:rPr>
                <w:rFonts w:ascii="Times New Roman" w:eastAsia="等线" w:hAnsi="Times New Roman" w:cs="Times New Roman"/>
                <w:kern w:val="0"/>
                <w:sz w:val="15"/>
                <w:szCs w:val="15"/>
              </w:rPr>
            </w:pPr>
          </w:p>
        </w:tc>
      </w:tr>
      <w:tr w:rsidR="00EA0270" w:rsidRPr="00F453C6" w14:paraId="1C2EDEEB"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0CB4038B"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bookmarkStart w:id="34" w:name="_Hlk66479611"/>
            <w:r w:rsidRPr="00F453C6">
              <w:rPr>
                <w:rFonts w:ascii="Times New Roman" w:eastAsia="等线" w:hAnsi="Times New Roman" w:cs="Times New Roman"/>
                <w:color w:val="000000"/>
                <w:kern w:val="0"/>
                <w:sz w:val="15"/>
                <w:szCs w:val="15"/>
              </w:rPr>
              <w:t>EBNA1/</w:t>
            </w:r>
            <w:proofErr w:type="spellStart"/>
            <w:r w:rsidRPr="00F453C6">
              <w:rPr>
                <w:rFonts w:ascii="Times New Roman" w:eastAsia="等线" w:hAnsi="Times New Roman" w:cs="Times New Roman"/>
                <w:color w:val="000000"/>
                <w:kern w:val="0"/>
                <w:sz w:val="15"/>
                <w:szCs w:val="15"/>
              </w:rPr>
              <w:t>IgA</w:t>
            </w:r>
            <w:bookmarkEnd w:id="34"/>
            <w:r w:rsidRPr="00F453C6">
              <w:rPr>
                <w:rFonts w:ascii="Times New Roman" w:eastAsia="等线" w:hAnsi="Times New Roman" w:cs="Times New Roman"/>
                <w:color w:val="000000"/>
                <w:kern w:val="0"/>
                <w:sz w:val="15"/>
                <w:szCs w:val="15"/>
                <w:vertAlign w:val="superscript"/>
              </w:rPr>
              <w:t>c</w:t>
            </w:r>
            <w:proofErr w:type="spellEnd"/>
          </w:p>
        </w:tc>
        <w:tc>
          <w:tcPr>
            <w:tcW w:w="783" w:type="pct"/>
            <w:vAlign w:val="center"/>
          </w:tcPr>
          <w:p w14:paraId="70F893CE"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783" w:type="pct"/>
            <w:vAlign w:val="center"/>
          </w:tcPr>
          <w:p w14:paraId="0B4B3B67"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5" w:type="pct"/>
            <w:vAlign w:val="center"/>
          </w:tcPr>
          <w:p w14:paraId="603291BE"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&lt;0.001</w:t>
            </w:r>
          </w:p>
        </w:tc>
        <w:tc>
          <w:tcPr>
            <w:tcW w:w="785" w:type="pct"/>
            <w:tcBorders>
              <w:top w:val="nil"/>
              <w:left w:val="nil"/>
              <w:bottom w:val="nil"/>
              <w:right w:val="nil"/>
            </w:tcBorders>
            <w:shd w:val="clear" w:color="auto" w:fill="auto"/>
            <w:noWrap/>
            <w:vAlign w:val="center"/>
            <w:hideMark/>
          </w:tcPr>
          <w:p w14:paraId="0F0E102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4" w:type="pct"/>
            <w:tcBorders>
              <w:top w:val="nil"/>
              <w:left w:val="nil"/>
              <w:bottom w:val="nil"/>
              <w:right w:val="nil"/>
            </w:tcBorders>
            <w:shd w:val="clear" w:color="auto" w:fill="auto"/>
            <w:noWrap/>
            <w:vAlign w:val="center"/>
            <w:hideMark/>
          </w:tcPr>
          <w:p w14:paraId="298D56E5" w14:textId="77777777" w:rsidR="00EA0270" w:rsidRPr="00F453C6" w:rsidRDefault="00EA0270" w:rsidP="002851C0">
            <w:pPr>
              <w:spacing w:after="0" w:line="240" w:lineRule="auto"/>
              <w:ind w:firstLineChars="0" w:firstLine="0"/>
              <w:rPr>
                <w:rFonts w:ascii="Times New Roman" w:eastAsia="Times New Roman" w:hAnsi="Times New Roman" w:cs="Times New Roman"/>
                <w:kern w:val="0"/>
                <w:sz w:val="15"/>
                <w:szCs w:val="15"/>
              </w:rPr>
            </w:pPr>
          </w:p>
        </w:tc>
        <w:tc>
          <w:tcPr>
            <w:tcW w:w="452" w:type="pct"/>
            <w:tcBorders>
              <w:top w:val="nil"/>
              <w:left w:val="nil"/>
              <w:bottom w:val="nil"/>
              <w:right w:val="nil"/>
            </w:tcBorders>
            <w:shd w:val="clear" w:color="auto" w:fill="auto"/>
            <w:noWrap/>
            <w:vAlign w:val="center"/>
            <w:hideMark/>
          </w:tcPr>
          <w:p w14:paraId="2E4B5CAB" w14:textId="77777777" w:rsidR="00EA0270" w:rsidRPr="00F453C6" w:rsidRDefault="00EA0270" w:rsidP="002851C0">
            <w:pPr>
              <w:spacing w:after="0" w:line="240" w:lineRule="auto"/>
              <w:ind w:firstLineChars="0" w:firstLine="0"/>
              <w:rPr>
                <w:rFonts w:ascii="Times New Roman" w:eastAsia="等线" w:hAnsi="Times New Roman" w:cs="Times New Roman"/>
                <w:kern w:val="0"/>
                <w:sz w:val="15"/>
                <w:szCs w:val="15"/>
              </w:rPr>
            </w:pPr>
            <w:r w:rsidRPr="00F453C6">
              <w:rPr>
                <w:rFonts w:ascii="Times New Roman" w:eastAsia="等线" w:hAnsi="Times New Roman" w:cs="Times New Roman"/>
                <w:kern w:val="0"/>
                <w:sz w:val="15"/>
                <w:szCs w:val="15"/>
              </w:rPr>
              <w:t>&lt;0.001</w:t>
            </w:r>
          </w:p>
        </w:tc>
      </w:tr>
      <w:tr w:rsidR="00EA0270" w:rsidRPr="00F453C6" w14:paraId="113C41E1"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4D2AAC32"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Seronegative</w:t>
            </w:r>
          </w:p>
        </w:tc>
        <w:tc>
          <w:tcPr>
            <w:tcW w:w="783" w:type="pct"/>
            <w:vAlign w:val="center"/>
          </w:tcPr>
          <w:p w14:paraId="791CD74C"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33 (25.0)</w:t>
            </w:r>
          </w:p>
        </w:tc>
        <w:tc>
          <w:tcPr>
            <w:tcW w:w="783" w:type="pct"/>
            <w:vAlign w:val="center"/>
          </w:tcPr>
          <w:p w14:paraId="627C7658"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86 (56.6)</w:t>
            </w:r>
          </w:p>
        </w:tc>
        <w:tc>
          <w:tcPr>
            <w:tcW w:w="455" w:type="pct"/>
            <w:vAlign w:val="center"/>
          </w:tcPr>
          <w:p w14:paraId="5BD4F1FF"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1354B049" w14:textId="77777777" w:rsidR="00EA0270" w:rsidRPr="00F453C6" w:rsidRDefault="00EA0270" w:rsidP="002851C0">
            <w:pPr>
              <w:spacing w:after="0" w:line="240" w:lineRule="auto"/>
              <w:ind w:left="75" w:hangingChars="50" w:hanging="75"/>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 xml:space="preserve">11 (15.5)        </w:t>
            </w:r>
          </w:p>
        </w:tc>
        <w:tc>
          <w:tcPr>
            <w:tcW w:w="784" w:type="pct"/>
            <w:tcBorders>
              <w:top w:val="nil"/>
              <w:left w:val="nil"/>
              <w:bottom w:val="nil"/>
              <w:right w:val="nil"/>
            </w:tcBorders>
            <w:shd w:val="clear" w:color="auto" w:fill="auto"/>
            <w:noWrap/>
            <w:vAlign w:val="center"/>
            <w:hideMark/>
          </w:tcPr>
          <w:p w14:paraId="32FBA28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117 (82.4)</w:t>
            </w:r>
          </w:p>
        </w:tc>
        <w:tc>
          <w:tcPr>
            <w:tcW w:w="452" w:type="pct"/>
            <w:tcBorders>
              <w:top w:val="nil"/>
              <w:left w:val="nil"/>
              <w:bottom w:val="nil"/>
              <w:right w:val="nil"/>
            </w:tcBorders>
            <w:shd w:val="clear" w:color="auto" w:fill="auto"/>
            <w:noWrap/>
            <w:vAlign w:val="center"/>
            <w:hideMark/>
          </w:tcPr>
          <w:p w14:paraId="7A971637"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29F5956F"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4FB81EFE"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Seropositive</w:t>
            </w:r>
          </w:p>
        </w:tc>
        <w:tc>
          <w:tcPr>
            <w:tcW w:w="783" w:type="pct"/>
            <w:vAlign w:val="center"/>
          </w:tcPr>
          <w:p w14:paraId="6589D056"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99 (75.0)</w:t>
            </w:r>
          </w:p>
        </w:tc>
        <w:tc>
          <w:tcPr>
            <w:tcW w:w="783" w:type="pct"/>
            <w:vAlign w:val="center"/>
          </w:tcPr>
          <w:p w14:paraId="730A59D1"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66 (43.4)</w:t>
            </w:r>
          </w:p>
        </w:tc>
        <w:tc>
          <w:tcPr>
            <w:tcW w:w="455" w:type="pct"/>
            <w:vAlign w:val="center"/>
          </w:tcPr>
          <w:p w14:paraId="6F249A5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6A40E4C6"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60 (84.5)</w:t>
            </w:r>
          </w:p>
        </w:tc>
        <w:tc>
          <w:tcPr>
            <w:tcW w:w="784" w:type="pct"/>
            <w:tcBorders>
              <w:top w:val="nil"/>
              <w:left w:val="nil"/>
              <w:bottom w:val="nil"/>
              <w:right w:val="nil"/>
            </w:tcBorders>
            <w:shd w:val="clear" w:color="auto" w:fill="auto"/>
            <w:noWrap/>
            <w:vAlign w:val="center"/>
            <w:hideMark/>
          </w:tcPr>
          <w:p w14:paraId="5695678E"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25 (17.6)</w:t>
            </w:r>
          </w:p>
        </w:tc>
        <w:tc>
          <w:tcPr>
            <w:tcW w:w="452" w:type="pct"/>
            <w:tcBorders>
              <w:top w:val="nil"/>
              <w:left w:val="nil"/>
              <w:bottom w:val="nil"/>
              <w:right w:val="nil"/>
            </w:tcBorders>
            <w:shd w:val="clear" w:color="auto" w:fill="auto"/>
            <w:noWrap/>
            <w:vAlign w:val="center"/>
            <w:hideMark/>
          </w:tcPr>
          <w:p w14:paraId="3CB29471"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70FDF4B6"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4D7289C2"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highlight w:val="yellow"/>
              </w:rPr>
            </w:pPr>
            <w:bookmarkStart w:id="35" w:name="_Hlk63169950"/>
            <w:r w:rsidRPr="00F453C6">
              <w:rPr>
                <w:rFonts w:ascii="Times New Roman" w:eastAsia="等线" w:hAnsi="Times New Roman" w:cs="Times New Roman"/>
                <w:color w:val="000000"/>
                <w:kern w:val="0"/>
                <w:sz w:val="15"/>
                <w:szCs w:val="15"/>
              </w:rPr>
              <w:t>Combined EBV serology status</w:t>
            </w:r>
            <w:bookmarkEnd w:id="35"/>
          </w:p>
        </w:tc>
        <w:tc>
          <w:tcPr>
            <w:tcW w:w="783" w:type="pct"/>
            <w:vAlign w:val="center"/>
          </w:tcPr>
          <w:p w14:paraId="3E1BA76D"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783" w:type="pct"/>
            <w:vAlign w:val="center"/>
          </w:tcPr>
          <w:p w14:paraId="45F2D32B"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5" w:type="pct"/>
            <w:vAlign w:val="center"/>
          </w:tcPr>
          <w:p w14:paraId="0F9BF8E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&lt;0.001</w:t>
            </w:r>
          </w:p>
        </w:tc>
        <w:tc>
          <w:tcPr>
            <w:tcW w:w="785" w:type="pct"/>
            <w:tcBorders>
              <w:top w:val="nil"/>
              <w:left w:val="nil"/>
              <w:bottom w:val="nil"/>
              <w:right w:val="nil"/>
            </w:tcBorders>
            <w:shd w:val="clear" w:color="auto" w:fill="auto"/>
            <w:noWrap/>
            <w:vAlign w:val="center"/>
            <w:hideMark/>
          </w:tcPr>
          <w:p w14:paraId="6DA89F6A"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4" w:type="pct"/>
            <w:tcBorders>
              <w:top w:val="nil"/>
              <w:left w:val="nil"/>
              <w:bottom w:val="nil"/>
              <w:right w:val="nil"/>
            </w:tcBorders>
            <w:shd w:val="clear" w:color="auto" w:fill="auto"/>
            <w:noWrap/>
            <w:vAlign w:val="center"/>
            <w:hideMark/>
          </w:tcPr>
          <w:p w14:paraId="78F89C1E"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2" w:type="pct"/>
            <w:tcBorders>
              <w:top w:val="nil"/>
              <w:left w:val="nil"/>
              <w:bottom w:val="nil"/>
              <w:right w:val="nil"/>
            </w:tcBorders>
            <w:shd w:val="clear" w:color="auto" w:fill="auto"/>
            <w:noWrap/>
            <w:vAlign w:val="center"/>
            <w:hideMark/>
          </w:tcPr>
          <w:p w14:paraId="748A196A" w14:textId="77777777" w:rsidR="00EA0270" w:rsidRPr="00F453C6" w:rsidRDefault="00EA0270" w:rsidP="002851C0">
            <w:pPr>
              <w:spacing w:after="0" w:line="240" w:lineRule="auto"/>
              <w:ind w:firstLineChars="0" w:firstLine="0"/>
              <w:rPr>
                <w:rFonts w:ascii="Times New Roman" w:eastAsia="等线" w:hAnsi="Times New Roman" w:cs="Times New Roman"/>
                <w:kern w:val="0"/>
                <w:sz w:val="15"/>
                <w:szCs w:val="15"/>
              </w:rPr>
            </w:pPr>
            <w:r w:rsidRPr="00F453C6">
              <w:rPr>
                <w:rFonts w:ascii="Times New Roman" w:eastAsia="等线" w:hAnsi="Times New Roman" w:cs="Times New Roman"/>
                <w:kern w:val="0"/>
                <w:sz w:val="15"/>
                <w:szCs w:val="15"/>
              </w:rPr>
              <w:t>&lt;0.001</w:t>
            </w:r>
          </w:p>
        </w:tc>
      </w:tr>
      <w:tr w:rsidR="00EA0270" w:rsidRPr="00F453C6" w14:paraId="66ABA30C"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59A1D809"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Low-risk</w:t>
            </w:r>
          </w:p>
        </w:tc>
        <w:tc>
          <w:tcPr>
            <w:tcW w:w="783" w:type="pct"/>
            <w:vAlign w:val="center"/>
          </w:tcPr>
          <w:p w14:paraId="30E9BD18"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15 (11.4)</w:t>
            </w:r>
          </w:p>
        </w:tc>
        <w:tc>
          <w:tcPr>
            <w:tcW w:w="783" w:type="pct"/>
            <w:vAlign w:val="center"/>
          </w:tcPr>
          <w:p w14:paraId="120803CF"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56 (36.8)</w:t>
            </w:r>
          </w:p>
        </w:tc>
        <w:tc>
          <w:tcPr>
            <w:tcW w:w="455" w:type="pct"/>
            <w:vAlign w:val="center"/>
          </w:tcPr>
          <w:p w14:paraId="5886D79E"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480AA3D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11 (15.5)</w:t>
            </w:r>
          </w:p>
        </w:tc>
        <w:tc>
          <w:tcPr>
            <w:tcW w:w="784" w:type="pct"/>
            <w:tcBorders>
              <w:top w:val="nil"/>
              <w:left w:val="nil"/>
              <w:bottom w:val="nil"/>
              <w:right w:val="nil"/>
            </w:tcBorders>
            <w:shd w:val="clear" w:color="auto" w:fill="auto"/>
            <w:noWrap/>
            <w:vAlign w:val="center"/>
            <w:hideMark/>
          </w:tcPr>
          <w:p w14:paraId="5B3B2D1D"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117 (82.4)</w:t>
            </w:r>
          </w:p>
        </w:tc>
        <w:tc>
          <w:tcPr>
            <w:tcW w:w="452" w:type="pct"/>
            <w:tcBorders>
              <w:top w:val="nil"/>
              <w:left w:val="nil"/>
              <w:bottom w:val="nil"/>
              <w:right w:val="nil"/>
            </w:tcBorders>
            <w:shd w:val="clear" w:color="auto" w:fill="auto"/>
            <w:noWrap/>
            <w:vAlign w:val="center"/>
            <w:hideMark/>
          </w:tcPr>
          <w:p w14:paraId="083EA77A"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4384C8B3"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619AF83F"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Moderate-risk</w:t>
            </w:r>
          </w:p>
        </w:tc>
        <w:tc>
          <w:tcPr>
            <w:tcW w:w="783" w:type="pct"/>
            <w:vAlign w:val="center"/>
          </w:tcPr>
          <w:p w14:paraId="11327084"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16 (12.1)</w:t>
            </w:r>
          </w:p>
        </w:tc>
        <w:tc>
          <w:tcPr>
            <w:tcW w:w="783" w:type="pct"/>
            <w:vAlign w:val="center"/>
          </w:tcPr>
          <w:p w14:paraId="57133372"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47 (30.9)</w:t>
            </w:r>
          </w:p>
        </w:tc>
        <w:tc>
          <w:tcPr>
            <w:tcW w:w="455" w:type="pct"/>
            <w:vAlign w:val="center"/>
          </w:tcPr>
          <w:p w14:paraId="16A97EC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7F721E8A"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8 (11.3)</w:t>
            </w:r>
          </w:p>
        </w:tc>
        <w:tc>
          <w:tcPr>
            <w:tcW w:w="784" w:type="pct"/>
            <w:tcBorders>
              <w:top w:val="nil"/>
              <w:left w:val="nil"/>
              <w:bottom w:val="nil"/>
              <w:right w:val="nil"/>
            </w:tcBorders>
            <w:shd w:val="clear" w:color="auto" w:fill="auto"/>
            <w:noWrap/>
            <w:vAlign w:val="center"/>
            <w:hideMark/>
          </w:tcPr>
          <w:p w14:paraId="580A8A72"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18 (12.7)</w:t>
            </w:r>
          </w:p>
        </w:tc>
        <w:tc>
          <w:tcPr>
            <w:tcW w:w="452" w:type="pct"/>
            <w:tcBorders>
              <w:top w:val="nil"/>
              <w:left w:val="nil"/>
              <w:bottom w:val="nil"/>
              <w:right w:val="nil"/>
            </w:tcBorders>
            <w:shd w:val="clear" w:color="auto" w:fill="auto"/>
            <w:noWrap/>
            <w:vAlign w:val="center"/>
            <w:hideMark/>
          </w:tcPr>
          <w:p w14:paraId="276E0A1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04D24C42"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58146067"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High-risk</w:t>
            </w:r>
          </w:p>
        </w:tc>
        <w:tc>
          <w:tcPr>
            <w:tcW w:w="783" w:type="pct"/>
            <w:vAlign w:val="center"/>
          </w:tcPr>
          <w:p w14:paraId="20C34668"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101 (76.5)</w:t>
            </w:r>
          </w:p>
        </w:tc>
        <w:tc>
          <w:tcPr>
            <w:tcW w:w="783" w:type="pct"/>
            <w:vAlign w:val="center"/>
          </w:tcPr>
          <w:p w14:paraId="7E70C856"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49 (32.3)</w:t>
            </w:r>
          </w:p>
        </w:tc>
        <w:tc>
          <w:tcPr>
            <w:tcW w:w="455" w:type="pct"/>
            <w:vAlign w:val="center"/>
          </w:tcPr>
          <w:p w14:paraId="47C29329"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0E9478EB"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52 (73.2)</w:t>
            </w:r>
          </w:p>
        </w:tc>
        <w:tc>
          <w:tcPr>
            <w:tcW w:w="784" w:type="pct"/>
            <w:tcBorders>
              <w:top w:val="nil"/>
              <w:left w:val="nil"/>
              <w:bottom w:val="nil"/>
              <w:right w:val="nil"/>
            </w:tcBorders>
            <w:shd w:val="clear" w:color="auto" w:fill="auto"/>
            <w:noWrap/>
            <w:vAlign w:val="center"/>
            <w:hideMark/>
          </w:tcPr>
          <w:p w14:paraId="70EF8DDC" w14:textId="77777777" w:rsidR="00EA0270" w:rsidRPr="00F453C6" w:rsidRDefault="00EA0270" w:rsidP="002851C0">
            <w:pPr>
              <w:spacing w:after="0" w:line="240" w:lineRule="auto"/>
              <w:ind w:firstLineChars="100" w:firstLine="15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7 (4.9)</w:t>
            </w:r>
          </w:p>
        </w:tc>
        <w:tc>
          <w:tcPr>
            <w:tcW w:w="452" w:type="pct"/>
            <w:tcBorders>
              <w:top w:val="nil"/>
              <w:left w:val="nil"/>
              <w:bottom w:val="nil"/>
              <w:right w:val="nil"/>
            </w:tcBorders>
            <w:shd w:val="clear" w:color="auto" w:fill="auto"/>
            <w:noWrap/>
            <w:vAlign w:val="center"/>
            <w:hideMark/>
          </w:tcPr>
          <w:p w14:paraId="31221D7F"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761142BE"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12C43F85" w14:textId="77777777" w:rsidR="00EA0270" w:rsidRPr="00F453C6" w:rsidRDefault="00EA0270" w:rsidP="002851C0">
            <w:pPr>
              <w:spacing w:after="0" w:line="240" w:lineRule="auto"/>
              <w:ind w:firstLineChars="0" w:firstLine="0"/>
              <w:jc w:val="left"/>
              <w:rPr>
                <w:rFonts w:ascii="Times New Roman" w:eastAsia="等线" w:hAnsi="Times New Roman" w:cs="Times New Roman"/>
                <w:kern w:val="0"/>
                <w:sz w:val="15"/>
                <w:szCs w:val="15"/>
                <w:highlight w:val="yellow"/>
              </w:rPr>
            </w:pPr>
            <w:r w:rsidRPr="00F453C6">
              <w:rPr>
                <w:rFonts w:ascii="Times New Roman" w:eastAsia="等线" w:hAnsi="Times New Roman" w:cs="Times New Roman"/>
                <w:kern w:val="0"/>
                <w:sz w:val="15"/>
                <w:szCs w:val="15"/>
              </w:rPr>
              <w:t>NPC family history</w:t>
            </w:r>
          </w:p>
        </w:tc>
        <w:tc>
          <w:tcPr>
            <w:tcW w:w="783" w:type="pct"/>
            <w:vAlign w:val="center"/>
          </w:tcPr>
          <w:p w14:paraId="0DC585FF"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FF0000"/>
                <w:kern w:val="0"/>
                <w:sz w:val="15"/>
                <w:szCs w:val="15"/>
              </w:rPr>
            </w:pPr>
          </w:p>
        </w:tc>
        <w:tc>
          <w:tcPr>
            <w:tcW w:w="783" w:type="pct"/>
            <w:vAlign w:val="center"/>
          </w:tcPr>
          <w:p w14:paraId="6DB22F59" w14:textId="77777777" w:rsidR="00EA0270" w:rsidRPr="00F453C6" w:rsidRDefault="00EA0270" w:rsidP="002851C0">
            <w:pPr>
              <w:spacing w:after="0" w:line="240" w:lineRule="auto"/>
              <w:ind w:firstLineChars="0" w:firstLine="0"/>
              <w:rPr>
                <w:rFonts w:ascii="Times New Roman" w:eastAsia="等线" w:hAnsi="Times New Roman" w:cs="Times New Roman"/>
                <w:color w:val="FF0000"/>
                <w:kern w:val="0"/>
                <w:sz w:val="15"/>
                <w:szCs w:val="15"/>
              </w:rPr>
            </w:pPr>
          </w:p>
        </w:tc>
        <w:tc>
          <w:tcPr>
            <w:tcW w:w="455" w:type="pct"/>
            <w:vAlign w:val="center"/>
          </w:tcPr>
          <w:p w14:paraId="67CF4D82" w14:textId="77777777" w:rsidR="00EA0270" w:rsidRPr="00F453C6" w:rsidRDefault="00EA0270" w:rsidP="002851C0">
            <w:pPr>
              <w:spacing w:after="0" w:line="240" w:lineRule="auto"/>
              <w:ind w:firstLineChars="0" w:firstLine="0"/>
              <w:rPr>
                <w:rFonts w:ascii="Times New Roman" w:eastAsia="等线" w:hAnsi="Times New Roman" w:cs="Times New Roman"/>
                <w:color w:val="FF0000"/>
                <w:kern w:val="0"/>
                <w:sz w:val="15"/>
                <w:szCs w:val="15"/>
              </w:rPr>
            </w:pPr>
            <w:r w:rsidRPr="00F453C6">
              <w:rPr>
                <w:rFonts w:ascii="Times New Roman" w:hAnsi="Times New Roman" w:cs="Times New Roman"/>
                <w:sz w:val="15"/>
                <w:szCs w:val="15"/>
              </w:rPr>
              <w:t>0.017</w:t>
            </w:r>
          </w:p>
        </w:tc>
        <w:tc>
          <w:tcPr>
            <w:tcW w:w="785" w:type="pct"/>
            <w:tcBorders>
              <w:top w:val="nil"/>
              <w:left w:val="nil"/>
              <w:bottom w:val="nil"/>
              <w:right w:val="nil"/>
            </w:tcBorders>
            <w:shd w:val="clear" w:color="auto" w:fill="auto"/>
            <w:noWrap/>
            <w:vAlign w:val="center"/>
            <w:hideMark/>
          </w:tcPr>
          <w:p w14:paraId="16DD6EE3" w14:textId="77777777" w:rsidR="00EA0270" w:rsidRPr="00F453C6" w:rsidRDefault="00EA0270" w:rsidP="002851C0">
            <w:pPr>
              <w:spacing w:after="0" w:line="240" w:lineRule="auto"/>
              <w:ind w:firstLineChars="0" w:firstLine="0"/>
              <w:rPr>
                <w:rFonts w:ascii="Times New Roman" w:eastAsia="等线" w:hAnsi="Times New Roman" w:cs="Times New Roman"/>
                <w:color w:val="FF0000"/>
                <w:kern w:val="0"/>
                <w:sz w:val="15"/>
                <w:szCs w:val="15"/>
              </w:rPr>
            </w:pPr>
          </w:p>
        </w:tc>
        <w:tc>
          <w:tcPr>
            <w:tcW w:w="784" w:type="pct"/>
            <w:tcBorders>
              <w:top w:val="nil"/>
              <w:left w:val="nil"/>
              <w:bottom w:val="nil"/>
              <w:right w:val="nil"/>
            </w:tcBorders>
            <w:shd w:val="clear" w:color="auto" w:fill="auto"/>
            <w:noWrap/>
            <w:vAlign w:val="center"/>
            <w:hideMark/>
          </w:tcPr>
          <w:p w14:paraId="47F3BB34" w14:textId="77777777" w:rsidR="00EA0270" w:rsidRPr="00F453C6" w:rsidRDefault="00EA0270" w:rsidP="002851C0">
            <w:pPr>
              <w:spacing w:after="0" w:line="240" w:lineRule="auto"/>
              <w:ind w:firstLineChars="0" w:firstLine="0"/>
              <w:rPr>
                <w:rFonts w:ascii="Times New Roman" w:eastAsia="Times New Roman" w:hAnsi="Times New Roman" w:cs="Times New Roman"/>
                <w:color w:val="FF0000"/>
                <w:kern w:val="0"/>
                <w:sz w:val="15"/>
                <w:szCs w:val="15"/>
              </w:rPr>
            </w:pPr>
          </w:p>
        </w:tc>
        <w:tc>
          <w:tcPr>
            <w:tcW w:w="452" w:type="pct"/>
            <w:tcBorders>
              <w:top w:val="nil"/>
              <w:left w:val="nil"/>
              <w:bottom w:val="nil"/>
              <w:right w:val="nil"/>
            </w:tcBorders>
            <w:shd w:val="clear" w:color="auto" w:fill="auto"/>
            <w:noWrap/>
            <w:vAlign w:val="center"/>
            <w:hideMark/>
          </w:tcPr>
          <w:p w14:paraId="6C619154" w14:textId="77777777" w:rsidR="00EA0270" w:rsidRPr="00F453C6" w:rsidRDefault="00EA0270" w:rsidP="002851C0">
            <w:pPr>
              <w:spacing w:after="0" w:line="240" w:lineRule="auto"/>
              <w:ind w:firstLineChars="0" w:firstLine="0"/>
              <w:rPr>
                <w:rFonts w:ascii="Times New Roman" w:eastAsia="等线" w:hAnsi="Times New Roman" w:cs="Times New Roman"/>
                <w:color w:val="000000" w:themeColor="text1"/>
                <w:kern w:val="0"/>
                <w:sz w:val="15"/>
                <w:szCs w:val="15"/>
              </w:rPr>
            </w:pPr>
            <w:r w:rsidRPr="00F453C6">
              <w:rPr>
                <w:rFonts w:ascii="Times New Roman" w:eastAsia="等线" w:hAnsi="Times New Roman" w:cs="Times New Roman"/>
                <w:color w:val="000000" w:themeColor="text1"/>
                <w:kern w:val="0"/>
                <w:sz w:val="15"/>
                <w:szCs w:val="15"/>
              </w:rPr>
              <w:t>0.097</w:t>
            </w:r>
          </w:p>
        </w:tc>
      </w:tr>
      <w:tr w:rsidR="00EA0270" w:rsidRPr="00F453C6" w14:paraId="6780E9A4"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0F3A5D5A"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kern w:val="0"/>
                <w:sz w:val="15"/>
                <w:szCs w:val="15"/>
              </w:rPr>
            </w:pPr>
            <w:r w:rsidRPr="00F453C6">
              <w:rPr>
                <w:rFonts w:ascii="Times New Roman" w:eastAsia="等线" w:hAnsi="Times New Roman" w:cs="Times New Roman"/>
                <w:kern w:val="0"/>
                <w:sz w:val="15"/>
                <w:szCs w:val="15"/>
              </w:rPr>
              <w:t>No</w:t>
            </w:r>
          </w:p>
        </w:tc>
        <w:tc>
          <w:tcPr>
            <w:tcW w:w="783" w:type="pct"/>
            <w:tcBorders>
              <w:top w:val="nil"/>
            </w:tcBorders>
            <w:vAlign w:val="center"/>
          </w:tcPr>
          <w:p w14:paraId="4D1BEF94"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113 (85.6)</w:t>
            </w:r>
          </w:p>
        </w:tc>
        <w:tc>
          <w:tcPr>
            <w:tcW w:w="783" w:type="pct"/>
            <w:tcBorders>
              <w:top w:val="nil"/>
            </w:tcBorders>
            <w:vAlign w:val="center"/>
          </w:tcPr>
          <w:p w14:paraId="43C2EF36"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143 (94.1)</w:t>
            </w:r>
          </w:p>
        </w:tc>
        <w:tc>
          <w:tcPr>
            <w:tcW w:w="455" w:type="pct"/>
            <w:vAlign w:val="center"/>
          </w:tcPr>
          <w:p w14:paraId="285FBA6B"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7B7F5F81"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63 (88.7)</w:t>
            </w:r>
          </w:p>
        </w:tc>
        <w:tc>
          <w:tcPr>
            <w:tcW w:w="784" w:type="pct"/>
            <w:tcBorders>
              <w:top w:val="nil"/>
              <w:left w:val="nil"/>
              <w:bottom w:val="nil"/>
              <w:right w:val="nil"/>
            </w:tcBorders>
            <w:shd w:val="clear" w:color="auto" w:fill="auto"/>
            <w:noWrap/>
            <w:vAlign w:val="center"/>
            <w:hideMark/>
          </w:tcPr>
          <w:p w14:paraId="607FC063"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136 (95.8)</w:t>
            </w:r>
          </w:p>
        </w:tc>
        <w:tc>
          <w:tcPr>
            <w:tcW w:w="452" w:type="pct"/>
            <w:tcBorders>
              <w:top w:val="nil"/>
              <w:left w:val="nil"/>
              <w:bottom w:val="nil"/>
              <w:right w:val="nil"/>
            </w:tcBorders>
            <w:shd w:val="clear" w:color="auto" w:fill="auto"/>
            <w:noWrap/>
            <w:vAlign w:val="center"/>
            <w:hideMark/>
          </w:tcPr>
          <w:p w14:paraId="20047ECB" w14:textId="77777777" w:rsidR="00EA0270" w:rsidRPr="00F453C6" w:rsidRDefault="00EA0270" w:rsidP="002851C0">
            <w:pPr>
              <w:spacing w:after="0" w:line="240" w:lineRule="auto"/>
              <w:ind w:firstLineChars="0" w:firstLine="0"/>
              <w:rPr>
                <w:rFonts w:ascii="Times New Roman" w:eastAsia="等线" w:hAnsi="Times New Roman" w:cs="Times New Roman"/>
                <w:color w:val="FF0000"/>
                <w:kern w:val="0"/>
                <w:sz w:val="15"/>
                <w:szCs w:val="15"/>
              </w:rPr>
            </w:pPr>
          </w:p>
        </w:tc>
      </w:tr>
      <w:tr w:rsidR="00EA0270" w:rsidRPr="00F453C6" w14:paraId="03559BC1"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579025BF"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kern w:val="0"/>
                <w:sz w:val="15"/>
                <w:szCs w:val="15"/>
              </w:rPr>
            </w:pPr>
            <w:r w:rsidRPr="00F453C6">
              <w:rPr>
                <w:rFonts w:ascii="Times New Roman" w:eastAsia="等线" w:hAnsi="Times New Roman" w:cs="Times New Roman"/>
                <w:kern w:val="0"/>
                <w:sz w:val="15"/>
                <w:szCs w:val="15"/>
              </w:rPr>
              <w:t>Yes</w:t>
            </w:r>
          </w:p>
        </w:tc>
        <w:tc>
          <w:tcPr>
            <w:tcW w:w="783" w:type="pct"/>
            <w:vAlign w:val="center"/>
          </w:tcPr>
          <w:p w14:paraId="5005032D"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19 (14.4)</w:t>
            </w:r>
          </w:p>
        </w:tc>
        <w:tc>
          <w:tcPr>
            <w:tcW w:w="783" w:type="pct"/>
            <w:vAlign w:val="center"/>
          </w:tcPr>
          <w:p w14:paraId="6B57B9AD" w14:textId="77777777" w:rsidR="00EA0270" w:rsidRPr="00F453C6" w:rsidRDefault="00EA0270" w:rsidP="002851C0">
            <w:pPr>
              <w:spacing w:after="0" w:line="240" w:lineRule="auto"/>
              <w:ind w:firstLineChars="100" w:firstLine="15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9 (5.9)</w:t>
            </w:r>
          </w:p>
        </w:tc>
        <w:tc>
          <w:tcPr>
            <w:tcW w:w="455" w:type="pct"/>
            <w:vAlign w:val="center"/>
          </w:tcPr>
          <w:p w14:paraId="1F7B0402"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4D557267"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8 (11.3)</w:t>
            </w:r>
          </w:p>
        </w:tc>
        <w:tc>
          <w:tcPr>
            <w:tcW w:w="784" w:type="pct"/>
            <w:tcBorders>
              <w:top w:val="nil"/>
              <w:left w:val="nil"/>
              <w:bottom w:val="nil"/>
              <w:right w:val="nil"/>
            </w:tcBorders>
            <w:shd w:val="clear" w:color="auto" w:fill="auto"/>
            <w:noWrap/>
            <w:vAlign w:val="center"/>
            <w:hideMark/>
          </w:tcPr>
          <w:p w14:paraId="6212C3AA" w14:textId="77777777" w:rsidR="00EA0270" w:rsidRPr="00F453C6" w:rsidRDefault="00EA0270" w:rsidP="002851C0">
            <w:pPr>
              <w:spacing w:after="0" w:line="240" w:lineRule="auto"/>
              <w:ind w:firstLineChars="100" w:firstLine="15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6 (4.2)</w:t>
            </w:r>
          </w:p>
        </w:tc>
        <w:tc>
          <w:tcPr>
            <w:tcW w:w="452" w:type="pct"/>
            <w:tcBorders>
              <w:top w:val="nil"/>
              <w:left w:val="nil"/>
              <w:bottom w:val="nil"/>
              <w:right w:val="nil"/>
            </w:tcBorders>
            <w:shd w:val="clear" w:color="auto" w:fill="auto"/>
            <w:noWrap/>
            <w:vAlign w:val="center"/>
            <w:hideMark/>
          </w:tcPr>
          <w:p w14:paraId="04E94054" w14:textId="77777777" w:rsidR="00EA0270" w:rsidRPr="00F453C6" w:rsidRDefault="00EA0270" w:rsidP="002851C0">
            <w:pPr>
              <w:spacing w:after="0" w:line="240" w:lineRule="auto"/>
              <w:ind w:firstLineChars="0" w:firstLine="0"/>
              <w:rPr>
                <w:rFonts w:ascii="Times New Roman" w:eastAsia="等线" w:hAnsi="Times New Roman" w:cs="Times New Roman"/>
                <w:color w:val="FF0000"/>
                <w:kern w:val="0"/>
                <w:sz w:val="15"/>
                <w:szCs w:val="15"/>
              </w:rPr>
            </w:pPr>
          </w:p>
        </w:tc>
      </w:tr>
      <w:tr w:rsidR="00EA0270" w:rsidRPr="00F453C6" w14:paraId="6ADA0524"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0644E84D"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roofErr w:type="spellStart"/>
            <w:r w:rsidRPr="00F453C6">
              <w:rPr>
                <w:rFonts w:ascii="Times New Roman" w:eastAsia="等线" w:hAnsi="Times New Roman" w:cs="Times New Roman"/>
                <w:color w:val="000000"/>
                <w:kern w:val="0"/>
                <w:sz w:val="15"/>
                <w:szCs w:val="15"/>
              </w:rPr>
              <w:t>Smoking</w:t>
            </w:r>
            <w:r w:rsidRPr="00F453C6">
              <w:rPr>
                <w:rFonts w:ascii="Times New Roman" w:eastAsia="等线" w:hAnsi="Times New Roman" w:cs="Times New Roman"/>
                <w:color w:val="000000"/>
                <w:kern w:val="0"/>
                <w:sz w:val="15"/>
                <w:szCs w:val="15"/>
                <w:vertAlign w:val="superscript"/>
              </w:rPr>
              <w:t>d</w:t>
            </w:r>
            <w:proofErr w:type="spellEnd"/>
          </w:p>
        </w:tc>
        <w:tc>
          <w:tcPr>
            <w:tcW w:w="783" w:type="pct"/>
            <w:vAlign w:val="center"/>
          </w:tcPr>
          <w:p w14:paraId="1C907365"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783" w:type="pct"/>
            <w:vAlign w:val="center"/>
          </w:tcPr>
          <w:p w14:paraId="6CA79D9D"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5" w:type="pct"/>
            <w:vAlign w:val="center"/>
          </w:tcPr>
          <w:p w14:paraId="75568B84"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0.702</w:t>
            </w:r>
          </w:p>
        </w:tc>
        <w:tc>
          <w:tcPr>
            <w:tcW w:w="785" w:type="pct"/>
            <w:tcBorders>
              <w:top w:val="nil"/>
              <w:left w:val="nil"/>
              <w:bottom w:val="nil"/>
              <w:right w:val="nil"/>
            </w:tcBorders>
            <w:shd w:val="clear" w:color="auto" w:fill="auto"/>
            <w:noWrap/>
            <w:vAlign w:val="center"/>
            <w:hideMark/>
          </w:tcPr>
          <w:p w14:paraId="14332DF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4" w:type="pct"/>
            <w:tcBorders>
              <w:top w:val="nil"/>
              <w:left w:val="nil"/>
              <w:bottom w:val="nil"/>
              <w:right w:val="nil"/>
            </w:tcBorders>
            <w:shd w:val="clear" w:color="auto" w:fill="auto"/>
            <w:noWrap/>
            <w:vAlign w:val="center"/>
            <w:hideMark/>
          </w:tcPr>
          <w:p w14:paraId="0A77C6BC" w14:textId="77777777" w:rsidR="00EA0270" w:rsidRPr="00F453C6" w:rsidRDefault="00EA0270" w:rsidP="002851C0">
            <w:pPr>
              <w:spacing w:after="0" w:line="240" w:lineRule="auto"/>
              <w:ind w:firstLineChars="0" w:firstLine="0"/>
              <w:rPr>
                <w:rFonts w:ascii="Times New Roman" w:eastAsia="Times New Roman" w:hAnsi="Times New Roman" w:cs="Times New Roman"/>
                <w:kern w:val="0"/>
                <w:sz w:val="15"/>
                <w:szCs w:val="15"/>
              </w:rPr>
            </w:pPr>
          </w:p>
        </w:tc>
        <w:tc>
          <w:tcPr>
            <w:tcW w:w="452" w:type="pct"/>
            <w:tcBorders>
              <w:top w:val="nil"/>
              <w:left w:val="nil"/>
              <w:bottom w:val="nil"/>
              <w:right w:val="nil"/>
            </w:tcBorders>
            <w:shd w:val="clear" w:color="auto" w:fill="auto"/>
            <w:noWrap/>
            <w:vAlign w:val="center"/>
            <w:hideMark/>
          </w:tcPr>
          <w:p w14:paraId="300FD7E4"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0.843</w:t>
            </w:r>
          </w:p>
        </w:tc>
      </w:tr>
      <w:tr w:rsidR="00EA0270" w:rsidRPr="00F453C6" w14:paraId="32EE3289"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49042293"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No</w:t>
            </w:r>
          </w:p>
        </w:tc>
        <w:tc>
          <w:tcPr>
            <w:tcW w:w="783" w:type="pct"/>
            <w:vAlign w:val="center"/>
          </w:tcPr>
          <w:p w14:paraId="3EAF3BD7"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69 (52.3)</w:t>
            </w:r>
          </w:p>
        </w:tc>
        <w:tc>
          <w:tcPr>
            <w:tcW w:w="783" w:type="pct"/>
            <w:vAlign w:val="center"/>
          </w:tcPr>
          <w:p w14:paraId="63978A29"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76 (50.0)-</w:t>
            </w:r>
          </w:p>
        </w:tc>
        <w:tc>
          <w:tcPr>
            <w:tcW w:w="455" w:type="pct"/>
            <w:vAlign w:val="center"/>
          </w:tcPr>
          <w:p w14:paraId="479C25AE"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4C5E556F"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42 (60.0)</w:t>
            </w:r>
          </w:p>
        </w:tc>
        <w:tc>
          <w:tcPr>
            <w:tcW w:w="784" w:type="pct"/>
            <w:tcBorders>
              <w:top w:val="nil"/>
              <w:left w:val="nil"/>
              <w:bottom w:val="nil"/>
              <w:right w:val="nil"/>
            </w:tcBorders>
            <w:shd w:val="clear" w:color="auto" w:fill="auto"/>
            <w:noWrap/>
            <w:vAlign w:val="center"/>
            <w:hideMark/>
          </w:tcPr>
          <w:p w14:paraId="5A005944"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86 (60.6)</w:t>
            </w:r>
          </w:p>
        </w:tc>
        <w:tc>
          <w:tcPr>
            <w:tcW w:w="452" w:type="pct"/>
            <w:tcBorders>
              <w:top w:val="nil"/>
              <w:left w:val="nil"/>
              <w:bottom w:val="nil"/>
              <w:right w:val="nil"/>
            </w:tcBorders>
            <w:shd w:val="clear" w:color="auto" w:fill="auto"/>
            <w:noWrap/>
            <w:vAlign w:val="center"/>
            <w:hideMark/>
          </w:tcPr>
          <w:p w14:paraId="5A6D6CA7"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48208DA6" w14:textId="77777777" w:rsidTr="002851C0">
        <w:trPr>
          <w:trHeight w:val="285"/>
          <w:jc w:val="center"/>
        </w:trPr>
        <w:tc>
          <w:tcPr>
            <w:tcW w:w="958" w:type="pct"/>
            <w:tcBorders>
              <w:top w:val="nil"/>
              <w:left w:val="nil"/>
              <w:bottom w:val="nil"/>
              <w:right w:val="nil"/>
            </w:tcBorders>
            <w:shd w:val="clear" w:color="auto" w:fill="auto"/>
            <w:noWrap/>
            <w:vAlign w:val="center"/>
            <w:hideMark/>
          </w:tcPr>
          <w:p w14:paraId="771592E0" w14:textId="77777777" w:rsidR="00EA0270" w:rsidRPr="00F453C6" w:rsidRDefault="00EA0270" w:rsidP="002851C0">
            <w:pPr>
              <w:spacing w:after="0" w:line="240" w:lineRule="auto"/>
              <w:ind w:leftChars="100" w:left="210" w:firstLineChars="0" w:firstLine="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Yes</w:t>
            </w:r>
          </w:p>
        </w:tc>
        <w:tc>
          <w:tcPr>
            <w:tcW w:w="783" w:type="pct"/>
            <w:vAlign w:val="center"/>
          </w:tcPr>
          <w:p w14:paraId="11B084CD" w14:textId="77777777" w:rsidR="00EA0270" w:rsidRPr="00F453C6" w:rsidRDefault="00EA0270" w:rsidP="002851C0">
            <w:pPr>
              <w:spacing w:after="0" w:line="240" w:lineRule="auto"/>
              <w:ind w:firstLineChars="50" w:firstLine="75"/>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63 (47.7)</w:t>
            </w:r>
          </w:p>
        </w:tc>
        <w:tc>
          <w:tcPr>
            <w:tcW w:w="783" w:type="pct"/>
            <w:vAlign w:val="center"/>
          </w:tcPr>
          <w:p w14:paraId="3BE375D4"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76 (50.0)</w:t>
            </w:r>
          </w:p>
        </w:tc>
        <w:tc>
          <w:tcPr>
            <w:tcW w:w="455" w:type="pct"/>
            <w:vAlign w:val="center"/>
          </w:tcPr>
          <w:p w14:paraId="202C193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bottom w:val="nil"/>
              <w:right w:val="nil"/>
            </w:tcBorders>
            <w:shd w:val="clear" w:color="auto" w:fill="auto"/>
            <w:noWrap/>
            <w:vAlign w:val="center"/>
            <w:hideMark/>
          </w:tcPr>
          <w:p w14:paraId="56CF11BD"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28 (40.0)</w:t>
            </w:r>
          </w:p>
        </w:tc>
        <w:tc>
          <w:tcPr>
            <w:tcW w:w="784" w:type="pct"/>
            <w:tcBorders>
              <w:top w:val="nil"/>
              <w:left w:val="nil"/>
              <w:bottom w:val="nil"/>
              <w:right w:val="nil"/>
            </w:tcBorders>
            <w:shd w:val="clear" w:color="auto" w:fill="auto"/>
            <w:noWrap/>
            <w:vAlign w:val="center"/>
            <w:hideMark/>
          </w:tcPr>
          <w:p w14:paraId="60E86E8D" w14:textId="77777777" w:rsidR="00EA0270" w:rsidRPr="00F453C6" w:rsidRDefault="00EA0270" w:rsidP="002851C0">
            <w:pPr>
              <w:spacing w:after="0" w:line="240" w:lineRule="auto"/>
              <w:ind w:firstLineChars="50" w:firstLine="75"/>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56 (39.4)</w:t>
            </w:r>
          </w:p>
        </w:tc>
        <w:tc>
          <w:tcPr>
            <w:tcW w:w="452" w:type="pct"/>
            <w:tcBorders>
              <w:top w:val="nil"/>
              <w:left w:val="nil"/>
              <w:bottom w:val="nil"/>
              <w:right w:val="nil"/>
            </w:tcBorders>
            <w:shd w:val="clear" w:color="auto" w:fill="auto"/>
            <w:noWrap/>
            <w:vAlign w:val="center"/>
            <w:hideMark/>
          </w:tcPr>
          <w:p w14:paraId="4FE610D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5AE20A6E" w14:textId="77777777" w:rsidTr="002851C0">
        <w:trPr>
          <w:trHeight w:val="285"/>
          <w:jc w:val="center"/>
        </w:trPr>
        <w:tc>
          <w:tcPr>
            <w:tcW w:w="958" w:type="pct"/>
            <w:tcBorders>
              <w:top w:val="nil"/>
              <w:left w:val="nil"/>
              <w:bottom w:val="nil"/>
              <w:right w:val="nil"/>
            </w:tcBorders>
            <w:shd w:val="clear" w:color="auto" w:fill="auto"/>
            <w:noWrap/>
            <w:vAlign w:val="center"/>
          </w:tcPr>
          <w:p w14:paraId="23E70414"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roofErr w:type="spellStart"/>
            <w:r w:rsidRPr="00F453C6">
              <w:rPr>
                <w:rFonts w:ascii="Times New Roman" w:eastAsia="等线" w:hAnsi="Times New Roman" w:cs="Times New Roman"/>
                <w:color w:val="000000"/>
                <w:kern w:val="0"/>
                <w:sz w:val="15"/>
                <w:szCs w:val="15"/>
              </w:rPr>
              <w:t>Adiponection</w:t>
            </w:r>
            <w:r w:rsidRPr="00F453C6">
              <w:rPr>
                <w:rFonts w:ascii="Times New Roman" w:eastAsia="等线" w:hAnsi="Times New Roman" w:cs="Times New Roman"/>
                <w:color w:val="000000"/>
                <w:kern w:val="0"/>
                <w:sz w:val="15"/>
                <w:szCs w:val="15"/>
                <w:vertAlign w:val="superscript"/>
              </w:rPr>
              <w:t>e</w:t>
            </w:r>
            <w:proofErr w:type="spellEnd"/>
            <w:r w:rsidRPr="00F453C6">
              <w:rPr>
                <w:rFonts w:ascii="Times New Roman" w:eastAsia="等线" w:hAnsi="Times New Roman" w:cs="Times New Roman"/>
                <w:color w:val="000000"/>
                <w:kern w:val="0"/>
                <w:sz w:val="15"/>
                <w:szCs w:val="15"/>
              </w:rPr>
              <w:t xml:space="preserve"> (IQR)</w:t>
            </w:r>
          </w:p>
        </w:tc>
        <w:tc>
          <w:tcPr>
            <w:tcW w:w="783" w:type="pct"/>
            <w:tcBorders>
              <w:top w:val="nil"/>
              <w:left w:val="nil"/>
              <w:right w:val="nil"/>
            </w:tcBorders>
            <w:vAlign w:val="center"/>
          </w:tcPr>
          <w:p w14:paraId="709446E2"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p>
        </w:tc>
        <w:tc>
          <w:tcPr>
            <w:tcW w:w="783" w:type="pct"/>
            <w:tcBorders>
              <w:top w:val="nil"/>
              <w:left w:val="nil"/>
              <w:right w:val="nil"/>
            </w:tcBorders>
            <w:vAlign w:val="center"/>
          </w:tcPr>
          <w:p w14:paraId="0370413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5" w:type="pct"/>
            <w:tcBorders>
              <w:top w:val="nil"/>
              <w:left w:val="nil"/>
              <w:right w:val="nil"/>
            </w:tcBorders>
            <w:vAlign w:val="center"/>
          </w:tcPr>
          <w:p w14:paraId="0482B13A"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5" w:type="pct"/>
            <w:tcBorders>
              <w:top w:val="nil"/>
              <w:left w:val="nil"/>
              <w:right w:val="nil"/>
            </w:tcBorders>
            <w:shd w:val="clear" w:color="auto" w:fill="auto"/>
            <w:noWrap/>
            <w:vAlign w:val="center"/>
          </w:tcPr>
          <w:p w14:paraId="24D5B42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784" w:type="pct"/>
            <w:tcBorders>
              <w:top w:val="nil"/>
              <w:left w:val="nil"/>
              <w:right w:val="nil"/>
            </w:tcBorders>
            <w:shd w:val="clear" w:color="auto" w:fill="auto"/>
            <w:noWrap/>
            <w:vAlign w:val="center"/>
          </w:tcPr>
          <w:p w14:paraId="356DB501"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c>
          <w:tcPr>
            <w:tcW w:w="452" w:type="pct"/>
            <w:tcBorders>
              <w:top w:val="nil"/>
              <w:left w:val="nil"/>
              <w:right w:val="nil"/>
            </w:tcBorders>
            <w:shd w:val="clear" w:color="auto" w:fill="auto"/>
            <w:noWrap/>
            <w:vAlign w:val="center"/>
          </w:tcPr>
          <w:p w14:paraId="4CC5C9F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p>
        </w:tc>
      </w:tr>
      <w:tr w:rsidR="00EA0270" w:rsidRPr="00F453C6" w14:paraId="4114FEB1" w14:textId="77777777" w:rsidTr="002851C0">
        <w:trPr>
          <w:trHeight w:val="285"/>
          <w:jc w:val="center"/>
        </w:trPr>
        <w:tc>
          <w:tcPr>
            <w:tcW w:w="958" w:type="pct"/>
            <w:tcBorders>
              <w:top w:val="nil"/>
              <w:left w:val="nil"/>
              <w:right w:val="nil"/>
            </w:tcBorders>
            <w:shd w:val="clear" w:color="auto" w:fill="auto"/>
            <w:noWrap/>
            <w:vAlign w:val="center"/>
          </w:tcPr>
          <w:p w14:paraId="2CB707E9" w14:textId="77777777" w:rsidR="00EA0270" w:rsidRPr="00F453C6" w:rsidRDefault="00EA0270" w:rsidP="002851C0">
            <w:pPr>
              <w:spacing w:after="0" w:line="240" w:lineRule="auto"/>
              <w:ind w:firstLineChars="100" w:firstLine="15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Total</w:t>
            </w:r>
          </w:p>
        </w:tc>
        <w:tc>
          <w:tcPr>
            <w:tcW w:w="783" w:type="pct"/>
          </w:tcPr>
          <w:p w14:paraId="04B74958"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1.76 (0.92-8.02)</w:t>
            </w:r>
          </w:p>
        </w:tc>
        <w:tc>
          <w:tcPr>
            <w:tcW w:w="783" w:type="pct"/>
          </w:tcPr>
          <w:p w14:paraId="06856454"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2.94 (1.29-12.94)</w:t>
            </w:r>
          </w:p>
        </w:tc>
        <w:tc>
          <w:tcPr>
            <w:tcW w:w="455" w:type="pct"/>
          </w:tcPr>
          <w:p w14:paraId="46669633"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0.003</w:t>
            </w:r>
          </w:p>
        </w:tc>
        <w:tc>
          <w:tcPr>
            <w:tcW w:w="785" w:type="pct"/>
            <w:tcBorders>
              <w:top w:val="nil"/>
              <w:left w:val="nil"/>
              <w:right w:val="nil"/>
            </w:tcBorders>
            <w:shd w:val="clear" w:color="auto" w:fill="auto"/>
            <w:noWrap/>
            <w:vAlign w:val="center"/>
          </w:tcPr>
          <w:p w14:paraId="689CF86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1.62 (0.77-4.92)</w:t>
            </w:r>
          </w:p>
        </w:tc>
        <w:tc>
          <w:tcPr>
            <w:tcW w:w="784" w:type="pct"/>
            <w:tcBorders>
              <w:top w:val="nil"/>
              <w:left w:val="nil"/>
              <w:right w:val="nil"/>
            </w:tcBorders>
            <w:shd w:val="clear" w:color="auto" w:fill="auto"/>
            <w:noWrap/>
            <w:vAlign w:val="center"/>
          </w:tcPr>
          <w:p w14:paraId="68F21AA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2.21 (1.18-9.94)</w:t>
            </w:r>
          </w:p>
        </w:tc>
        <w:tc>
          <w:tcPr>
            <w:tcW w:w="452" w:type="pct"/>
            <w:tcBorders>
              <w:top w:val="nil"/>
              <w:left w:val="nil"/>
              <w:right w:val="nil"/>
            </w:tcBorders>
            <w:shd w:val="clear" w:color="auto" w:fill="auto"/>
            <w:noWrap/>
            <w:vAlign w:val="center"/>
          </w:tcPr>
          <w:p w14:paraId="2AF62C7A"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0.060</w:t>
            </w:r>
          </w:p>
        </w:tc>
      </w:tr>
      <w:tr w:rsidR="00EA0270" w:rsidRPr="00F453C6" w14:paraId="2BE9A153" w14:textId="77777777" w:rsidTr="002851C0">
        <w:trPr>
          <w:trHeight w:val="285"/>
          <w:jc w:val="center"/>
        </w:trPr>
        <w:tc>
          <w:tcPr>
            <w:tcW w:w="958" w:type="pct"/>
            <w:tcBorders>
              <w:top w:val="nil"/>
              <w:left w:val="nil"/>
              <w:right w:val="nil"/>
            </w:tcBorders>
            <w:shd w:val="clear" w:color="auto" w:fill="auto"/>
            <w:noWrap/>
            <w:vAlign w:val="center"/>
          </w:tcPr>
          <w:p w14:paraId="5D7B92E2" w14:textId="77777777" w:rsidR="00EA0270" w:rsidRPr="00F453C6" w:rsidRDefault="00EA0270" w:rsidP="002851C0">
            <w:pPr>
              <w:spacing w:after="0" w:line="240" w:lineRule="auto"/>
              <w:ind w:firstLineChars="100" w:firstLine="150"/>
              <w:jc w:val="left"/>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Women</w:t>
            </w:r>
          </w:p>
        </w:tc>
        <w:tc>
          <w:tcPr>
            <w:tcW w:w="783" w:type="pct"/>
          </w:tcPr>
          <w:p w14:paraId="68BEC5FC"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1.93 (0.80-8.90)</w:t>
            </w:r>
          </w:p>
        </w:tc>
        <w:tc>
          <w:tcPr>
            <w:tcW w:w="783" w:type="pct"/>
          </w:tcPr>
          <w:p w14:paraId="79BE453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1.61 (1.08-3.46)</w:t>
            </w:r>
          </w:p>
        </w:tc>
        <w:tc>
          <w:tcPr>
            <w:tcW w:w="455" w:type="pct"/>
          </w:tcPr>
          <w:p w14:paraId="13731632"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0.921</w:t>
            </w:r>
          </w:p>
        </w:tc>
        <w:tc>
          <w:tcPr>
            <w:tcW w:w="785" w:type="pct"/>
            <w:tcBorders>
              <w:top w:val="nil"/>
              <w:left w:val="nil"/>
              <w:right w:val="nil"/>
            </w:tcBorders>
            <w:shd w:val="clear" w:color="auto" w:fill="auto"/>
            <w:noWrap/>
            <w:vAlign w:val="center"/>
          </w:tcPr>
          <w:p w14:paraId="4127385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2.56 (1.17-11.22)</w:t>
            </w:r>
          </w:p>
        </w:tc>
        <w:tc>
          <w:tcPr>
            <w:tcW w:w="784" w:type="pct"/>
            <w:tcBorders>
              <w:top w:val="nil"/>
              <w:left w:val="nil"/>
              <w:right w:val="nil"/>
            </w:tcBorders>
            <w:shd w:val="clear" w:color="auto" w:fill="auto"/>
            <w:noWrap/>
            <w:vAlign w:val="center"/>
          </w:tcPr>
          <w:p w14:paraId="18A8E94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2.79 (1.32-9.16)</w:t>
            </w:r>
          </w:p>
        </w:tc>
        <w:tc>
          <w:tcPr>
            <w:tcW w:w="452" w:type="pct"/>
            <w:tcBorders>
              <w:top w:val="nil"/>
              <w:left w:val="nil"/>
              <w:right w:val="nil"/>
            </w:tcBorders>
            <w:shd w:val="clear" w:color="auto" w:fill="auto"/>
            <w:noWrap/>
            <w:vAlign w:val="center"/>
          </w:tcPr>
          <w:p w14:paraId="230903F5"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0.979</w:t>
            </w:r>
          </w:p>
        </w:tc>
      </w:tr>
      <w:tr w:rsidR="00EA0270" w:rsidRPr="00F453C6" w14:paraId="6C273A99" w14:textId="77777777" w:rsidTr="002851C0">
        <w:trPr>
          <w:trHeight w:val="285"/>
          <w:jc w:val="center"/>
        </w:trPr>
        <w:tc>
          <w:tcPr>
            <w:tcW w:w="958" w:type="pct"/>
            <w:tcBorders>
              <w:top w:val="nil"/>
              <w:left w:val="nil"/>
              <w:bottom w:val="single" w:sz="4" w:space="0" w:color="auto"/>
              <w:right w:val="nil"/>
            </w:tcBorders>
            <w:shd w:val="clear" w:color="auto" w:fill="auto"/>
            <w:noWrap/>
            <w:vAlign w:val="center"/>
          </w:tcPr>
          <w:p w14:paraId="3CDEC664" w14:textId="77777777" w:rsidR="00EA0270" w:rsidRPr="00F453C6" w:rsidRDefault="00EA0270" w:rsidP="002851C0">
            <w:pPr>
              <w:spacing w:after="0" w:line="240" w:lineRule="auto"/>
              <w:ind w:firstLineChars="100" w:firstLine="150"/>
              <w:jc w:val="left"/>
              <w:rPr>
                <w:rFonts w:ascii="Times New Roman" w:eastAsia="等线" w:hAnsi="Times New Roman" w:cs="Times New Roman"/>
                <w:color w:val="000000"/>
                <w:kern w:val="0"/>
                <w:sz w:val="15"/>
                <w:szCs w:val="15"/>
              </w:rPr>
            </w:pPr>
            <w:bookmarkStart w:id="36" w:name="_Hlk68244826"/>
            <w:r w:rsidRPr="00F453C6">
              <w:rPr>
                <w:rFonts w:ascii="Times New Roman" w:eastAsia="等线" w:hAnsi="Times New Roman" w:cs="Times New Roman"/>
                <w:color w:val="000000"/>
                <w:kern w:val="0"/>
                <w:sz w:val="15"/>
                <w:szCs w:val="15"/>
              </w:rPr>
              <w:t>Men</w:t>
            </w:r>
          </w:p>
        </w:tc>
        <w:tc>
          <w:tcPr>
            <w:tcW w:w="783" w:type="pct"/>
            <w:tcBorders>
              <w:bottom w:val="single" w:sz="4" w:space="0" w:color="auto"/>
            </w:tcBorders>
          </w:tcPr>
          <w:p w14:paraId="496DD0FB" w14:textId="77777777" w:rsidR="00EA0270" w:rsidRPr="00F453C6" w:rsidRDefault="00EA0270" w:rsidP="002851C0">
            <w:pPr>
              <w:spacing w:after="0" w:line="240" w:lineRule="auto"/>
              <w:ind w:firstLineChars="0" w:firstLine="0"/>
              <w:jc w:val="left"/>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1.72 (0.93-8.02)</w:t>
            </w:r>
          </w:p>
        </w:tc>
        <w:tc>
          <w:tcPr>
            <w:tcW w:w="783" w:type="pct"/>
            <w:tcBorders>
              <w:bottom w:val="single" w:sz="4" w:space="0" w:color="auto"/>
            </w:tcBorders>
          </w:tcPr>
          <w:p w14:paraId="14F7012E"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3.50 (1.31-14.31)</w:t>
            </w:r>
          </w:p>
        </w:tc>
        <w:tc>
          <w:tcPr>
            <w:tcW w:w="455" w:type="pct"/>
            <w:tcBorders>
              <w:bottom w:val="single" w:sz="4" w:space="0" w:color="auto"/>
            </w:tcBorders>
          </w:tcPr>
          <w:p w14:paraId="62F50CF0"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hAnsi="Times New Roman" w:cs="Times New Roman"/>
                <w:sz w:val="15"/>
                <w:szCs w:val="15"/>
              </w:rPr>
              <w:t>0.002</w:t>
            </w:r>
          </w:p>
        </w:tc>
        <w:tc>
          <w:tcPr>
            <w:tcW w:w="785" w:type="pct"/>
            <w:tcBorders>
              <w:top w:val="nil"/>
              <w:left w:val="nil"/>
              <w:bottom w:val="single" w:sz="4" w:space="0" w:color="auto"/>
              <w:right w:val="nil"/>
            </w:tcBorders>
            <w:shd w:val="clear" w:color="auto" w:fill="auto"/>
            <w:noWrap/>
            <w:vAlign w:val="center"/>
          </w:tcPr>
          <w:p w14:paraId="6DFE3B1C"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1.45 (0.61-2.97)</w:t>
            </w:r>
          </w:p>
        </w:tc>
        <w:tc>
          <w:tcPr>
            <w:tcW w:w="784" w:type="pct"/>
            <w:tcBorders>
              <w:top w:val="nil"/>
              <w:left w:val="nil"/>
              <w:bottom w:val="single" w:sz="4" w:space="0" w:color="auto"/>
              <w:right w:val="nil"/>
            </w:tcBorders>
            <w:shd w:val="clear" w:color="auto" w:fill="auto"/>
            <w:noWrap/>
            <w:vAlign w:val="center"/>
          </w:tcPr>
          <w:p w14:paraId="4D2E9EE7"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2.09 (1.15-10.14)</w:t>
            </w:r>
          </w:p>
        </w:tc>
        <w:tc>
          <w:tcPr>
            <w:tcW w:w="452" w:type="pct"/>
            <w:tcBorders>
              <w:top w:val="nil"/>
              <w:left w:val="nil"/>
              <w:bottom w:val="single" w:sz="4" w:space="0" w:color="auto"/>
              <w:right w:val="nil"/>
            </w:tcBorders>
            <w:shd w:val="clear" w:color="auto" w:fill="auto"/>
            <w:noWrap/>
            <w:vAlign w:val="center"/>
          </w:tcPr>
          <w:p w14:paraId="1092D5F8" w14:textId="77777777" w:rsidR="00EA0270" w:rsidRPr="00F453C6" w:rsidRDefault="00EA0270" w:rsidP="002851C0">
            <w:pPr>
              <w:spacing w:after="0" w:line="240" w:lineRule="auto"/>
              <w:ind w:firstLineChars="0" w:firstLine="0"/>
              <w:rPr>
                <w:rFonts w:ascii="Times New Roman" w:eastAsia="等线" w:hAnsi="Times New Roman" w:cs="Times New Roman"/>
                <w:color w:val="000000"/>
                <w:kern w:val="0"/>
                <w:sz w:val="15"/>
                <w:szCs w:val="15"/>
              </w:rPr>
            </w:pPr>
            <w:r w:rsidRPr="00F453C6">
              <w:rPr>
                <w:rFonts w:ascii="Times New Roman" w:eastAsia="等线" w:hAnsi="Times New Roman" w:cs="Times New Roman"/>
                <w:color w:val="000000"/>
                <w:kern w:val="0"/>
                <w:sz w:val="15"/>
                <w:szCs w:val="15"/>
              </w:rPr>
              <w:t>0.021</w:t>
            </w:r>
          </w:p>
        </w:tc>
      </w:tr>
    </w:tbl>
    <w:bookmarkEnd w:id="36"/>
    <w:p w14:paraId="37FFDF91"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Cs/>
          <w:sz w:val="15"/>
          <w:szCs w:val="15"/>
        </w:rPr>
      </w:pPr>
      <w:r w:rsidRPr="00F453C6">
        <w:rPr>
          <w:rFonts w:ascii="Times New Roman" w:eastAsia="宋体" w:hAnsi="Times New Roman" w:cs="Times New Roman"/>
          <w:bCs/>
          <w:sz w:val="15"/>
          <w:szCs w:val="15"/>
          <w:vertAlign w:val="superscript"/>
        </w:rPr>
        <w:t>a</w:t>
      </w:r>
      <w:r w:rsidRPr="00F453C6">
        <w:rPr>
          <w:rFonts w:ascii="Times New Roman" w:eastAsia="宋体" w:hAnsi="Times New Roman" w:cs="Times New Roman"/>
          <w:bCs/>
          <w:sz w:val="15"/>
          <w:szCs w:val="15"/>
        </w:rPr>
        <w:t xml:space="preserve"> Data are frequency (%) unless otherwise noted. VCA-IgA: viral capsid antigen-immunoglobulin A; EBNA1/IgA: Epstein–Barr nuclear antigen 1–immunoglobulin A; EBV: Epstein-Barr virus.</w:t>
      </w:r>
    </w:p>
    <w:p w14:paraId="6E308B60"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Cs/>
          <w:sz w:val="15"/>
          <w:szCs w:val="15"/>
        </w:rPr>
      </w:pPr>
      <w:r w:rsidRPr="00F453C6">
        <w:rPr>
          <w:rFonts w:ascii="Times New Roman" w:eastAsia="宋体" w:hAnsi="Times New Roman" w:cs="Times New Roman"/>
          <w:bCs/>
          <w:sz w:val="15"/>
          <w:szCs w:val="15"/>
          <w:vertAlign w:val="superscript"/>
        </w:rPr>
        <w:t>b</w:t>
      </w:r>
      <w:r w:rsidRPr="00F453C6">
        <w:rPr>
          <w:rFonts w:ascii="Times New Roman" w:eastAsia="宋体" w:hAnsi="Times New Roman" w:cs="Times New Roman"/>
          <w:bCs/>
          <w:sz w:val="15"/>
          <w:szCs w:val="15"/>
        </w:rPr>
        <w:t xml:space="preserve"> EBNA1/IgA </w:t>
      </w:r>
      <w:bookmarkStart w:id="37" w:name="_Hlk70694696"/>
      <w:r w:rsidRPr="00F453C6">
        <w:rPr>
          <w:rFonts w:ascii="Times New Roman" w:eastAsia="宋体" w:hAnsi="Times New Roman" w:cs="Times New Roman"/>
          <w:bCs/>
          <w:sz w:val="15"/>
          <w:szCs w:val="15"/>
        </w:rPr>
        <w:t>positive cut-off point</w:t>
      </w:r>
      <w:bookmarkEnd w:id="37"/>
      <w:r w:rsidRPr="00F453C6">
        <w:rPr>
          <w:rFonts w:ascii="Times New Roman" w:eastAsia="宋体" w:hAnsi="Times New Roman" w:cs="Times New Roman"/>
          <w:bCs/>
          <w:sz w:val="15"/>
          <w:szCs w:val="15"/>
        </w:rPr>
        <w:t>: 0.7</w:t>
      </w:r>
    </w:p>
    <w:p w14:paraId="575FC993"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Cs/>
          <w:sz w:val="15"/>
          <w:szCs w:val="15"/>
        </w:rPr>
      </w:pPr>
      <w:r w:rsidRPr="00F453C6">
        <w:rPr>
          <w:rFonts w:ascii="Times New Roman" w:eastAsia="宋体" w:hAnsi="Times New Roman" w:cs="Times New Roman"/>
          <w:bCs/>
          <w:sz w:val="15"/>
          <w:szCs w:val="15"/>
          <w:vertAlign w:val="superscript"/>
        </w:rPr>
        <w:t>c</w:t>
      </w:r>
      <w:r w:rsidRPr="00F453C6">
        <w:rPr>
          <w:rFonts w:ascii="Times New Roman" w:eastAsia="宋体" w:hAnsi="Times New Roman" w:cs="Times New Roman"/>
          <w:bCs/>
          <w:sz w:val="15"/>
          <w:szCs w:val="15"/>
        </w:rPr>
        <w:t xml:space="preserve"> VCA-IgA positive cut-off point: 0.8</w:t>
      </w:r>
    </w:p>
    <w:p w14:paraId="10C4F53B"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Cs/>
          <w:sz w:val="15"/>
          <w:szCs w:val="15"/>
        </w:rPr>
      </w:pPr>
      <w:r w:rsidRPr="00F453C6">
        <w:rPr>
          <w:rFonts w:ascii="Times New Roman" w:eastAsia="宋体" w:hAnsi="Times New Roman" w:cs="Times New Roman"/>
          <w:bCs/>
          <w:sz w:val="15"/>
          <w:szCs w:val="15"/>
          <w:vertAlign w:val="superscript"/>
        </w:rPr>
        <w:t>d</w:t>
      </w:r>
      <w:r w:rsidRPr="00F453C6">
        <w:rPr>
          <w:rFonts w:ascii="Times New Roman" w:eastAsia="宋体" w:hAnsi="Times New Roman" w:cs="Times New Roman"/>
          <w:bCs/>
          <w:sz w:val="15"/>
          <w:szCs w:val="15"/>
        </w:rPr>
        <w:t xml:space="preserve"> Smoking refers to smoking one cigarette every 1-3 days during a period of 6 months.</w:t>
      </w:r>
    </w:p>
    <w:p w14:paraId="6F009054"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Cs/>
          <w:sz w:val="15"/>
          <w:szCs w:val="15"/>
        </w:rPr>
      </w:pPr>
      <w:r w:rsidRPr="00F453C6">
        <w:rPr>
          <w:rFonts w:ascii="Times New Roman" w:eastAsia="宋体" w:hAnsi="Times New Roman" w:cs="Times New Roman"/>
          <w:bCs/>
          <w:sz w:val="15"/>
          <w:szCs w:val="15"/>
          <w:vertAlign w:val="superscript"/>
        </w:rPr>
        <w:t>e</w:t>
      </w:r>
      <w:r w:rsidRPr="00F453C6">
        <w:rPr>
          <w:rFonts w:ascii="Times New Roman" w:eastAsia="宋体" w:hAnsi="Times New Roman" w:cs="Times New Roman"/>
          <w:bCs/>
          <w:sz w:val="15"/>
          <w:szCs w:val="15"/>
        </w:rPr>
        <w:t xml:space="preserve"> </w:t>
      </w:r>
      <w:proofErr w:type="gramStart"/>
      <w:r w:rsidRPr="00F453C6">
        <w:rPr>
          <w:rFonts w:ascii="Times New Roman" w:eastAsia="宋体" w:hAnsi="Times New Roman" w:cs="Times New Roman"/>
          <w:bCs/>
          <w:sz w:val="15"/>
          <w:szCs w:val="15"/>
        </w:rPr>
        <w:t>On</w:t>
      </w:r>
      <w:proofErr w:type="gramEnd"/>
      <w:r w:rsidRPr="00F453C6">
        <w:rPr>
          <w:rFonts w:ascii="Times New Roman" w:eastAsia="宋体" w:hAnsi="Times New Roman" w:cs="Times New Roman"/>
          <w:bCs/>
          <w:sz w:val="15"/>
          <w:szCs w:val="15"/>
        </w:rPr>
        <w:t xml:space="preserve"> the basis of corrected adiponectin concentration in </w:t>
      </w:r>
      <w:proofErr w:type="spellStart"/>
      <w:r w:rsidRPr="00F453C6">
        <w:rPr>
          <w:rFonts w:ascii="Times New Roman" w:eastAsia="宋体" w:hAnsi="Times New Roman" w:cs="Times New Roman"/>
          <w:bCs/>
          <w:sz w:val="15"/>
          <w:szCs w:val="15"/>
        </w:rPr>
        <w:t>μg</w:t>
      </w:r>
      <w:proofErr w:type="spellEnd"/>
      <w:r w:rsidRPr="00F453C6">
        <w:rPr>
          <w:rFonts w:ascii="Times New Roman" w:eastAsia="宋体" w:hAnsi="Times New Roman" w:cs="Times New Roman"/>
          <w:bCs/>
          <w:sz w:val="15"/>
          <w:szCs w:val="15"/>
        </w:rPr>
        <w:t>/ml were represented as median.</w:t>
      </w:r>
    </w:p>
    <w:p w14:paraId="03ADD3B1" w14:textId="77777777" w:rsidR="00EA0270" w:rsidRPr="00F453C6" w:rsidRDefault="00EA0270" w:rsidP="00EA0270">
      <w:pPr>
        <w:widowControl w:val="0"/>
        <w:spacing w:after="0" w:line="240" w:lineRule="auto"/>
        <w:ind w:firstLineChars="0" w:firstLine="0"/>
        <w:rPr>
          <w:rFonts w:ascii="Times New Roman" w:eastAsia="宋体" w:hAnsi="Times New Roman" w:cs="Times New Roman"/>
          <w:b/>
          <w:sz w:val="15"/>
          <w:szCs w:val="15"/>
        </w:rPr>
      </w:pPr>
      <w:r w:rsidRPr="00F453C6">
        <w:rPr>
          <w:rFonts w:ascii="Times New Roman" w:eastAsia="宋体" w:hAnsi="Times New Roman" w:cs="Times New Roman"/>
          <w:bCs/>
          <w:sz w:val="15"/>
          <w:szCs w:val="15"/>
          <w:vertAlign w:val="superscript"/>
        </w:rPr>
        <w:t>f</w:t>
      </w:r>
      <w:r w:rsidRPr="00F453C6">
        <w:rPr>
          <w:rFonts w:ascii="Times New Roman" w:eastAsia="宋体" w:hAnsi="Times New Roman" w:cs="Times New Roman"/>
          <w:bCs/>
          <w:sz w:val="15"/>
          <w:szCs w:val="15"/>
        </w:rPr>
        <w:t xml:space="preserve"> P values were calculated by chi-square test and Wilcoxon rank-sum test.</w:t>
      </w:r>
    </w:p>
    <w:p w14:paraId="3E9ED371" w14:textId="77777777" w:rsidR="00EA0270" w:rsidRPr="00F453C6" w:rsidRDefault="00EA0270" w:rsidP="00EA0270">
      <w:pPr>
        <w:spacing w:after="0"/>
        <w:ind w:firstLineChars="0" w:firstLine="0"/>
        <w:rPr>
          <w:rFonts w:ascii="Times New Roman" w:hAnsi="Times New Roman" w:cs="Times New Roman"/>
          <w:sz w:val="24"/>
          <w:szCs w:val="24"/>
        </w:rPr>
      </w:pPr>
    </w:p>
    <w:p w14:paraId="6DAEB99D" w14:textId="68F215ED" w:rsidR="005C6DEF" w:rsidRPr="00F453C6" w:rsidRDefault="005C6DEF" w:rsidP="00846D22">
      <w:pPr>
        <w:widowControl w:val="0"/>
        <w:spacing w:after="0"/>
        <w:ind w:firstLineChars="0" w:firstLine="0"/>
        <w:rPr>
          <w:rFonts w:ascii="Times New Roman" w:hAnsi="Times New Roman" w:cs="Times New Roman"/>
          <w:b/>
          <w:bCs/>
          <w:sz w:val="22"/>
          <w:szCs w:val="24"/>
        </w:rPr>
      </w:pPr>
      <w:r w:rsidRPr="00F453C6">
        <w:rPr>
          <w:rFonts w:ascii="Times New Roman" w:hAnsi="Times New Roman" w:cs="Times New Roman"/>
          <w:b/>
          <w:bCs/>
          <w:sz w:val="22"/>
          <w:szCs w:val="24"/>
        </w:rPr>
        <w:lastRenderedPageBreak/>
        <w:t xml:space="preserve">Table </w:t>
      </w:r>
      <w:r w:rsidR="00EA0270">
        <w:rPr>
          <w:rFonts w:ascii="Times New Roman" w:hAnsi="Times New Roman" w:cs="Times New Roman"/>
          <w:b/>
          <w:bCs/>
          <w:sz w:val="22"/>
          <w:szCs w:val="24"/>
        </w:rPr>
        <w:t>2</w:t>
      </w:r>
      <w:r w:rsidRPr="00F453C6">
        <w:rPr>
          <w:rFonts w:ascii="Times New Roman" w:hAnsi="Times New Roman" w:cs="Times New Roman"/>
          <w:b/>
          <w:bCs/>
          <w:sz w:val="22"/>
          <w:szCs w:val="24"/>
        </w:rPr>
        <w:t>. Sequences of primers used in quantitative RT-PCR</w:t>
      </w:r>
      <w:r w:rsidR="004F67D5" w:rsidRPr="00F453C6">
        <w:rPr>
          <w:rFonts w:ascii="Times New Roman" w:hAnsi="Times New Roman" w:cs="Times New Roman"/>
          <w:b/>
          <w:bCs/>
          <w:sz w:val="22"/>
          <w:szCs w:val="24"/>
        </w:rPr>
        <w:t>.</w:t>
      </w:r>
    </w:p>
    <w:tbl>
      <w:tblPr>
        <w:tblStyle w:val="a8"/>
        <w:tblW w:w="0" w:type="auto"/>
        <w:tblInd w:w="27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9"/>
        <w:gridCol w:w="1134"/>
        <w:gridCol w:w="4253"/>
      </w:tblGrid>
      <w:tr w:rsidR="005C6DEF" w:rsidRPr="00F453C6" w14:paraId="13F74F27" w14:textId="77777777" w:rsidTr="005C6DEF">
        <w:tc>
          <w:tcPr>
            <w:tcW w:w="1559" w:type="dxa"/>
            <w:tcBorders>
              <w:top w:val="single" w:sz="4" w:space="0" w:color="auto"/>
              <w:bottom w:val="single" w:sz="4" w:space="0" w:color="auto"/>
            </w:tcBorders>
            <w:vAlign w:val="center"/>
          </w:tcPr>
          <w:p w14:paraId="6313B5B8"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Target gene</w:t>
            </w:r>
          </w:p>
        </w:tc>
        <w:tc>
          <w:tcPr>
            <w:tcW w:w="1134" w:type="dxa"/>
            <w:tcBorders>
              <w:top w:val="single" w:sz="4" w:space="0" w:color="auto"/>
              <w:bottom w:val="single" w:sz="4" w:space="0" w:color="auto"/>
            </w:tcBorders>
            <w:vAlign w:val="center"/>
          </w:tcPr>
          <w:p w14:paraId="062F2D16"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primer</w:t>
            </w:r>
          </w:p>
        </w:tc>
        <w:tc>
          <w:tcPr>
            <w:tcW w:w="4253" w:type="dxa"/>
            <w:tcBorders>
              <w:top w:val="single" w:sz="4" w:space="0" w:color="auto"/>
              <w:bottom w:val="single" w:sz="4" w:space="0" w:color="auto"/>
            </w:tcBorders>
            <w:vAlign w:val="center"/>
          </w:tcPr>
          <w:p w14:paraId="5AE16548"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primer sequence</w:t>
            </w:r>
          </w:p>
        </w:tc>
      </w:tr>
      <w:tr w:rsidR="005C6DEF" w:rsidRPr="00F453C6" w14:paraId="72D1AD19" w14:textId="77777777" w:rsidTr="005C6DEF">
        <w:tc>
          <w:tcPr>
            <w:tcW w:w="1559" w:type="dxa"/>
            <w:vMerge w:val="restart"/>
            <w:tcBorders>
              <w:top w:val="single" w:sz="4" w:space="0" w:color="auto"/>
            </w:tcBorders>
            <w:vAlign w:val="center"/>
          </w:tcPr>
          <w:p w14:paraId="11A45666"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ACTB</w:t>
            </w:r>
          </w:p>
        </w:tc>
        <w:tc>
          <w:tcPr>
            <w:tcW w:w="1134" w:type="dxa"/>
            <w:tcBorders>
              <w:top w:val="single" w:sz="4" w:space="0" w:color="auto"/>
            </w:tcBorders>
            <w:vAlign w:val="center"/>
          </w:tcPr>
          <w:p w14:paraId="6893489D"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F</w:t>
            </w:r>
          </w:p>
        </w:tc>
        <w:tc>
          <w:tcPr>
            <w:tcW w:w="4253" w:type="dxa"/>
            <w:tcBorders>
              <w:top w:val="single" w:sz="4" w:space="0" w:color="auto"/>
            </w:tcBorders>
          </w:tcPr>
          <w:p w14:paraId="7555ACC3"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5’-CCTGTACGCCAACACAGTGC-3’</w:t>
            </w:r>
          </w:p>
        </w:tc>
      </w:tr>
      <w:tr w:rsidR="005C6DEF" w:rsidRPr="00F453C6" w14:paraId="1F3CF69B" w14:textId="77777777" w:rsidTr="005C6DEF">
        <w:tc>
          <w:tcPr>
            <w:tcW w:w="1559" w:type="dxa"/>
            <w:vMerge/>
            <w:vAlign w:val="center"/>
          </w:tcPr>
          <w:p w14:paraId="70EA8673"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p>
        </w:tc>
        <w:tc>
          <w:tcPr>
            <w:tcW w:w="1134" w:type="dxa"/>
            <w:vAlign w:val="center"/>
          </w:tcPr>
          <w:p w14:paraId="7034D90B"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R</w:t>
            </w:r>
          </w:p>
        </w:tc>
        <w:tc>
          <w:tcPr>
            <w:tcW w:w="4253" w:type="dxa"/>
          </w:tcPr>
          <w:p w14:paraId="36777129"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5’-ATACTCCTGCTTGCTGATCC-3’</w:t>
            </w:r>
          </w:p>
        </w:tc>
      </w:tr>
      <w:tr w:rsidR="005C6DEF" w:rsidRPr="00F453C6" w14:paraId="59365497" w14:textId="77777777" w:rsidTr="005C6DEF">
        <w:tc>
          <w:tcPr>
            <w:tcW w:w="1559" w:type="dxa"/>
            <w:vMerge w:val="restart"/>
            <w:vAlign w:val="center"/>
          </w:tcPr>
          <w:p w14:paraId="00CD6171"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w:t>
            </w:r>
          </w:p>
        </w:tc>
        <w:tc>
          <w:tcPr>
            <w:tcW w:w="1134" w:type="dxa"/>
            <w:vAlign w:val="center"/>
          </w:tcPr>
          <w:p w14:paraId="621FEA50"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F</w:t>
            </w:r>
          </w:p>
        </w:tc>
        <w:tc>
          <w:tcPr>
            <w:tcW w:w="4253" w:type="dxa"/>
          </w:tcPr>
          <w:p w14:paraId="7D6CFD17"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5’-ACGTTGGAGGGTCATCCCATA-3’</w:t>
            </w:r>
          </w:p>
        </w:tc>
      </w:tr>
      <w:tr w:rsidR="005C6DEF" w:rsidRPr="00F453C6" w14:paraId="1415FA89" w14:textId="77777777" w:rsidTr="005C6DEF">
        <w:tc>
          <w:tcPr>
            <w:tcW w:w="1559" w:type="dxa"/>
            <w:vMerge/>
            <w:vAlign w:val="center"/>
          </w:tcPr>
          <w:p w14:paraId="1457FACD"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p>
        </w:tc>
        <w:tc>
          <w:tcPr>
            <w:tcW w:w="1134" w:type="dxa"/>
            <w:vAlign w:val="center"/>
          </w:tcPr>
          <w:p w14:paraId="0E3D4B10"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R</w:t>
            </w:r>
          </w:p>
        </w:tc>
        <w:tc>
          <w:tcPr>
            <w:tcW w:w="4253" w:type="dxa"/>
          </w:tcPr>
          <w:p w14:paraId="60756E51"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5’-AAACAGCACGAAACCAAGCAG-3’</w:t>
            </w:r>
          </w:p>
        </w:tc>
      </w:tr>
      <w:tr w:rsidR="005C6DEF" w:rsidRPr="00F453C6" w14:paraId="4891E015" w14:textId="77777777" w:rsidTr="005C6DEF">
        <w:tc>
          <w:tcPr>
            <w:tcW w:w="1559" w:type="dxa"/>
            <w:vMerge w:val="restart"/>
            <w:vAlign w:val="center"/>
          </w:tcPr>
          <w:p w14:paraId="2A391CD5"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AdipoR2</w:t>
            </w:r>
          </w:p>
        </w:tc>
        <w:tc>
          <w:tcPr>
            <w:tcW w:w="1134" w:type="dxa"/>
            <w:vAlign w:val="center"/>
          </w:tcPr>
          <w:p w14:paraId="6C13E0A8"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F</w:t>
            </w:r>
          </w:p>
        </w:tc>
        <w:tc>
          <w:tcPr>
            <w:tcW w:w="4253" w:type="dxa"/>
          </w:tcPr>
          <w:p w14:paraId="519E7F99"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5’-CCCTCTCTTACAAGCCCATCA-3’</w:t>
            </w:r>
          </w:p>
        </w:tc>
      </w:tr>
      <w:tr w:rsidR="005C6DEF" w:rsidRPr="00F453C6" w14:paraId="25920BF3" w14:textId="77777777" w:rsidTr="005C6DEF">
        <w:tc>
          <w:tcPr>
            <w:tcW w:w="1559" w:type="dxa"/>
            <w:vMerge/>
            <w:vAlign w:val="center"/>
          </w:tcPr>
          <w:p w14:paraId="1F4E54C1"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p>
        </w:tc>
        <w:tc>
          <w:tcPr>
            <w:tcW w:w="1134" w:type="dxa"/>
            <w:vAlign w:val="center"/>
          </w:tcPr>
          <w:p w14:paraId="1B1642C3" w14:textId="77777777" w:rsidR="005C6DEF" w:rsidRPr="00F453C6" w:rsidRDefault="005C6DEF"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R</w:t>
            </w:r>
          </w:p>
        </w:tc>
        <w:tc>
          <w:tcPr>
            <w:tcW w:w="4253" w:type="dxa"/>
          </w:tcPr>
          <w:p w14:paraId="400BF3BA" w14:textId="77777777" w:rsidR="005C6DEF" w:rsidRPr="00F453C6" w:rsidRDefault="005C6DEF"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5’-GAGCCAGTCTGGTAGTACATCA-3’</w:t>
            </w:r>
          </w:p>
        </w:tc>
      </w:tr>
    </w:tbl>
    <w:p w14:paraId="3A1EACC0" w14:textId="77777777" w:rsidR="00D81DC4" w:rsidRPr="00F453C6" w:rsidRDefault="00D81DC4" w:rsidP="00846D22">
      <w:pPr>
        <w:widowControl w:val="0"/>
        <w:spacing w:after="0"/>
        <w:ind w:firstLineChars="0" w:firstLine="0"/>
        <w:rPr>
          <w:rFonts w:ascii="Times New Roman" w:hAnsi="Times New Roman" w:cs="Times New Roman"/>
          <w:sz w:val="22"/>
          <w:szCs w:val="24"/>
        </w:rPr>
        <w:sectPr w:rsidR="00D81DC4" w:rsidRPr="00F453C6">
          <w:pgSz w:w="11906" w:h="16838"/>
          <w:pgMar w:top="1440" w:right="1800" w:bottom="1440" w:left="1800" w:header="851" w:footer="992" w:gutter="0"/>
          <w:cols w:space="425"/>
          <w:docGrid w:type="lines" w:linePitch="312"/>
        </w:sectPr>
      </w:pPr>
    </w:p>
    <w:p w14:paraId="5177177A" w14:textId="791D7591" w:rsidR="005C6DEF" w:rsidRPr="00F453C6" w:rsidRDefault="005C6DEF" w:rsidP="00846D22">
      <w:pPr>
        <w:widowControl w:val="0"/>
        <w:spacing w:after="0"/>
        <w:ind w:firstLineChars="0" w:firstLine="0"/>
        <w:rPr>
          <w:rFonts w:ascii="Times New Roman" w:hAnsi="Times New Roman" w:cs="Times New Roman"/>
          <w:b/>
          <w:bCs/>
          <w:sz w:val="22"/>
          <w:szCs w:val="24"/>
        </w:rPr>
      </w:pPr>
      <w:r w:rsidRPr="00F453C6">
        <w:rPr>
          <w:rFonts w:ascii="Times New Roman" w:hAnsi="Times New Roman" w:cs="Times New Roman"/>
          <w:b/>
          <w:bCs/>
          <w:sz w:val="22"/>
          <w:szCs w:val="24"/>
        </w:rPr>
        <w:lastRenderedPageBreak/>
        <w:t xml:space="preserve">Table </w:t>
      </w:r>
      <w:r w:rsidR="00EA0270">
        <w:rPr>
          <w:rFonts w:ascii="Times New Roman" w:hAnsi="Times New Roman" w:cs="Times New Roman"/>
          <w:b/>
          <w:bCs/>
          <w:sz w:val="22"/>
          <w:szCs w:val="24"/>
        </w:rPr>
        <w:t>3</w:t>
      </w:r>
      <w:r w:rsidRPr="00F453C6">
        <w:rPr>
          <w:rFonts w:ascii="Times New Roman" w:hAnsi="Times New Roman" w:cs="Times New Roman"/>
          <w:b/>
          <w:bCs/>
          <w:sz w:val="22"/>
          <w:szCs w:val="24"/>
        </w:rPr>
        <w:t>. Sequences of small interfering RNA used in transfection</w:t>
      </w:r>
      <w:r w:rsidR="004F67D5" w:rsidRPr="00F453C6">
        <w:rPr>
          <w:rFonts w:ascii="Times New Roman" w:hAnsi="Times New Roman" w:cs="Times New Roman"/>
          <w:b/>
          <w:bCs/>
          <w:sz w:val="22"/>
          <w:szCs w:val="24"/>
        </w:rPr>
        <w:t>.</w:t>
      </w:r>
    </w:p>
    <w:tbl>
      <w:tblPr>
        <w:tblStyle w:val="a8"/>
        <w:tblW w:w="0" w:type="auto"/>
        <w:tblInd w:w="27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8"/>
        <w:gridCol w:w="4678"/>
      </w:tblGrid>
      <w:tr w:rsidR="00D81DC4" w:rsidRPr="00F453C6" w14:paraId="67BF4A7D" w14:textId="77777777" w:rsidTr="00D81DC4">
        <w:tc>
          <w:tcPr>
            <w:tcW w:w="2698" w:type="dxa"/>
            <w:tcBorders>
              <w:top w:val="single" w:sz="4" w:space="0" w:color="auto"/>
              <w:bottom w:val="single" w:sz="4" w:space="0" w:color="auto"/>
            </w:tcBorders>
            <w:vAlign w:val="center"/>
          </w:tcPr>
          <w:p w14:paraId="60CC84F3" w14:textId="77777777"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Target gene</w:t>
            </w:r>
          </w:p>
        </w:tc>
        <w:tc>
          <w:tcPr>
            <w:tcW w:w="4678" w:type="dxa"/>
            <w:tcBorders>
              <w:top w:val="single" w:sz="4" w:space="0" w:color="auto"/>
              <w:bottom w:val="single" w:sz="4" w:space="0" w:color="auto"/>
            </w:tcBorders>
            <w:vAlign w:val="center"/>
          </w:tcPr>
          <w:p w14:paraId="49FC1BB2" w14:textId="78B1DB6B"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siRNA sequences</w:t>
            </w:r>
          </w:p>
        </w:tc>
      </w:tr>
      <w:tr w:rsidR="00D81DC4" w:rsidRPr="00F453C6" w14:paraId="79056E45" w14:textId="77777777" w:rsidTr="00D81DC4">
        <w:tc>
          <w:tcPr>
            <w:tcW w:w="2698" w:type="dxa"/>
            <w:vAlign w:val="center"/>
          </w:tcPr>
          <w:p w14:paraId="383E6E2F" w14:textId="4A075E73"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AdipoR1-siRNA#1 sense</w:t>
            </w:r>
          </w:p>
        </w:tc>
        <w:tc>
          <w:tcPr>
            <w:tcW w:w="4678" w:type="dxa"/>
          </w:tcPr>
          <w:p w14:paraId="3784B44B" w14:textId="525E32A0" w:rsidR="00D81DC4" w:rsidRPr="00F453C6" w:rsidRDefault="00042C6D" w:rsidP="00846D22">
            <w:pPr>
              <w:widowControl w:val="0"/>
              <w:spacing w:after="0"/>
              <w:ind w:firstLineChars="0" w:firstLine="0"/>
              <w:rPr>
                <w:rFonts w:ascii="Times New Roman" w:hAnsi="Times New Roman" w:cs="Times New Roman"/>
                <w:sz w:val="22"/>
                <w:szCs w:val="24"/>
              </w:rPr>
            </w:pPr>
            <w:r w:rsidRPr="00950C2D">
              <w:rPr>
                <w:rFonts w:ascii="Times New Roman" w:hAnsi="Times New Roman" w:cs="Times New Roman"/>
                <w:sz w:val="22"/>
                <w:szCs w:val="24"/>
              </w:rPr>
              <w:t xml:space="preserve">5’-CACCGTCTATTGTCATTCA </w:t>
            </w:r>
            <w:r w:rsidRPr="00F453C6">
              <w:rPr>
                <w:rFonts w:ascii="Times New Roman" w:hAnsi="Times New Roman" w:cs="Times New Roman"/>
                <w:sz w:val="22"/>
                <w:szCs w:val="24"/>
              </w:rPr>
              <w:t>-3’</w:t>
            </w:r>
          </w:p>
        </w:tc>
      </w:tr>
      <w:tr w:rsidR="00D81DC4" w:rsidRPr="00F453C6" w14:paraId="03B7ADC4" w14:textId="77777777" w:rsidTr="00D81DC4">
        <w:tc>
          <w:tcPr>
            <w:tcW w:w="2698" w:type="dxa"/>
            <w:vAlign w:val="center"/>
          </w:tcPr>
          <w:p w14:paraId="10808A6A" w14:textId="3A097C7D"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AdipoR1-siRNA#2 sense</w:t>
            </w:r>
          </w:p>
        </w:tc>
        <w:tc>
          <w:tcPr>
            <w:tcW w:w="4678" w:type="dxa"/>
          </w:tcPr>
          <w:p w14:paraId="2E4AB969" w14:textId="02C90469" w:rsidR="00D81DC4" w:rsidRPr="00F453C6" w:rsidRDefault="00042C6D"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w:t>
            </w:r>
            <w:r>
              <w:rPr>
                <w:rFonts w:ascii="Times New Roman" w:hAnsi="Times New Roman" w:cs="Times New Roman"/>
                <w:sz w:val="22"/>
                <w:szCs w:val="24"/>
              </w:rPr>
              <w:t xml:space="preserve"> </w:t>
            </w:r>
            <w:r w:rsidRPr="00042C6D">
              <w:rPr>
                <w:rFonts w:ascii="Times New Roman" w:hAnsi="Times New Roman" w:cs="Times New Roman"/>
                <w:sz w:val="22"/>
                <w:szCs w:val="24"/>
              </w:rPr>
              <w:t>TCCCTGACTGGCTAAAGGA</w:t>
            </w:r>
            <w:r>
              <w:rPr>
                <w:rFonts w:ascii="Times New Roman" w:hAnsi="Times New Roman" w:cs="Times New Roman"/>
                <w:sz w:val="22"/>
                <w:szCs w:val="24"/>
              </w:rPr>
              <w:t xml:space="preserve"> </w:t>
            </w:r>
            <w:r w:rsidRPr="00F453C6">
              <w:rPr>
                <w:rFonts w:ascii="Times New Roman" w:hAnsi="Times New Roman" w:cs="Times New Roman"/>
                <w:sz w:val="22"/>
                <w:szCs w:val="24"/>
              </w:rPr>
              <w:t>-3’</w:t>
            </w:r>
          </w:p>
        </w:tc>
      </w:tr>
      <w:tr w:rsidR="00D81DC4" w:rsidRPr="00F453C6" w14:paraId="6F1202C9" w14:textId="77777777" w:rsidTr="00D81DC4">
        <w:tc>
          <w:tcPr>
            <w:tcW w:w="2698" w:type="dxa"/>
            <w:vAlign w:val="center"/>
          </w:tcPr>
          <w:p w14:paraId="16CAE372" w14:textId="3C6F5D21"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AdipoR1-siRNA#3 sense</w:t>
            </w:r>
          </w:p>
        </w:tc>
        <w:tc>
          <w:tcPr>
            <w:tcW w:w="4678" w:type="dxa"/>
          </w:tcPr>
          <w:p w14:paraId="00845087" w14:textId="74BAF347" w:rsidR="00D81DC4" w:rsidRPr="00F453C6" w:rsidRDefault="00042C6D" w:rsidP="00846D22">
            <w:pPr>
              <w:widowControl w:val="0"/>
              <w:spacing w:after="0"/>
              <w:ind w:firstLineChars="0" w:firstLine="0"/>
              <w:rPr>
                <w:rFonts w:ascii="Times New Roman" w:hAnsi="Times New Roman" w:cs="Times New Roman"/>
                <w:sz w:val="22"/>
                <w:szCs w:val="24"/>
              </w:rPr>
            </w:pPr>
            <w:r w:rsidRPr="00042C6D">
              <w:rPr>
                <w:rFonts w:ascii="Times New Roman" w:hAnsi="Times New Roman" w:cs="Times New Roman"/>
                <w:sz w:val="22"/>
                <w:szCs w:val="24"/>
              </w:rPr>
              <w:t>5’- AGAAGGGCAAACGGGTAAT</w:t>
            </w:r>
            <w:r>
              <w:rPr>
                <w:rFonts w:ascii="Times New Roman" w:hAnsi="Times New Roman" w:cs="Times New Roman"/>
                <w:sz w:val="22"/>
                <w:szCs w:val="24"/>
              </w:rPr>
              <w:t xml:space="preserve"> </w:t>
            </w:r>
            <w:r w:rsidRPr="00F453C6">
              <w:rPr>
                <w:rFonts w:ascii="Times New Roman" w:hAnsi="Times New Roman" w:cs="Times New Roman"/>
                <w:sz w:val="22"/>
                <w:szCs w:val="24"/>
              </w:rPr>
              <w:t>-3’</w:t>
            </w:r>
          </w:p>
        </w:tc>
      </w:tr>
      <w:tr w:rsidR="00D81DC4" w:rsidRPr="00F453C6" w14:paraId="494DB73B" w14:textId="77777777" w:rsidTr="00D81DC4">
        <w:tc>
          <w:tcPr>
            <w:tcW w:w="2698" w:type="dxa"/>
            <w:vAlign w:val="center"/>
          </w:tcPr>
          <w:p w14:paraId="51B983B6" w14:textId="6FBC7033"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AdipoR1-siRNA#1 sense</w:t>
            </w:r>
          </w:p>
        </w:tc>
        <w:tc>
          <w:tcPr>
            <w:tcW w:w="4678" w:type="dxa"/>
          </w:tcPr>
          <w:p w14:paraId="54FEAD5D" w14:textId="4313E168" w:rsidR="00D81DC4" w:rsidRPr="00F453C6" w:rsidRDefault="00042C6D" w:rsidP="00846D22">
            <w:pPr>
              <w:widowControl w:val="0"/>
              <w:spacing w:after="0"/>
              <w:ind w:firstLineChars="0" w:firstLine="0"/>
              <w:rPr>
                <w:rFonts w:ascii="Times New Roman" w:hAnsi="Times New Roman" w:cs="Times New Roman"/>
                <w:sz w:val="22"/>
                <w:szCs w:val="24"/>
              </w:rPr>
            </w:pPr>
            <w:r w:rsidRPr="00042C6D">
              <w:rPr>
                <w:rFonts w:ascii="Times New Roman" w:hAnsi="Times New Roman" w:cs="Times New Roman"/>
                <w:sz w:val="22"/>
                <w:szCs w:val="24"/>
              </w:rPr>
              <w:t>5’- ACTGGATGGTACACGAAGA</w:t>
            </w:r>
            <w:r>
              <w:rPr>
                <w:rFonts w:ascii="Times New Roman" w:hAnsi="Times New Roman" w:cs="Times New Roman"/>
                <w:sz w:val="22"/>
                <w:szCs w:val="24"/>
              </w:rPr>
              <w:t xml:space="preserve"> </w:t>
            </w:r>
            <w:r w:rsidRPr="00F453C6">
              <w:rPr>
                <w:rFonts w:ascii="Times New Roman" w:hAnsi="Times New Roman" w:cs="Times New Roman"/>
                <w:sz w:val="22"/>
                <w:szCs w:val="24"/>
              </w:rPr>
              <w:t>-3’</w:t>
            </w:r>
          </w:p>
        </w:tc>
      </w:tr>
      <w:tr w:rsidR="00D81DC4" w:rsidRPr="00F453C6" w14:paraId="4CA0ED02" w14:textId="77777777" w:rsidTr="00D81DC4">
        <w:tc>
          <w:tcPr>
            <w:tcW w:w="2698" w:type="dxa"/>
            <w:vAlign w:val="center"/>
          </w:tcPr>
          <w:p w14:paraId="53C4BB09" w14:textId="15099C64"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AdipoR1-siRNA#2 sense</w:t>
            </w:r>
          </w:p>
        </w:tc>
        <w:tc>
          <w:tcPr>
            <w:tcW w:w="4678" w:type="dxa"/>
          </w:tcPr>
          <w:p w14:paraId="16621A8A" w14:textId="1086E800" w:rsidR="00D81DC4" w:rsidRPr="00F453C6" w:rsidRDefault="00D81DC4" w:rsidP="00846D22">
            <w:pPr>
              <w:widowControl w:val="0"/>
              <w:spacing w:after="0"/>
              <w:ind w:firstLineChars="0" w:firstLine="0"/>
              <w:rPr>
                <w:rFonts w:ascii="Times New Roman" w:hAnsi="Times New Roman" w:cs="Times New Roman"/>
                <w:sz w:val="22"/>
                <w:szCs w:val="24"/>
              </w:rPr>
            </w:pPr>
            <w:r w:rsidRPr="00F453C6">
              <w:rPr>
                <w:rFonts w:ascii="Times New Roman" w:hAnsi="Times New Roman" w:cs="Times New Roman"/>
                <w:sz w:val="22"/>
                <w:szCs w:val="24"/>
              </w:rPr>
              <w:t>5’-</w:t>
            </w:r>
            <w:r w:rsidR="00042C6D">
              <w:t xml:space="preserve"> </w:t>
            </w:r>
            <w:r w:rsidR="00042C6D" w:rsidRPr="00042C6D">
              <w:rPr>
                <w:rFonts w:ascii="Times New Roman" w:hAnsi="Times New Roman" w:cs="Times New Roman"/>
                <w:sz w:val="22"/>
                <w:szCs w:val="24"/>
              </w:rPr>
              <w:t xml:space="preserve">TCATTCCTACCTTGCACTA </w:t>
            </w:r>
            <w:r w:rsidRPr="00F453C6">
              <w:rPr>
                <w:rFonts w:ascii="Times New Roman" w:hAnsi="Times New Roman" w:cs="Times New Roman"/>
                <w:sz w:val="22"/>
                <w:szCs w:val="24"/>
              </w:rPr>
              <w:t>-3’</w:t>
            </w:r>
          </w:p>
        </w:tc>
      </w:tr>
      <w:tr w:rsidR="00D81DC4" w:rsidRPr="00F453C6" w14:paraId="40ADD74D" w14:textId="77777777" w:rsidTr="00D81DC4">
        <w:tc>
          <w:tcPr>
            <w:tcW w:w="2698" w:type="dxa"/>
            <w:vAlign w:val="center"/>
          </w:tcPr>
          <w:p w14:paraId="26AA0CC0" w14:textId="14BD1F0B" w:rsidR="00D81DC4" w:rsidRPr="00F453C6" w:rsidRDefault="00D81DC4" w:rsidP="00846D22">
            <w:pPr>
              <w:widowControl w:val="0"/>
              <w:spacing w:after="0"/>
              <w:ind w:firstLineChars="0" w:firstLine="0"/>
              <w:jc w:val="center"/>
              <w:rPr>
                <w:rFonts w:ascii="Times New Roman" w:hAnsi="Times New Roman" w:cs="Times New Roman"/>
                <w:sz w:val="22"/>
                <w:szCs w:val="24"/>
              </w:rPr>
            </w:pPr>
            <w:r w:rsidRPr="00F453C6">
              <w:rPr>
                <w:rFonts w:ascii="Times New Roman" w:hAnsi="Times New Roman" w:cs="Times New Roman"/>
                <w:sz w:val="22"/>
                <w:szCs w:val="24"/>
              </w:rPr>
              <w:t>AdipoR1-siRNA#3 sense</w:t>
            </w:r>
          </w:p>
        </w:tc>
        <w:tc>
          <w:tcPr>
            <w:tcW w:w="4678" w:type="dxa"/>
          </w:tcPr>
          <w:p w14:paraId="7EFCBB64" w14:textId="719DED0F" w:rsidR="00D81DC4" w:rsidRPr="00F453C6" w:rsidRDefault="00042C6D" w:rsidP="00846D22">
            <w:pPr>
              <w:widowControl w:val="0"/>
              <w:spacing w:after="0"/>
              <w:ind w:firstLineChars="0" w:firstLine="0"/>
              <w:rPr>
                <w:rFonts w:ascii="Times New Roman" w:hAnsi="Times New Roman" w:cs="Times New Roman"/>
                <w:sz w:val="22"/>
                <w:szCs w:val="24"/>
              </w:rPr>
            </w:pPr>
            <w:r w:rsidRPr="00042C6D">
              <w:rPr>
                <w:rFonts w:ascii="Times New Roman" w:hAnsi="Times New Roman" w:cs="Times New Roman"/>
                <w:sz w:val="22"/>
                <w:szCs w:val="24"/>
              </w:rPr>
              <w:t>5’- TTATATGTTTCGCCCAAAT</w:t>
            </w:r>
            <w:r>
              <w:rPr>
                <w:rFonts w:ascii="Times New Roman" w:hAnsi="Times New Roman" w:cs="Times New Roman"/>
                <w:sz w:val="22"/>
                <w:szCs w:val="24"/>
              </w:rPr>
              <w:t xml:space="preserve"> </w:t>
            </w:r>
            <w:r w:rsidRPr="00F453C6">
              <w:rPr>
                <w:rFonts w:ascii="Times New Roman" w:hAnsi="Times New Roman" w:cs="Times New Roman"/>
                <w:sz w:val="22"/>
                <w:szCs w:val="24"/>
              </w:rPr>
              <w:t>-3’</w:t>
            </w:r>
          </w:p>
        </w:tc>
      </w:tr>
    </w:tbl>
    <w:p w14:paraId="4AD77069" w14:textId="550D1CE0" w:rsidR="00950C2D" w:rsidRDefault="00950C2D" w:rsidP="00D6053D">
      <w:pPr>
        <w:spacing w:after="0"/>
        <w:ind w:firstLineChars="0" w:firstLine="0"/>
        <w:rPr>
          <w:rFonts w:ascii="Times New Roman" w:hAnsi="Times New Roman" w:cs="Times New Roman"/>
          <w:sz w:val="24"/>
          <w:szCs w:val="24"/>
        </w:rPr>
      </w:pPr>
    </w:p>
    <w:sectPr w:rsidR="00950C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70CDF0" w14:textId="77777777" w:rsidR="00BA7D3B" w:rsidRDefault="00BA7D3B" w:rsidP="00A6476B">
      <w:pPr>
        <w:spacing w:after="0" w:line="240" w:lineRule="auto"/>
        <w:ind w:firstLine="420"/>
      </w:pPr>
      <w:r>
        <w:separator/>
      </w:r>
    </w:p>
  </w:endnote>
  <w:endnote w:type="continuationSeparator" w:id="0">
    <w:p w14:paraId="092958B8" w14:textId="77777777" w:rsidR="00BA7D3B" w:rsidRDefault="00BA7D3B" w:rsidP="00A6476B">
      <w:pPr>
        <w:spacing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0C134" w14:textId="77777777" w:rsidR="006128DB" w:rsidRDefault="006128D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BA6F4" w14:textId="77777777" w:rsidR="006128DB" w:rsidRDefault="006128D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0E519" w14:textId="77777777" w:rsidR="006128DB" w:rsidRDefault="006128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1F3B1E" w14:textId="77777777" w:rsidR="00BA7D3B" w:rsidRDefault="00BA7D3B" w:rsidP="00A6476B">
      <w:pPr>
        <w:spacing w:after="0" w:line="240" w:lineRule="auto"/>
        <w:ind w:firstLine="420"/>
      </w:pPr>
      <w:r>
        <w:separator/>
      </w:r>
    </w:p>
  </w:footnote>
  <w:footnote w:type="continuationSeparator" w:id="0">
    <w:p w14:paraId="5EBB3E7A" w14:textId="77777777" w:rsidR="00BA7D3B" w:rsidRDefault="00BA7D3B" w:rsidP="00A6476B">
      <w:pPr>
        <w:spacing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03801" w14:textId="77777777" w:rsidR="006128DB" w:rsidRDefault="006128DB">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6E254" w14:textId="77777777" w:rsidR="006128DB" w:rsidRDefault="006128DB">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6B3D5" w14:textId="77777777" w:rsidR="006128DB" w:rsidRDefault="006128D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tfe92fnvedr2ezpaepsep1w5esrxwxfzve&quot;&gt;Adiponectin&lt;record-ids&gt;&lt;item&gt;68&lt;/item&gt;&lt;item&gt;81&lt;/item&gt;&lt;item&gt;82&lt;/item&gt;&lt;/record-ids&gt;&lt;/item&gt;&lt;/Libraries&gt;"/>
  </w:docVars>
  <w:rsids>
    <w:rsidRoot w:val="00FC5F48"/>
    <w:rsid w:val="0000451F"/>
    <w:rsid w:val="00042C6D"/>
    <w:rsid w:val="0008013F"/>
    <w:rsid w:val="00111465"/>
    <w:rsid w:val="00146047"/>
    <w:rsid w:val="00163FD1"/>
    <w:rsid w:val="0017003D"/>
    <w:rsid w:val="002661DE"/>
    <w:rsid w:val="002773C9"/>
    <w:rsid w:val="002C5E24"/>
    <w:rsid w:val="002F6DFB"/>
    <w:rsid w:val="00376409"/>
    <w:rsid w:val="00411D29"/>
    <w:rsid w:val="004279AA"/>
    <w:rsid w:val="004A3C3A"/>
    <w:rsid w:val="004F16B1"/>
    <w:rsid w:val="004F67D5"/>
    <w:rsid w:val="00506443"/>
    <w:rsid w:val="005C6518"/>
    <w:rsid w:val="005C6DEF"/>
    <w:rsid w:val="006128DB"/>
    <w:rsid w:val="0066291B"/>
    <w:rsid w:val="00702CCE"/>
    <w:rsid w:val="008006F3"/>
    <w:rsid w:val="00846D22"/>
    <w:rsid w:val="00890439"/>
    <w:rsid w:val="00937B11"/>
    <w:rsid w:val="00950C2D"/>
    <w:rsid w:val="009656A5"/>
    <w:rsid w:val="009B2135"/>
    <w:rsid w:val="00A6476B"/>
    <w:rsid w:val="00A93882"/>
    <w:rsid w:val="00AD24B6"/>
    <w:rsid w:val="00BA7D3B"/>
    <w:rsid w:val="00C531A0"/>
    <w:rsid w:val="00D235B9"/>
    <w:rsid w:val="00D35E41"/>
    <w:rsid w:val="00D6053D"/>
    <w:rsid w:val="00D81DC4"/>
    <w:rsid w:val="00DC3050"/>
    <w:rsid w:val="00DF3D1B"/>
    <w:rsid w:val="00E6327B"/>
    <w:rsid w:val="00E72446"/>
    <w:rsid w:val="00EA0270"/>
    <w:rsid w:val="00EA6AE0"/>
    <w:rsid w:val="00EF3DB3"/>
    <w:rsid w:val="00F453C6"/>
    <w:rsid w:val="00F66CE6"/>
    <w:rsid w:val="00F9229E"/>
    <w:rsid w:val="00FC5F48"/>
    <w:rsid w:val="00FE3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62DFA"/>
  <w15:chartTrackingRefBased/>
  <w15:docId w15:val="{A79C2F16-0AA3-4D0F-9B24-307BA62FD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476B"/>
    <w:pPr>
      <w:spacing w:after="160" w:line="360" w:lineRule="auto"/>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476B"/>
    <w:pPr>
      <w:widowControl w:val="0"/>
      <w:pBdr>
        <w:bottom w:val="single" w:sz="6" w:space="1" w:color="auto"/>
      </w:pBdr>
      <w:tabs>
        <w:tab w:val="center" w:pos="4153"/>
        <w:tab w:val="right" w:pos="8306"/>
      </w:tabs>
      <w:snapToGrid w:val="0"/>
      <w:spacing w:after="0" w:line="240" w:lineRule="auto"/>
      <w:ind w:firstLineChars="0" w:firstLine="0"/>
      <w:jc w:val="center"/>
    </w:pPr>
    <w:rPr>
      <w:sz w:val="18"/>
      <w:szCs w:val="18"/>
    </w:rPr>
  </w:style>
  <w:style w:type="character" w:customStyle="1" w:styleId="a4">
    <w:name w:val="页眉 字符"/>
    <w:basedOn w:val="a0"/>
    <w:link w:val="a3"/>
    <w:uiPriority w:val="99"/>
    <w:rsid w:val="00A6476B"/>
    <w:rPr>
      <w:sz w:val="18"/>
      <w:szCs w:val="18"/>
    </w:rPr>
  </w:style>
  <w:style w:type="paragraph" w:styleId="a5">
    <w:name w:val="footer"/>
    <w:basedOn w:val="a"/>
    <w:link w:val="a6"/>
    <w:uiPriority w:val="99"/>
    <w:unhideWhenUsed/>
    <w:rsid w:val="00A6476B"/>
    <w:pPr>
      <w:widowControl w:val="0"/>
      <w:tabs>
        <w:tab w:val="center" w:pos="4153"/>
        <w:tab w:val="right" w:pos="8306"/>
      </w:tabs>
      <w:snapToGrid w:val="0"/>
      <w:spacing w:after="0" w:line="240" w:lineRule="auto"/>
      <w:ind w:firstLineChars="0" w:firstLine="0"/>
      <w:jc w:val="left"/>
    </w:pPr>
    <w:rPr>
      <w:sz w:val="18"/>
      <w:szCs w:val="18"/>
    </w:rPr>
  </w:style>
  <w:style w:type="character" w:customStyle="1" w:styleId="a6">
    <w:name w:val="页脚 字符"/>
    <w:basedOn w:val="a0"/>
    <w:link w:val="a5"/>
    <w:uiPriority w:val="99"/>
    <w:rsid w:val="00A6476B"/>
    <w:rPr>
      <w:sz w:val="18"/>
      <w:szCs w:val="18"/>
    </w:rPr>
  </w:style>
  <w:style w:type="character" w:styleId="a7">
    <w:name w:val="Hyperlink"/>
    <w:basedOn w:val="a0"/>
    <w:uiPriority w:val="99"/>
    <w:unhideWhenUsed/>
    <w:rsid w:val="00A6476B"/>
    <w:rPr>
      <w:color w:val="0563C1" w:themeColor="hyperlink"/>
      <w:u w:val="single"/>
    </w:rPr>
  </w:style>
  <w:style w:type="paragraph" w:customStyle="1" w:styleId="EndNoteBibliographyTitle">
    <w:name w:val="EndNote Bibliography Title"/>
    <w:basedOn w:val="a"/>
    <w:link w:val="EndNoteBibliographyTitle0"/>
    <w:rsid w:val="00A6476B"/>
    <w:pPr>
      <w:spacing w:after="0"/>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6476B"/>
    <w:rPr>
      <w:rFonts w:ascii="等线" w:eastAsia="等线" w:hAnsi="等线"/>
      <w:noProof/>
      <w:sz w:val="20"/>
    </w:rPr>
  </w:style>
  <w:style w:type="paragraph" w:customStyle="1" w:styleId="EndNoteBibliography">
    <w:name w:val="EndNote Bibliography"/>
    <w:basedOn w:val="a"/>
    <w:link w:val="EndNoteBibliography0"/>
    <w:rsid w:val="00A6476B"/>
    <w:pPr>
      <w:spacing w:line="240" w:lineRule="auto"/>
    </w:pPr>
    <w:rPr>
      <w:rFonts w:ascii="等线" w:eastAsia="等线" w:hAnsi="等线"/>
      <w:noProof/>
      <w:sz w:val="20"/>
    </w:rPr>
  </w:style>
  <w:style w:type="character" w:customStyle="1" w:styleId="EndNoteBibliography0">
    <w:name w:val="EndNote Bibliography 字符"/>
    <w:basedOn w:val="a0"/>
    <w:link w:val="EndNoteBibliography"/>
    <w:rsid w:val="00A6476B"/>
    <w:rPr>
      <w:rFonts w:ascii="等线" w:eastAsia="等线" w:hAnsi="等线"/>
      <w:noProof/>
      <w:sz w:val="20"/>
    </w:rPr>
  </w:style>
  <w:style w:type="table" w:styleId="a8">
    <w:name w:val="Table Grid"/>
    <w:basedOn w:val="a1"/>
    <w:uiPriority w:val="39"/>
    <w:rsid w:val="005C6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42C6D"/>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11</Pages>
  <Words>2001</Words>
  <Characters>11412</Characters>
  <Application>Microsoft Office Word</Application>
  <DocSecurity>0</DocSecurity>
  <Lines>95</Lines>
  <Paragraphs>26</Paragraphs>
  <ScaleCrop>false</ScaleCrop>
  <Company/>
  <LinksUpToDate>false</LinksUpToDate>
  <CharactersWithSpaces>13387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zongmeng</dc:creator>
  <cp:keywords/>
  <dc:description/>
  <cp:lastModifiedBy>zhang zongmeng</cp:lastModifiedBy>
  <cp:revision>18</cp:revision>
  <dcterms:created xsi:type="dcterms:W3CDTF">2021-08-27T08:09:00Z</dcterms:created>
  <dcterms:modified xsi:type="dcterms:W3CDTF">2021-11-11T07:31:00Z</dcterms:modified>
</cp:coreProperties>
</file>