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E61B" w14:textId="77777777" w:rsidR="00770A9D" w:rsidRDefault="00770A9D" w:rsidP="00770A9D">
      <w:pPr>
        <w:spacing w:before="240" w:after="140" w:line="480" w:lineRule="auto"/>
      </w:pPr>
      <w:r>
        <w:rPr>
          <w:b/>
          <w:bCs/>
        </w:rPr>
        <w:t>Supplementary Information</w:t>
      </w:r>
    </w:p>
    <w:p w14:paraId="11FD6BDC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1 </w:t>
      </w:r>
      <w:r>
        <w:t>(ESM_1.xlsx) Redocking validation of the docking protocol, giving heavy-atom RMSD relative to the crystallographic pose for each co-crystallized ligand across all Epik-generated protonation states at both Standard and Extra Precision, together with the regional RMSD analysis of the SRC ligand MPZ.</w:t>
      </w:r>
    </w:p>
    <w:p w14:paraId="421F866D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2 </w:t>
      </w:r>
      <w:r>
        <w:t>(ESM_2.xlsx) SwissADME physicochemical, drug-likeness and pharmacokinetic predictions for every compound identified in the ethyl acetate, n-butanol and residue fractions, with the violation counts across the Lipinski, Ghose, Veber, Egan and Muegge rules on which prioritization was based.</w:t>
      </w:r>
    </w:p>
    <w:p w14:paraId="4E74E395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3 </w:t>
      </w:r>
      <w:r>
        <w:t>(ESM_3.xlsx) Top 10 hub genes for each fraction ranked by Maximal Clique Centrality (CytoHubba), with MCC score and node degree.</w:t>
      </w:r>
    </w:p>
    <w:p w14:paraId="754B98C0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4 </w:t>
      </w:r>
      <w:r>
        <w:t>(ESM_4.xlsx) KEGG pathway enrichment results for each solvent fraction (ShinyGO v0.85.1; top 50 pathways by FDR), giving fold enrichment, gene counts, pathway size, FDR and the overlapping genes.</w:t>
      </w:r>
    </w:p>
    <w:p w14:paraId="703004D8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5 </w:t>
      </w:r>
      <w:r>
        <w:t>(ESM_5.xlsx) Glide Standard Precision and Extra Precision docking scores for the eleven prioritized phytochemicals and the five matched reference inhibitors at each of the five hub gene targets, with PubChem CIDs.</w:t>
      </w:r>
    </w:p>
    <w:p w14:paraId="7D36BF7C" w14:textId="77777777" w:rsidR="00770A9D" w:rsidRDefault="00770A9D" w:rsidP="00770A9D">
      <w:pPr>
        <w:spacing w:after="160" w:line="480" w:lineRule="auto"/>
        <w:jc w:val="both"/>
      </w:pPr>
      <w:r>
        <w:rPr>
          <w:b/>
          <w:bCs/>
        </w:rPr>
        <w:t xml:space="preserve">Online Resource 6 </w:t>
      </w:r>
      <w:r>
        <w:t>(ESM_6.pdf) Superimposition of the crystallographic and redocked poses of the co-crystallized ligand MPZ in the SRC kinase ATP site (PDB 1Y57), showing close reproduction of the central binding scaffold alongside divergence at the solvent-exposed peripheral and piperazine-containing portions, and retention of the Met341 hinge hydrogen bond.</w:t>
      </w:r>
    </w:p>
    <w:p w14:paraId="52064D73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9D"/>
    <w:rsid w:val="003C2EF4"/>
    <w:rsid w:val="00446799"/>
    <w:rsid w:val="00471820"/>
    <w:rsid w:val="006A7E07"/>
    <w:rsid w:val="00701021"/>
    <w:rsid w:val="00770A9D"/>
    <w:rsid w:val="00866E40"/>
    <w:rsid w:val="00B44981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08B3"/>
  <w15:chartTrackingRefBased/>
  <w15:docId w15:val="{74F55A9C-FC71-4D73-9406-38CE3EE2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9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0A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A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A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A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A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A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A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A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A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A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A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A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A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A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0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A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0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A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0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A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0A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A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A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A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Company>Springer Nature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2026-10-22T05:51:00Z</dcterms:created>
  <dcterms:modified xsi:type="dcterms:W3CDTF">2026-10-22T05:51:00Z</dcterms:modified>
</cp:coreProperties>
</file>