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GRIDGUARD-AI — Supplementary Research Summary</w:t>
      </w:r>
    </w:p>
    <w:p>
      <w:pPr>
        <w:pStyle w:val="Subtitle"/>
      </w:pPr>
      <w:r>
        <w:t>Supplementary File S1 | Manuscript-reported evaluation design, scenario outcomes, assurance metrics and agent execution evidence</w:t>
      </w:r>
    </w:p>
    <w:p>
      <w:r>
        <w:t>Associated preprint: GRIDGUARD-AI: Scenario-Held-Out Cyberattack Detection with Explainable Assurance and Bounded Agentic Investigation</w:t>
      </w:r>
    </w:p>
    <w:p>
      <w:r>
        <w:t>Authors: Stephen Kamran and Farah Saman</w:t>
      </w:r>
    </w:p>
    <w:p>
      <w:pPr>
        <w:pStyle w:val="Heading1"/>
      </w:pPr>
      <w:r>
        <w:t>Scope and provenance</w:t>
      </w:r>
    </w:p>
    <w:p>
      <w:r>
        <w:t>This supplement transcribes and organizes aggregate values and methodological descriptions from the authors’ uploaded GRIDGUARD-AI preprint manuscript (Research Square author version, October 2026). It does not contain raw Data4Cyber records, independently rerun experiments, trained models, executable scripts, prediction-level outputs, or agent logs. The reported figures should be interpreted as manuscript-reported results, not independently reproduced findings. Tables preserve the manuscript’s numerical values.</w:t>
      </w:r>
    </w:p>
    <w:p>
      <w:pPr>
        <w:pStyle w:val="Heading1"/>
      </w:pPr>
      <w:r>
        <w:t>S1. Evaluation design</w:t>
      </w:r>
    </w:p>
    <w:p>
      <w:pPr>
        <w:pStyle w:val="Heading2"/>
      </w:pPr>
      <w:r>
        <w:t>Table I — Data4Cyber evaluation design</w:t>
      </w:r>
    </w:p>
    <w:tbl>
      <w:tblPr>
        <w:tblStyle w:val="LightShading-Accent1"/>
        <w:tblW w:type="auto" w:w="0"/>
        <w:jc w:val="center"/>
        <w:tblLook w:firstColumn="1" w:firstRow="1" w:lastColumn="0" w:lastRow="0" w:noHBand="0" w:noVBand="1" w:val="04A0"/>
      </w:tblPr>
      <w:tblGrid>
        <w:gridCol w:w="4968"/>
        <w:gridCol w:w="4968"/>
      </w:tblGrid>
      <w:tr>
        <w:tc>
          <w:tcPr>
            <w:tcW w:type="dxa" w:w="4968"/>
          </w:tcPr>
          <w:p>
            <w:r>
              <w:t>Quantity</w:t>
            </w:r>
          </w:p>
        </w:tc>
        <w:tc>
          <w:tcPr>
            <w:tcW w:type="dxa" w:w="4968"/>
          </w:tcPr>
          <w:p>
            <w:r>
              <w:t>Setting</w:t>
            </w:r>
          </w:p>
        </w:tc>
      </w:tr>
      <w:tr>
        <w:tc>
          <w:tcPr>
            <w:tcW w:type="dxa" w:w="4968"/>
          </w:tcPr>
          <w:p>
            <w:r>
              <w:t>Scenarios / test windows</w:t>
            </w:r>
          </w:p>
        </w:tc>
        <w:tc>
          <w:tcPr>
            <w:tcW w:type="dxa" w:w="4968"/>
          </w:tcPr>
          <w:p>
            <w:r>
              <w:t>8 / 14,202</w:t>
            </w:r>
          </w:p>
        </w:tc>
      </w:tr>
      <w:tr>
        <w:tc>
          <w:tcPr>
            <w:tcW w:type="dxa" w:w="4968"/>
          </w:tcPr>
          <w:p>
            <w:r>
              <w:t>Input window / variables</w:t>
            </w:r>
          </w:p>
        </w:tc>
        <w:tc>
          <w:tcPr>
            <w:tcW w:type="dxa" w:w="4968"/>
          </w:tcPr>
          <w:p>
            <w:r>
              <w:t>20 steps / 141</w:t>
            </w:r>
          </w:p>
        </w:tc>
      </w:tr>
      <w:tr>
        <w:tc>
          <w:tcPr>
            <w:tcW w:type="dxa" w:w="4968"/>
          </w:tcPr>
          <w:p>
            <w:r>
              <w:t>TCN ensemble</w:t>
            </w:r>
          </w:p>
        </w:tc>
        <w:tc>
          <w:tcPr>
            <w:tcW w:type="dxa" w:w="4968"/>
          </w:tcPr>
          <w:p>
            <w:r>
              <w:t>3 seeds × 8 folds</w:t>
            </w:r>
          </w:p>
        </w:tc>
      </w:tr>
      <w:tr>
        <w:tc>
          <w:tcPr>
            <w:tcW w:type="dxa" w:w="4968"/>
          </w:tcPr>
          <w:p>
            <w:r>
              <w:t>RF / AE</w:t>
            </w:r>
          </w:p>
        </w:tc>
        <w:tc>
          <w:tcPr>
            <w:tcW w:type="dxa" w:w="4968"/>
          </w:tcPr>
          <w:p>
            <w:r>
              <w:t>8 LOSO folds each</w:t>
            </w:r>
          </w:p>
        </w:tc>
      </w:tr>
      <w:tr>
        <w:tc>
          <w:tcPr>
            <w:tcW w:type="dxa" w:w="4968"/>
          </w:tcPr>
          <w:p>
            <w:r>
              <w:t>Data partitions</w:t>
            </w:r>
          </w:p>
        </w:tc>
        <w:tc>
          <w:tcPr>
            <w:tcW w:type="dxa" w:w="4968"/>
          </w:tcPr>
          <w:p>
            <w:r>
              <w:t>Chronological; purge = 19</w:t>
            </w:r>
          </w:p>
        </w:tc>
      </w:tr>
    </w:tbl>
    <w:p>
      <w:r>
        <w:t>Source: GRIDGUARD-AI author manuscript, Table I.</w:t>
      </w:r>
    </w:p>
    <w:p>
      <w:r>
        <w:t>The manuscript describes 14,354 raw samples from eight scenario variants, 20-step rolling windows, 141 channels, scenario-level leave-one-out testing, and chronological train/validation partitions with a 19-step purge. Window-level observations are overlapping and must not be interpreted as independent incidents.</w:t>
      </w:r>
    </w:p>
    <w:p>
      <w:pPr>
        <w:pStyle w:val="Heading1"/>
      </w:pPr>
      <w:r>
        <w:t>S2. Scenario-held-out discrimination</w:t>
      </w:r>
    </w:p>
    <w:p>
      <w:pPr>
        <w:pStyle w:val="Heading2"/>
      </w:pPr>
      <w:r>
        <w:t>Table II — Scenario-held-out discrimination</w:t>
      </w:r>
    </w:p>
    <w:tbl>
      <w:tblPr>
        <w:tblStyle w:val="LightShading-Accent1"/>
        <w:tblW w:type="auto" w:w="0"/>
        <w:jc w:val="center"/>
        <w:tblLook w:firstColumn="1" w:firstRow="1" w:lastColumn="0" w:lastRow="0" w:noHBand="0" w:noVBand="1" w:val="04A0"/>
      </w:tblPr>
      <w:tblGrid>
        <w:gridCol w:w="2484"/>
        <w:gridCol w:w="2484"/>
        <w:gridCol w:w="2484"/>
        <w:gridCol w:w="2484"/>
      </w:tblGrid>
      <w:tr>
        <w:tc>
          <w:tcPr>
            <w:tcW w:type="dxa" w:w="2484"/>
          </w:tcPr>
          <w:p>
            <w:r>
              <w:t>Holdout</w:t>
            </w:r>
          </w:p>
        </w:tc>
        <w:tc>
          <w:tcPr>
            <w:tcW w:type="dxa" w:w="2484"/>
          </w:tcPr>
          <w:p>
            <w:r>
              <w:t>RF AUC</w:t>
            </w:r>
          </w:p>
        </w:tc>
        <w:tc>
          <w:tcPr>
            <w:tcW w:type="dxa" w:w="2484"/>
          </w:tcPr>
          <w:p>
            <w:r>
              <w:t>TCN AUC</w:t>
            </w:r>
          </w:p>
        </w:tc>
        <w:tc>
          <w:tcPr>
            <w:tcW w:type="dxa" w:w="2484"/>
          </w:tcPr>
          <w:p>
            <w:r>
              <w:t>AE rec.</w:t>
            </w:r>
          </w:p>
        </w:tc>
      </w:tr>
      <w:tr>
        <w:tc>
          <w:tcPr>
            <w:tcW w:type="dxa" w:w="2484"/>
          </w:tcPr>
          <w:p>
            <w:r>
              <w:t>S1 PV</w:t>
            </w:r>
          </w:p>
        </w:tc>
        <w:tc>
          <w:tcPr>
            <w:tcW w:type="dxa" w:w="2484"/>
          </w:tcPr>
          <w:p>
            <w:r>
              <w:t>0.346</w:t>
            </w:r>
          </w:p>
        </w:tc>
        <w:tc>
          <w:tcPr>
            <w:tcW w:type="dxa" w:w="2484"/>
          </w:tcPr>
          <w:p>
            <w:r>
              <w:t>0.162</w:t>
            </w:r>
          </w:p>
        </w:tc>
        <w:tc>
          <w:tcPr>
            <w:tcW w:type="dxa" w:w="2484"/>
          </w:tcPr>
          <w:p>
            <w:r>
              <w:t>30.0%</w:t>
            </w:r>
          </w:p>
        </w:tc>
      </w:tr>
      <w:tr>
        <w:tc>
          <w:tcPr>
            <w:tcW w:type="dxa" w:w="2484"/>
          </w:tcPr>
          <w:p>
            <w:r>
              <w:t>S1 PV alt</w:t>
            </w:r>
          </w:p>
        </w:tc>
        <w:tc>
          <w:tcPr>
            <w:tcW w:type="dxa" w:w="2484"/>
          </w:tcPr>
          <w:p>
            <w:r>
              <w:t>0.807</w:t>
            </w:r>
          </w:p>
        </w:tc>
        <w:tc>
          <w:tcPr>
            <w:tcW w:type="dxa" w:w="2484"/>
          </w:tcPr>
          <w:p>
            <w:r>
              <w:t>0.756</w:t>
            </w:r>
          </w:p>
        </w:tc>
        <w:tc>
          <w:tcPr>
            <w:tcW w:type="dxa" w:w="2484"/>
          </w:tcPr>
          <w:p>
            <w:r>
              <w:t>10.3%</w:t>
            </w:r>
          </w:p>
        </w:tc>
      </w:tr>
      <w:tr>
        <w:tc>
          <w:tcPr>
            <w:tcW w:type="dxa" w:w="2484"/>
          </w:tcPr>
          <w:p>
            <w:r>
              <w:t>S2 BSS</w:t>
            </w:r>
          </w:p>
        </w:tc>
        <w:tc>
          <w:tcPr>
            <w:tcW w:type="dxa" w:w="2484"/>
          </w:tcPr>
          <w:p>
            <w:r>
              <w:t>0.727</w:t>
            </w:r>
          </w:p>
        </w:tc>
        <w:tc>
          <w:tcPr>
            <w:tcW w:type="dxa" w:w="2484"/>
          </w:tcPr>
          <w:p>
            <w:r>
              <w:t>0.673</w:t>
            </w:r>
          </w:p>
        </w:tc>
        <w:tc>
          <w:tcPr>
            <w:tcW w:type="dxa" w:w="2484"/>
          </w:tcPr>
          <w:p>
            <w:r>
              <w:t>9.3%</w:t>
            </w:r>
          </w:p>
        </w:tc>
      </w:tr>
      <w:tr>
        <w:tc>
          <w:tcPr>
            <w:tcW w:type="dxa" w:w="2484"/>
          </w:tcPr>
          <w:p>
            <w:r>
              <w:t>S4 ARP/PV</w:t>
            </w:r>
          </w:p>
        </w:tc>
        <w:tc>
          <w:tcPr>
            <w:tcW w:type="dxa" w:w="2484"/>
          </w:tcPr>
          <w:p>
            <w:r>
              <w:t>0.839</w:t>
            </w:r>
          </w:p>
        </w:tc>
        <w:tc>
          <w:tcPr>
            <w:tcW w:type="dxa" w:w="2484"/>
          </w:tcPr>
          <w:p>
            <w:r>
              <w:t>0.517</w:t>
            </w:r>
          </w:p>
        </w:tc>
        <w:tc>
          <w:tcPr>
            <w:tcW w:type="dxa" w:w="2484"/>
          </w:tcPr>
          <w:p>
            <w:r>
              <w:t>90.5%</w:t>
            </w:r>
          </w:p>
        </w:tc>
      </w:tr>
      <w:tr>
        <w:tc>
          <w:tcPr>
            <w:tcW w:type="dxa" w:w="2484"/>
          </w:tcPr>
          <w:p>
            <w:r>
              <w:t>S5 ARP/PV/BSS</w:t>
            </w:r>
          </w:p>
        </w:tc>
        <w:tc>
          <w:tcPr>
            <w:tcW w:type="dxa" w:w="2484"/>
          </w:tcPr>
          <w:p>
            <w:r>
              <w:t>0.886</w:t>
            </w:r>
          </w:p>
        </w:tc>
        <w:tc>
          <w:tcPr>
            <w:tcW w:type="dxa" w:w="2484"/>
          </w:tcPr>
          <w:p>
            <w:r>
              <w:t>0.815</w:t>
            </w:r>
          </w:p>
        </w:tc>
        <w:tc>
          <w:tcPr>
            <w:tcW w:type="dxa" w:w="2484"/>
          </w:tcPr>
          <w:p>
            <w:r>
              <w:t>53.1%</w:t>
            </w:r>
          </w:p>
        </w:tc>
      </w:tr>
      <w:tr>
        <w:tc>
          <w:tcPr>
            <w:tcW w:type="dxa" w:w="2484"/>
          </w:tcPr>
          <w:p>
            <w:r>
              <w:t>S6 MQTT</w:t>
            </w:r>
          </w:p>
        </w:tc>
        <w:tc>
          <w:tcPr>
            <w:tcW w:type="dxa" w:w="2484"/>
          </w:tcPr>
          <w:p>
            <w:r>
              <w:t>0.953</w:t>
            </w:r>
          </w:p>
        </w:tc>
        <w:tc>
          <w:tcPr>
            <w:tcW w:type="dxa" w:w="2484"/>
          </w:tcPr>
          <w:p>
            <w:r>
              <w:t>0.812</w:t>
            </w:r>
          </w:p>
        </w:tc>
        <w:tc>
          <w:tcPr>
            <w:tcW w:type="dxa" w:w="2484"/>
          </w:tcPr>
          <w:p>
            <w:r>
              <w:t>100%</w:t>
            </w:r>
          </w:p>
        </w:tc>
      </w:tr>
      <w:tr>
        <w:tc>
          <w:tcPr>
            <w:tcW w:type="dxa" w:w="2484"/>
          </w:tcPr>
          <w:p>
            <w:r>
              <w:t>S0 benign</w:t>
            </w:r>
          </w:p>
        </w:tc>
        <w:tc>
          <w:tcPr>
            <w:tcW w:type="dxa" w:w="2484"/>
          </w:tcPr>
          <w:p>
            <w:r>
              <w:t>N/A</w:t>
            </w:r>
          </w:p>
        </w:tc>
        <w:tc>
          <w:tcPr>
            <w:tcW w:type="dxa" w:w="2484"/>
          </w:tcPr>
          <w:p>
            <w:r>
              <w:t>N/A</w:t>
            </w:r>
          </w:p>
        </w:tc>
        <w:tc>
          <w:tcPr>
            <w:tcW w:type="dxa" w:w="2484"/>
          </w:tcPr>
          <w:p>
            <w:r>
              <w:t>N/A (no attacks)</w:t>
            </w:r>
          </w:p>
        </w:tc>
      </w:tr>
      <w:tr>
        <w:tc>
          <w:tcPr>
            <w:tcW w:type="dxa" w:w="2484"/>
          </w:tcPr>
          <w:p>
            <w:r>
              <w:t>S3 ARP/BSS</w:t>
            </w:r>
          </w:p>
        </w:tc>
        <w:tc>
          <w:tcPr>
            <w:tcW w:type="dxa" w:w="2484"/>
          </w:tcPr>
          <w:p>
            <w:r>
              <w:t>N/A</w:t>
            </w:r>
          </w:p>
        </w:tc>
        <w:tc>
          <w:tcPr>
            <w:tcW w:type="dxa" w:w="2484"/>
          </w:tcPr>
          <w:p>
            <w:r>
              <w:t>N/A</w:t>
            </w:r>
          </w:p>
        </w:tc>
        <w:tc>
          <w:tcPr>
            <w:tcW w:type="dxa" w:w="2484"/>
          </w:tcPr>
          <w:p>
            <w:r>
              <w:t>0.06%</w:t>
            </w:r>
          </w:p>
        </w:tc>
      </w:tr>
    </w:tbl>
    <w:p>
      <w:r>
        <w:t>Source: GRIDGUARD-AI author manuscript, Table II.</w:t>
      </w:r>
    </w:p>
    <w:p>
      <w:r>
        <w:t>AUC is undefined for held-out folds with only one outcome class. Autoencoder reconstruction recall measures the flagged proportion among attacks and is not interchangeable with calibrated attack probability. The reported RF and TCN test AUCs vary substantially across held-out scenarios.</w:t>
      </w:r>
    </w:p>
    <w:p>
      <w:pPr>
        <w:pStyle w:val="Heading1"/>
      </w:pPr>
      <w:r>
        <w:t>S3. Exploratory assurance outcomes</w:t>
      </w:r>
    </w:p>
    <w:p>
      <w:pPr>
        <w:pStyle w:val="Heading2"/>
      </w:pPr>
      <w:r>
        <w:t>Table III — Exploratory assurance outcomes</w:t>
      </w:r>
    </w:p>
    <w:tbl>
      <w:tblPr>
        <w:tblStyle w:val="LightShading-Accent1"/>
        <w:tblW w:type="auto" w:w="0"/>
        <w:jc w:val="center"/>
        <w:tblLook w:firstColumn="1" w:firstRow="1" w:lastColumn="0" w:lastRow="0" w:noHBand="0" w:noVBand="1" w:val="04A0"/>
      </w:tblPr>
      <w:tblGrid>
        <w:gridCol w:w="4968"/>
        <w:gridCol w:w="4968"/>
      </w:tblGrid>
      <w:tr>
        <w:tc>
          <w:tcPr>
            <w:tcW w:type="dxa" w:w="4968"/>
          </w:tcPr>
          <w:p>
            <w:r>
              <w:t>Outcome / metric</w:t>
            </w:r>
          </w:p>
        </w:tc>
        <w:tc>
          <w:tcPr>
            <w:tcW w:type="dxa" w:w="4968"/>
          </w:tcPr>
          <w:p>
            <w:r>
              <w:t>Result</w:t>
            </w:r>
          </w:p>
        </w:tc>
      </w:tr>
      <w:tr>
        <w:tc>
          <w:tcPr>
            <w:tcW w:type="dxa" w:w="4968"/>
          </w:tcPr>
          <w:p>
            <w:r>
              <w:t>SAFE / AUTO ALERT</w:t>
            </w:r>
          </w:p>
        </w:tc>
        <w:tc>
          <w:tcPr>
            <w:tcW w:type="dxa" w:w="4968"/>
          </w:tcPr>
          <w:p>
            <w:r>
              <w:t>1,697 / 501</w:t>
            </w:r>
          </w:p>
        </w:tc>
      </w:tr>
      <w:tr>
        <w:tc>
          <w:tcPr>
            <w:tcW w:type="dxa" w:w="4968"/>
          </w:tcPr>
          <w:p>
            <w:r>
              <w:t>HUMAN REVIEW</w:t>
            </w:r>
          </w:p>
        </w:tc>
        <w:tc>
          <w:tcPr>
            <w:tcW w:type="dxa" w:w="4968"/>
          </w:tcPr>
          <w:p>
            <w:r>
              <w:t>12,004 (84.52%)</w:t>
            </w:r>
          </w:p>
        </w:tc>
      </w:tr>
      <w:tr>
        <w:tc>
          <w:tcPr>
            <w:tcW w:type="dxa" w:w="4968"/>
          </w:tcPr>
          <w:p>
            <w:r>
              <w:t>Attack false-SAFE</w:t>
            </w:r>
          </w:p>
        </w:tc>
        <w:tc>
          <w:tcPr>
            <w:tcW w:type="dxa" w:w="4968"/>
          </w:tcPr>
          <w:p>
            <w:r>
              <w:t>138 / 8,455 (1.63%)</w:t>
            </w:r>
          </w:p>
        </w:tc>
      </w:tr>
      <w:tr>
        <w:tc>
          <w:tcPr>
            <w:tcW w:type="dxa" w:w="4968"/>
          </w:tcPr>
          <w:p>
            <w:r>
              <w:t>Attack escalation</w:t>
            </w:r>
          </w:p>
        </w:tc>
        <w:tc>
          <w:tcPr>
            <w:tcW w:type="dxa" w:w="4968"/>
          </w:tcPr>
          <w:p>
            <w:r>
              <w:t>98.37%</w:t>
            </w:r>
          </w:p>
        </w:tc>
      </w:tr>
      <w:tr>
        <w:tc>
          <w:tcPr>
            <w:tcW w:type="dxa" w:w="4968"/>
          </w:tcPr>
          <w:p>
            <w:r>
              <w:t>Benign SAFE release</w:t>
            </w:r>
          </w:p>
        </w:tc>
        <w:tc>
          <w:tcPr>
            <w:tcW w:type="dxa" w:w="4968"/>
          </w:tcPr>
          <w:p>
            <w:r>
              <w:t>27.13%</w:t>
            </w:r>
          </w:p>
        </w:tc>
      </w:tr>
      <w:tr>
        <w:tc>
          <w:tcPr>
            <w:tcW w:type="dxa" w:w="4968"/>
          </w:tcPr>
          <w:p>
            <w:r/>
          </w:p>
        </w:tc>
        <w:tc>
          <w:tcPr>
            <w:tcW w:type="dxa" w:w="4968"/>
          </w:tcPr>
          <w:p>
            <w:r/>
          </w:p>
        </w:tc>
      </w:tr>
    </w:tbl>
    <w:p>
      <w:r>
        <w:t>Source: GRIDGUARD-AI author manuscript, Table III.</w:t>
      </w:r>
    </w:p>
    <w:p>
      <w:r>
        <w:t>Mathematical consistency checks on the reported counts: 1,697 + 501 + 12,004 = 14,202 windows; 138 / 8,455 = 1.6322% attack false-SAFE; (8,455 − 138) / 8,455 = 98.3678% routed to AUTO ALERT or HUMAN REVIEW; 12,004 / 14,202 = 84.5233% HUMAN REVIEW. These are arithmetic checks, not a rerun of detector predictions.</w:t>
      </w:r>
    </w:p>
    <w:p>
      <w:r>
        <w:t>Crucial interpretation: “Attack escalation” means an alert OR referral for simulated human review, not automated attack detection or incident mitigation. The manuscript explicitly acknowledges test-informed/post-hoc revision of assurance thresholds, so these policy rates are exploratory, not prospective unbiased safety guarantees.</w:t>
      </w:r>
    </w:p>
    <w:p>
      <w:pPr>
        <w:pStyle w:val="Heading1"/>
      </w:pPr>
      <w:r>
        <w:t>S4. Bounded agent execution</w:t>
      </w:r>
    </w:p>
    <w:p>
      <w:pPr>
        <w:pStyle w:val="Heading2"/>
      </w:pPr>
      <w:r>
        <w:t>Table IV — Agent execution and audit</w:t>
      </w:r>
    </w:p>
    <w:tbl>
      <w:tblPr>
        <w:tblStyle w:val="LightShading-Accent1"/>
        <w:tblW w:type="auto" w:w="0"/>
        <w:jc w:val="center"/>
        <w:tblLook w:firstColumn="1" w:firstRow="1" w:lastColumn="0" w:lastRow="0" w:noHBand="0" w:noVBand="1" w:val="04A0"/>
      </w:tblPr>
      <w:tblGrid>
        <w:gridCol w:w="4968"/>
        <w:gridCol w:w="4968"/>
      </w:tblGrid>
      <w:tr>
        <w:tc>
          <w:tcPr>
            <w:tcW w:type="dxa" w:w="4968"/>
          </w:tcPr>
          <w:p>
            <w:r>
              <w:t>Agent evaluation</w:t>
            </w:r>
          </w:p>
        </w:tc>
        <w:tc>
          <w:tcPr>
            <w:tcW w:type="dxa" w:w="4968"/>
          </w:tcPr>
          <w:p>
            <w:r>
              <w:t>Observed</w:t>
            </w:r>
          </w:p>
        </w:tc>
      </w:tr>
      <w:tr>
        <w:tc>
          <w:tcPr>
            <w:tcW w:type="dxa" w:w="4968"/>
          </w:tcPr>
          <w:p>
            <w:r>
              <w:t>Sequential workflow</w:t>
            </w:r>
          </w:p>
        </w:tc>
        <w:tc>
          <w:tcPr>
            <w:tcW w:type="dxa" w:w="4968"/>
          </w:tcPr>
          <w:p>
            <w:r>
              <w:t>24/24 after retries</w:t>
            </w:r>
          </w:p>
        </w:tc>
      </w:tr>
      <w:tr>
        <w:tc>
          <w:tcPr>
            <w:tcW w:type="dxa" w:w="4968"/>
          </w:tcPr>
          <w:p>
            <w:r>
              <w:t>Tool-driven scenario probes</w:t>
            </w:r>
          </w:p>
        </w:tc>
        <w:tc>
          <w:tcPr>
            <w:tcW w:type="dxa" w:w="4968"/>
          </w:tcPr>
          <w:p>
            <w:r>
              <w:t>8/8 successful</w:t>
            </w:r>
          </w:p>
        </w:tc>
      </w:tr>
      <w:tr>
        <w:tc>
          <w:tcPr>
            <w:tcW w:type="dxa" w:w="4968"/>
          </w:tcPr>
          <w:p>
            <w:r>
              <w:t>RF TreeSHAP</w:t>
            </w:r>
          </w:p>
        </w:tc>
        <w:tc>
          <w:tcPr>
            <w:tcW w:type="dxa" w:w="4968"/>
          </w:tcPr>
          <w:p>
            <w:r>
              <w:t>1 reconstructed case</w:t>
            </w:r>
          </w:p>
        </w:tc>
      </w:tr>
      <w:tr>
        <w:tc>
          <w:tcPr>
            <w:tcW w:type="dxa" w:w="4968"/>
          </w:tcPr>
          <w:p>
            <w:r>
              <w:t>Grid actuation / human trials</w:t>
            </w:r>
          </w:p>
        </w:tc>
        <w:tc>
          <w:tcPr>
            <w:tcW w:type="dxa" w:w="4968"/>
          </w:tcPr>
          <w:p>
            <w:r>
              <w:t>None / none</w:t>
            </w:r>
          </w:p>
        </w:tc>
      </w:tr>
    </w:tbl>
    <w:p>
      <w:r>
        <w:t>Source: GRIDGUARD-AI author manuscript, Table IV.</w:t>
      </w:r>
    </w:p>
    <w:p>
      <w:r>
        <w:t>The sequential 24/24 executions required API quota-related retries; 8/8 function-calling probes indicate workflow execution rather than validated cyber-forensic accuracy. Only one RF TreeSHAP case was reconstructed. There were no live operator trials or autonomous grid actuation.</w:t>
      </w:r>
    </w:p>
    <w:p>
      <w:pPr>
        <w:pStyle w:val="Heading1"/>
      </w:pPr>
      <w:r>
        <w:t>S5. Selected experimental configuration</w:t>
      </w:r>
    </w:p>
    <w:p>
      <w:pPr>
        <w:pStyle w:val="ListBullet"/>
      </w:pPr>
      <w:r>
        <w:t>RF: 120 trees; maximum depth 18; balanced classes; minimum leaf size 2.</w:t>
      </w:r>
    </w:p>
    <w:p>
      <w:pPr>
        <w:pStyle w:val="ListBullet"/>
      </w:pPr>
      <w:r>
        <w:t>TCN: three training seeds (11, 42, 77); early stopping; maximum 25 epochs.</w:t>
      </w:r>
    </w:p>
    <w:p>
      <w:pPr>
        <w:pStyle w:val="ListBullet"/>
      </w:pPr>
      <w:r>
        <w:t>AE: fitted on benign training examples; validation-based 95th-percentile anomaly flag.</w:t>
      </w:r>
    </w:p>
    <w:p>
      <w:pPr>
        <w:pStyle w:val="ListBullet"/>
      </w:pPr>
      <w:r>
        <w:t>Assurance policy: SAFE, AUTO ALERT, or HUMAN REVIEW based on RF/TCN scores and AE flag; gate verdict cannot be overridden by language-model tools.</w:t>
      </w:r>
    </w:p>
    <w:p>
      <w:pPr>
        <w:pStyle w:val="ListBullet"/>
      </w:pPr>
      <w:r>
        <w:t>Policy thresholds: score cutoffs based on 5th and 95th percentiles of benign validation scores, with post-hoc refinement disclosed in the manuscript.</w:t>
      </w:r>
    </w:p>
    <w:p>
      <w:pPr>
        <w:pStyle w:val="Heading1"/>
      </w:pPr>
      <w:r>
        <w:t>S6. Reuse, data attribution, and limitations</w:t>
      </w:r>
    </w:p>
    <w:p>
      <w:r>
        <w:t>Dataset used: Data4Cyber, attributed in the paper to Ö. Sen et al., Zenodo version 2 (2026), DOI: https://doi.org/10.5281/zenodo.20004612. This supplement does not redistribute the underlying dataset. Users should review the original dataset terms and consult the primary dataset record.</w:t>
      </w:r>
    </w:p>
    <w:p>
      <w:r>
        <w:t>Limits: no independently validated external grid transfer; 84.52% simulated human-review volume; 138 false-SAFE attacks concentrated in the S3 scenario; post-hoc threshold revision; no real-world operator/actuation outcomes; no prediction-level supporting files provided with this supplement. Full computational reproducibility would require original notebooks/code, inputs, partition indices, exact predictions, software environment and agent logs.</w:t>
      </w:r>
    </w:p>
    <w:p>
      <w:r>
        <w:t>Please cite the associated preprint for scientific claims. No supplementary DOI is claimed for this file.</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GRIDGUARD-AI • Supplementary File S1 • Aggregate manuscript-reported evidence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