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ED1D2A" w14:textId="77777777" w:rsidR="00895111" w:rsidRDefault="00895111" w:rsidP="00895111">
      <w:pPr>
        <w:spacing w:after="0"/>
        <w:jc w:val="both"/>
        <w:rPr>
          <w:sz w:val="22"/>
          <w:szCs w:val="22"/>
          <w:lang w:val="en-US"/>
        </w:rPr>
      </w:pPr>
      <w:r>
        <w:rPr>
          <w:noProof/>
          <w:sz w:val="22"/>
          <w:szCs w:val="22"/>
          <w:lang w:val="en-US"/>
        </w:rPr>
        <w:drawing>
          <wp:anchor distT="0" distB="0" distL="114300" distR="114300" simplePos="0" relativeHeight="251659264" behindDoc="0" locked="0" layoutInCell="1" allowOverlap="1" wp14:anchorId="3D1B79F3" wp14:editId="62222EB3">
            <wp:simplePos x="897038" y="897038"/>
            <wp:positionH relativeFrom="margin">
              <wp:align>center</wp:align>
            </wp:positionH>
            <wp:positionV relativeFrom="margin">
              <wp:align>top</wp:align>
            </wp:positionV>
            <wp:extent cx="5168265" cy="5763895"/>
            <wp:effectExtent l="0" t="0" r="0" b="8255"/>
            <wp:wrapSquare wrapText="bothSides"/>
            <wp:docPr id="84499589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8265" cy="576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4769F">
        <w:rPr>
          <w:b/>
          <w:bCs/>
          <w:sz w:val="22"/>
          <w:szCs w:val="22"/>
          <w:lang w:val="en-US"/>
        </w:rPr>
        <w:t xml:space="preserve">Supplementary Figure 1. Positive control for T cell infiltration in brain tissue. </w:t>
      </w:r>
      <w:r w:rsidRPr="0094769F">
        <w:rPr>
          <w:sz w:val="22"/>
          <w:szCs w:val="22"/>
          <w:lang w:val="en-US"/>
        </w:rPr>
        <w:t>Representative chromogenic immunostainings for HLA-DR/DP/DQ (DAB, brown) together with CD3 (</w:t>
      </w:r>
      <w:r w:rsidRPr="0094769F">
        <w:rPr>
          <w:b/>
          <w:bCs/>
          <w:sz w:val="22"/>
          <w:szCs w:val="22"/>
          <w:lang w:val="en-US"/>
        </w:rPr>
        <w:t>a</w:t>
      </w:r>
      <w:r w:rsidRPr="0094769F">
        <w:rPr>
          <w:sz w:val="22"/>
          <w:szCs w:val="22"/>
          <w:lang w:val="en-US"/>
        </w:rPr>
        <w:t>) or CD4 (</w:t>
      </w:r>
      <w:r w:rsidRPr="0094769F">
        <w:rPr>
          <w:b/>
          <w:bCs/>
          <w:sz w:val="22"/>
          <w:szCs w:val="22"/>
          <w:lang w:val="en-US"/>
        </w:rPr>
        <w:t>b</w:t>
      </w:r>
      <w:r w:rsidRPr="0094769F">
        <w:rPr>
          <w:sz w:val="22"/>
          <w:szCs w:val="22"/>
          <w:lang w:val="en-US"/>
        </w:rPr>
        <w:t>) (FastRed, red), and single chromogenic staining for CD8 (</w:t>
      </w:r>
      <w:r w:rsidRPr="0094769F">
        <w:rPr>
          <w:b/>
          <w:bCs/>
          <w:sz w:val="22"/>
          <w:szCs w:val="22"/>
          <w:lang w:val="en-US"/>
        </w:rPr>
        <w:t>c</w:t>
      </w:r>
      <w:r w:rsidRPr="0094769F">
        <w:rPr>
          <w:sz w:val="22"/>
          <w:szCs w:val="22"/>
          <w:lang w:val="en-US"/>
        </w:rPr>
        <w:t>) (DAB, brown) in a case with acute disseminated encephalomyelitis (ADEM). Representative images of local T cell infiltrates were acquired from the  temporal cortex (</w:t>
      </w:r>
      <w:r w:rsidRPr="0094769F">
        <w:rPr>
          <w:b/>
          <w:bCs/>
          <w:sz w:val="22"/>
          <w:szCs w:val="22"/>
          <w:lang w:val="en-US"/>
        </w:rPr>
        <w:t xml:space="preserve">a </w:t>
      </w:r>
      <w:r w:rsidRPr="0094769F">
        <w:rPr>
          <w:sz w:val="22"/>
          <w:szCs w:val="22"/>
          <w:lang w:val="en-US"/>
        </w:rPr>
        <w:t xml:space="preserve">and </w:t>
      </w:r>
      <w:r w:rsidRPr="0094769F">
        <w:rPr>
          <w:b/>
          <w:bCs/>
          <w:sz w:val="22"/>
          <w:szCs w:val="22"/>
          <w:lang w:val="en-US"/>
        </w:rPr>
        <w:t>b</w:t>
      </w:r>
      <w:r w:rsidRPr="0094769F">
        <w:rPr>
          <w:sz w:val="22"/>
          <w:szCs w:val="22"/>
          <w:lang w:val="en-US"/>
        </w:rPr>
        <w:t>) and hippocampus (</w:t>
      </w:r>
      <w:r w:rsidRPr="0094769F">
        <w:rPr>
          <w:b/>
          <w:bCs/>
          <w:sz w:val="22"/>
          <w:szCs w:val="22"/>
          <w:lang w:val="en-US"/>
        </w:rPr>
        <w:t>c</w:t>
      </w:r>
      <w:r w:rsidRPr="0094769F">
        <w:rPr>
          <w:sz w:val="22"/>
          <w:szCs w:val="22"/>
          <w:lang w:val="en-US"/>
        </w:rPr>
        <w:t>). Original bright field images are shown in the left panels. CD3-, CD4- and CD8-positive T cells are highlighted in the right panels using magenta pseudo-coloring, together with HLA-DR/DP/DQ  shown in grey values (</w:t>
      </w:r>
      <w:r w:rsidRPr="0094769F">
        <w:rPr>
          <w:b/>
          <w:bCs/>
          <w:sz w:val="22"/>
          <w:szCs w:val="22"/>
          <w:lang w:val="en-US"/>
        </w:rPr>
        <w:t xml:space="preserve">a </w:t>
      </w:r>
      <w:r w:rsidRPr="0094769F">
        <w:rPr>
          <w:sz w:val="22"/>
          <w:szCs w:val="22"/>
          <w:lang w:val="en-US"/>
        </w:rPr>
        <w:t xml:space="preserve">and </w:t>
      </w:r>
      <w:r w:rsidRPr="0094769F">
        <w:rPr>
          <w:b/>
          <w:bCs/>
          <w:sz w:val="22"/>
          <w:szCs w:val="22"/>
          <w:lang w:val="en-US"/>
        </w:rPr>
        <w:t>b</w:t>
      </w:r>
      <w:r w:rsidRPr="0094769F">
        <w:rPr>
          <w:sz w:val="22"/>
          <w:szCs w:val="22"/>
          <w:lang w:val="en-US"/>
        </w:rPr>
        <w:t>) or haematoxylin shown in blue (</w:t>
      </w:r>
      <w:r w:rsidRPr="0094769F">
        <w:rPr>
          <w:b/>
          <w:bCs/>
          <w:sz w:val="22"/>
          <w:szCs w:val="22"/>
          <w:lang w:val="en-US"/>
        </w:rPr>
        <w:t>c</w:t>
      </w:r>
      <w:r w:rsidRPr="0094769F">
        <w:rPr>
          <w:sz w:val="22"/>
          <w:szCs w:val="22"/>
          <w:lang w:val="en-US"/>
        </w:rPr>
        <w:t>). The number of HLA-positive cells (</w:t>
      </w:r>
      <w:r w:rsidRPr="0094769F">
        <w:rPr>
          <w:b/>
          <w:bCs/>
          <w:sz w:val="22"/>
          <w:szCs w:val="22"/>
          <w:lang w:val="en-US"/>
        </w:rPr>
        <w:t>d</w:t>
      </w:r>
      <w:r w:rsidRPr="0094769F">
        <w:rPr>
          <w:sz w:val="22"/>
          <w:szCs w:val="22"/>
          <w:lang w:val="en-US"/>
        </w:rPr>
        <w:t>) and parenchymal CD3-positive T cells (</w:t>
      </w:r>
      <w:r w:rsidRPr="0094769F">
        <w:rPr>
          <w:b/>
          <w:bCs/>
          <w:sz w:val="22"/>
          <w:szCs w:val="22"/>
          <w:lang w:val="en-US"/>
        </w:rPr>
        <w:t>e</w:t>
      </w:r>
      <w:r w:rsidRPr="0094769F">
        <w:rPr>
          <w:sz w:val="22"/>
          <w:szCs w:val="22"/>
          <w:lang w:val="en-US"/>
        </w:rPr>
        <w:t>) were quantified per cm</w:t>
      </w:r>
      <w:r w:rsidRPr="0094769F">
        <w:rPr>
          <w:sz w:val="22"/>
          <w:szCs w:val="22"/>
          <w:vertAlign w:val="superscript"/>
          <w:lang w:val="en-US"/>
        </w:rPr>
        <w:t>2</w:t>
      </w:r>
      <w:r w:rsidRPr="0094769F">
        <w:rPr>
          <w:sz w:val="22"/>
          <w:szCs w:val="22"/>
          <w:lang w:val="en-US"/>
        </w:rPr>
        <w:t xml:space="preserve"> in 5 local T cell infiltrations in  grey and white matter. The number of positive cells per local infiltrate is shown, together with mean and SEM. The ratio of HLA-positive cells over parenchymal CD3 T cells represents the extend of T cell infiltration per local infiltrate (</w:t>
      </w:r>
      <w:r w:rsidRPr="0094769F">
        <w:rPr>
          <w:b/>
          <w:bCs/>
          <w:sz w:val="22"/>
          <w:szCs w:val="22"/>
          <w:lang w:val="en-US"/>
        </w:rPr>
        <w:t>f</w:t>
      </w:r>
      <w:r w:rsidRPr="0094769F">
        <w:rPr>
          <w:sz w:val="22"/>
          <w:szCs w:val="22"/>
          <w:lang w:val="en-US"/>
        </w:rPr>
        <w:t>).</w:t>
      </w:r>
    </w:p>
    <w:p w14:paraId="098490F4" w14:textId="77777777" w:rsidR="00895111" w:rsidRDefault="00895111" w:rsidP="00895111">
      <w:p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br w:type="page"/>
      </w:r>
    </w:p>
    <w:p w14:paraId="3DB99910" w14:textId="77777777" w:rsidR="00895111" w:rsidRDefault="00895111" w:rsidP="00895111">
      <w:pPr>
        <w:spacing w:after="0"/>
        <w:jc w:val="both"/>
        <w:rPr>
          <w:sz w:val="22"/>
          <w:szCs w:val="22"/>
          <w:lang w:val="en-US"/>
        </w:rPr>
      </w:pPr>
      <w:r>
        <w:rPr>
          <w:noProof/>
          <w:sz w:val="22"/>
          <w:szCs w:val="22"/>
          <w:lang w:val="en-US"/>
        </w:rPr>
        <w:lastRenderedPageBreak/>
        <w:drawing>
          <wp:inline distT="0" distB="0" distL="0" distR="0" wp14:anchorId="5466778C" wp14:editId="7A050CA0">
            <wp:extent cx="5764192" cy="5261726"/>
            <wp:effectExtent l="0" t="0" r="8255" b="0"/>
            <wp:docPr id="213685958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29" r="66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0897" cy="52678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431CC0A" w14:textId="77777777" w:rsidR="00895111" w:rsidRPr="0094769F" w:rsidRDefault="00895111" w:rsidP="00895111">
      <w:pPr>
        <w:jc w:val="both"/>
        <w:rPr>
          <w:sz w:val="22"/>
          <w:szCs w:val="22"/>
          <w:lang w:val="en-US"/>
        </w:rPr>
      </w:pPr>
      <w:r w:rsidRPr="0094769F">
        <w:rPr>
          <w:b/>
          <w:bCs/>
          <w:sz w:val="22"/>
          <w:szCs w:val="22"/>
          <w:lang w:val="en-US"/>
        </w:rPr>
        <w:t>Supplementary Figure 2</w:t>
      </w:r>
      <w:r>
        <w:rPr>
          <w:b/>
          <w:bCs/>
          <w:sz w:val="22"/>
          <w:szCs w:val="22"/>
          <w:lang w:val="en-US"/>
        </w:rPr>
        <w:t xml:space="preserve">. </w:t>
      </w:r>
      <w:r w:rsidRPr="0094769F">
        <w:rPr>
          <w:b/>
          <w:bCs/>
          <w:sz w:val="22"/>
          <w:szCs w:val="22"/>
          <w:lang w:val="en-US"/>
        </w:rPr>
        <w:t xml:space="preserve">Spearman correlation matrix. </w:t>
      </w:r>
      <w:r w:rsidRPr="0094769F">
        <w:rPr>
          <w:sz w:val="22"/>
          <w:szCs w:val="22"/>
          <w:lang w:val="en-US"/>
        </w:rPr>
        <w:t xml:space="preserve">Spearman correlation was performed with the Benjamini-Hochberg procedure to control the false discovery rate. Correlation is showed for each combination of variables (rho) together with p-value with Benjamini-Hochberg correction (FDR p). Unadjusted p-values are shown in </w:t>
      </w:r>
      <w:r w:rsidRPr="0094769F">
        <w:rPr>
          <w:b/>
          <w:bCs/>
          <w:sz w:val="22"/>
          <w:szCs w:val="22"/>
          <w:lang w:val="en-US"/>
        </w:rPr>
        <w:t xml:space="preserve">Supplementary Figure </w:t>
      </w:r>
      <w:r>
        <w:rPr>
          <w:b/>
          <w:bCs/>
          <w:sz w:val="22"/>
          <w:szCs w:val="22"/>
          <w:lang w:val="en-US"/>
        </w:rPr>
        <w:t>3</w:t>
      </w:r>
      <w:r w:rsidRPr="0094769F">
        <w:rPr>
          <w:sz w:val="22"/>
          <w:szCs w:val="22"/>
          <w:lang w:val="en-US"/>
        </w:rPr>
        <w:t xml:space="preserve">. Scatter plots are shown in </w:t>
      </w:r>
      <w:r w:rsidRPr="0094769F">
        <w:rPr>
          <w:rFonts w:ascii="Aptos" w:hAnsi="Aptos"/>
          <w:b/>
          <w:bCs/>
          <w:color w:val="000000"/>
          <w:sz w:val="22"/>
          <w:szCs w:val="22"/>
          <w:lang w:val="en-US"/>
        </w:rPr>
        <w:t xml:space="preserve">Supplementary Figure </w:t>
      </w:r>
      <w:r>
        <w:rPr>
          <w:rFonts w:ascii="Aptos" w:hAnsi="Aptos"/>
          <w:b/>
          <w:bCs/>
          <w:color w:val="000000"/>
          <w:sz w:val="22"/>
          <w:szCs w:val="22"/>
          <w:lang w:val="en-US"/>
        </w:rPr>
        <w:t>4</w:t>
      </w:r>
      <w:r w:rsidRPr="0094769F">
        <w:rPr>
          <w:rFonts w:ascii="Aptos" w:hAnsi="Aptos"/>
          <w:color w:val="000000"/>
          <w:sz w:val="22"/>
          <w:szCs w:val="22"/>
          <w:lang w:val="en-US"/>
        </w:rPr>
        <w:t xml:space="preserve">, </w:t>
      </w:r>
      <w:r w:rsidRPr="0094769F">
        <w:rPr>
          <w:sz w:val="22"/>
          <w:szCs w:val="22"/>
          <w:lang w:val="en-US"/>
        </w:rPr>
        <w:t xml:space="preserve">between </w:t>
      </w:r>
      <w:r w:rsidRPr="0094769F">
        <w:rPr>
          <w:rFonts w:ascii="Aptos" w:hAnsi="Aptos"/>
          <w:color w:val="000000"/>
          <w:sz w:val="22"/>
          <w:szCs w:val="22"/>
          <w:lang w:val="en-US"/>
        </w:rPr>
        <w:t>the number of parenchymal CD8 T cells and the number of HLA-positive cells, and the Aβ-positive area and pTau-positive area.</w:t>
      </w:r>
    </w:p>
    <w:p w14:paraId="556D4B36" w14:textId="77777777" w:rsidR="00895111" w:rsidRDefault="00895111" w:rsidP="00895111">
      <w:pPr>
        <w:rPr>
          <w:b/>
          <w:bCs/>
          <w:sz w:val="22"/>
          <w:szCs w:val="22"/>
          <w:lang w:val="en-US"/>
        </w:rPr>
      </w:pPr>
      <w:r>
        <w:rPr>
          <w:b/>
          <w:bCs/>
          <w:sz w:val="22"/>
          <w:szCs w:val="22"/>
          <w:lang w:val="en-US"/>
        </w:rPr>
        <w:br w:type="page"/>
      </w:r>
    </w:p>
    <w:p w14:paraId="5CEB3D91" w14:textId="77777777" w:rsidR="00895111" w:rsidRDefault="00895111" w:rsidP="00895111">
      <w:pPr>
        <w:spacing w:after="0"/>
        <w:jc w:val="both"/>
        <w:rPr>
          <w:b/>
          <w:bCs/>
          <w:sz w:val="22"/>
          <w:szCs w:val="22"/>
          <w:lang w:val="en-US"/>
        </w:rPr>
      </w:pPr>
      <w:r>
        <w:rPr>
          <w:b/>
          <w:bCs/>
          <w:noProof/>
          <w:sz w:val="22"/>
          <w:szCs w:val="22"/>
          <w:lang w:val="en-US"/>
        </w:rPr>
        <w:lastRenderedPageBreak/>
        <w:drawing>
          <wp:inline distT="0" distB="0" distL="0" distR="0" wp14:anchorId="2EC23D01" wp14:editId="6CAB11F9">
            <wp:extent cx="5735256" cy="5265576"/>
            <wp:effectExtent l="0" t="0" r="0" b="0"/>
            <wp:docPr id="783519152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29" r="70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656" cy="5272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7A5D38B" w14:textId="77777777" w:rsidR="00895111" w:rsidRPr="00E40F8D" w:rsidRDefault="00895111" w:rsidP="00895111">
      <w:pPr>
        <w:jc w:val="both"/>
        <w:rPr>
          <w:rFonts w:ascii="Aptos" w:hAnsi="Aptos"/>
          <w:color w:val="000000"/>
          <w:sz w:val="22"/>
          <w:szCs w:val="22"/>
          <w:lang w:val="en-US"/>
        </w:rPr>
      </w:pPr>
      <w:r w:rsidRPr="0094769F">
        <w:rPr>
          <w:b/>
          <w:bCs/>
          <w:sz w:val="22"/>
          <w:szCs w:val="22"/>
          <w:lang w:val="en-US"/>
        </w:rPr>
        <w:t xml:space="preserve">Supplementary Figure </w:t>
      </w:r>
      <w:r>
        <w:rPr>
          <w:b/>
          <w:bCs/>
          <w:sz w:val="22"/>
          <w:szCs w:val="22"/>
          <w:lang w:val="en-US"/>
        </w:rPr>
        <w:t>3</w:t>
      </w:r>
      <w:r w:rsidRPr="0094769F">
        <w:rPr>
          <w:b/>
          <w:bCs/>
          <w:sz w:val="22"/>
          <w:szCs w:val="22"/>
          <w:lang w:val="en-US"/>
        </w:rPr>
        <w:t xml:space="preserve">. Spearman correlation matrix with unadjusted p-values. </w:t>
      </w:r>
      <w:r w:rsidRPr="0094769F">
        <w:rPr>
          <w:sz w:val="22"/>
          <w:szCs w:val="22"/>
          <w:lang w:val="en-US"/>
        </w:rPr>
        <w:t xml:space="preserve">Spearman correlation was performed without correction for multiple testing. Correlation is showed for each combination of variables (rho) together with unadjusted p-value. Scatter plots are shown in </w:t>
      </w:r>
      <w:r w:rsidRPr="0094769F">
        <w:rPr>
          <w:rFonts w:ascii="Aptos" w:hAnsi="Aptos"/>
          <w:b/>
          <w:bCs/>
          <w:color w:val="000000"/>
          <w:sz w:val="22"/>
          <w:szCs w:val="22"/>
          <w:lang w:val="en-US"/>
        </w:rPr>
        <w:t xml:space="preserve">Supplementary Figure </w:t>
      </w:r>
      <w:r>
        <w:rPr>
          <w:rFonts w:ascii="Aptos" w:hAnsi="Aptos"/>
          <w:b/>
          <w:bCs/>
          <w:color w:val="000000"/>
          <w:sz w:val="22"/>
          <w:szCs w:val="22"/>
          <w:lang w:val="en-US"/>
        </w:rPr>
        <w:t>4</w:t>
      </w:r>
      <w:r w:rsidRPr="00E40F8D">
        <w:rPr>
          <w:rFonts w:ascii="Aptos" w:hAnsi="Aptos"/>
          <w:color w:val="000000"/>
          <w:sz w:val="22"/>
          <w:szCs w:val="22"/>
          <w:lang w:val="en-US"/>
        </w:rPr>
        <w:t>,</w:t>
      </w:r>
      <w:r w:rsidRPr="0094769F">
        <w:rPr>
          <w:rFonts w:ascii="Aptos" w:hAnsi="Aptos"/>
          <w:color w:val="000000"/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with</w:t>
      </w:r>
      <w:r w:rsidRPr="0094769F">
        <w:rPr>
          <w:sz w:val="22"/>
          <w:szCs w:val="22"/>
          <w:lang w:val="en-US"/>
        </w:rPr>
        <w:t xml:space="preserve"> </w:t>
      </w:r>
      <w:r w:rsidRPr="0094769F">
        <w:rPr>
          <w:rFonts w:ascii="Aptos" w:hAnsi="Aptos"/>
          <w:color w:val="000000"/>
          <w:sz w:val="22"/>
          <w:szCs w:val="22"/>
          <w:lang w:val="en-US"/>
        </w:rPr>
        <w:t>the number of HLA-positive cells</w:t>
      </w:r>
      <w:r>
        <w:rPr>
          <w:rFonts w:ascii="Aptos" w:hAnsi="Aptos"/>
          <w:color w:val="000000"/>
          <w:sz w:val="22"/>
          <w:szCs w:val="22"/>
          <w:lang w:val="en-US"/>
        </w:rPr>
        <w:t xml:space="preserve"> against </w:t>
      </w:r>
      <w:r w:rsidRPr="0094769F">
        <w:rPr>
          <w:rFonts w:ascii="Aptos" w:hAnsi="Aptos"/>
          <w:color w:val="000000"/>
          <w:sz w:val="22"/>
          <w:szCs w:val="22"/>
          <w:lang w:val="en-US"/>
        </w:rPr>
        <w:t xml:space="preserve">the Aβ-positive area </w:t>
      </w:r>
      <w:r>
        <w:rPr>
          <w:rFonts w:ascii="Aptos" w:hAnsi="Aptos"/>
          <w:color w:val="000000"/>
          <w:sz w:val="22"/>
          <w:szCs w:val="22"/>
          <w:lang w:val="en-US"/>
        </w:rPr>
        <w:t>and</w:t>
      </w:r>
      <w:r w:rsidRPr="0094769F">
        <w:rPr>
          <w:rFonts w:ascii="Aptos" w:hAnsi="Aptos"/>
          <w:color w:val="000000"/>
          <w:sz w:val="22"/>
          <w:szCs w:val="22"/>
          <w:lang w:val="en-US"/>
        </w:rPr>
        <w:t xml:space="preserve"> pTau-positive area, and </w:t>
      </w:r>
      <w:r>
        <w:rPr>
          <w:rFonts w:ascii="Aptos" w:hAnsi="Aptos"/>
          <w:color w:val="000000"/>
          <w:sz w:val="22"/>
          <w:szCs w:val="22"/>
          <w:lang w:val="en-US"/>
        </w:rPr>
        <w:t xml:space="preserve">with </w:t>
      </w:r>
      <w:r w:rsidRPr="0094769F">
        <w:rPr>
          <w:rFonts w:ascii="Aptos" w:hAnsi="Aptos"/>
          <w:color w:val="000000"/>
          <w:sz w:val="22"/>
          <w:szCs w:val="22"/>
          <w:lang w:val="en-US"/>
        </w:rPr>
        <w:t>the number of parenchymal CD8 T cells</w:t>
      </w:r>
      <w:r>
        <w:rPr>
          <w:rFonts w:ascii="Aptos" w:hAnsi="Aptos"/>
          <w:color w:val="000000"/>
          <w:sz w:val="22"/>
          <w:szCs w:val="22"/>
          <w:lang w:val="en-US"/>
        </w:rPr>
        <w:t xml:space="preserve"> against </w:t>
      </w:r>
      <w:r w:rsidRPr="0094769F">
        <w:rPr>
          <w:rFonts w:ascii="Aptos" w:hAnsi="Aptos"/>
          <w:color w:val="000000"/>
          <w:sz w:val="22"/>
          <w:szCs w:val="22"/>
          <w:lang w:val="en-US"/>
        </w:rPr>
        <w:t>the Aβ-positive area and pTau-positive area.</w:t>
      </w:r>
    </w:p>
    <w:p w14:paraId="3FB15C9A" w14:textId="77777777" w:rsidR="00895111" w:rsidRDefault="00895111" w:rsidP="00895111">
      <w:pPr>
        <w:rPr>
          <w:b/>
          <w:bCs/>
          <w:sz w:val="22"/>
          <w:szCs w:val="22"/>
          <w:lang w:val="en-US"/>
        </w:rPr>
      </w:pPr>
      <w:r>
        <w:rPr>
          <w:b/>
          <w:bCs/>
          <w:sz w:val="22"/>
          <w:szCs w:val="22"/>
          <w:lang w:val="en-US"/>
        </w:rPr>
        <w:br w:type="page"/>
      </w:r>
    </w:p>
    <w:p w14:paraId="123A695F" w14:textId="77777777" w:rsidR="00895111" w:rsidRDefault="00895111" w:rsidP="00895111">
      <w:pPr>
        <w:spacing w:after="0"/>
        <w:jc w:val="both"/>
        <w:rPr>
          <w:b/>
          <w:bCs/>
          <w:sz w:val="22"/>
          <w:szCs w:val="22"/>
          <w:lang w:val="en-US"/>
        </w:rPr>
      </w:pPr>
      <w:r>
        <w:rPr>
          <w:b/>
          <w:bCs/>
          <w:noProof/>
          <w:sz w:val="22"/>
          <w:szCs w:val="22"/>
          <w:lang w:val="en-US"/>
        </w:rPr>
        <w:lastRenderedPageBreak/>
        <w:drawing>
          <wp:inline distT="0" distB="0" distL="0" distR="0" wp14:anchorId="79DD69A6" wp14:editId="3E2B1099">
            <wp:extent cx="5584825" cy="4525645"/>
            <wp:effectExtent l="0" t="0" r="0" b="0"/>
            <wp:docPr id="640867873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4825" cy="4525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E92ACA" w14:textId="77777777" w:rsidR="00895111" w:rsidRDefault="00895111" w:rsidP="00895111">
      <w:pPr>
        <w:jc w:val="both"/>
        <w:rPr>
          <w:rFonts w:ascii="Aptos" w:hAnsi="Aptos"/>
          <w:color w:val="000000"/>
          <w:sz w:val="22"/>
          <w:szCs w:val="22"/>
          <w:lang w:val="en-US"/>
        </w:rPr>
      </w:pPr>
      <w:r w:rsidRPr="0094769F">
        <w:rPr>
          <w:b/>
          <w:bCs/>
          <w:sz w:val="22"/>
          <w:szCs w:val="22"/>
          <w:lang w:val="en-US"/>
        </w:rPr>
        <w:t xml:space="preserve">Supplementary Figure </w:t>
      </w:r>
      <w:r>
        <w:rPr>
          <w:b/>
          <w:bCs/>
          <w:sz w:val="22"/>
          <w:szCs w:val="22"/>
          <w:lang w:val="en-US"/>
        </w:rPr>
        <w:t>4</w:t>
      </w:r>
      <w:r w:rsidRPr="0094769F">
        <w:rPr>
          <w:b/>
          <w:bCs/>
          <w:sz w:val="22"/>
          <w:szCs w:val="22"/>
          <w:lang w:val="en-US"/>
        </w:rPr>
        <w:t>. Scatter plots.</w:t>
      </w:r>
      <w:r w:rsidRPr="0094769F">
        <w:rPr>
          <w:sz w:val="22"/>
          <w:szCs w:val="22"/>
          <w:lang w:val="en-US"/>
        </w:rPr>
        <w:t xml:space="preserve"> Scatter plots are shown </w:t>
      </w:r>
      <w:r>
        <w:rPr>
          <w:sz w:val="22"/>
          <w:szCs w:val="22"/>
          <w:lang w:val="en-US"/>
        </w:rPr>
        <w:t>with</w:t>
      </w:r>
      <w:r w:rsidRPr="0094769F">
        <w:rPr>
          <w:sz w:val="22"/>
          <w:szCs w:val="22"/>
          <w:lang w:val="en-US"/>
        </w:rPr>
        <w:t xml:space="preserve"> </w:t>
      </w:r>
      <w:r w:rsidRPr="0094769F">
        <w:rPr>
          <w:rFonts w:ascii="Aptos" w:hAnsi="Aptos"/>
          <w:color w:val="000000"/>
          <w:sz w:val="22"/>
          <w:szCs w:val="22"/>
          <w:lang w:val="en-US"/>
        </w:rPr>
        <w:t>the number of HLA-positive cells</w:t>
      </w:r>
      <w:r>
        <w:rPr>
          <w:rFonts w:ascii="Aptos" w:hAnsi="Aptos"/>
          <w:color w:val="000000"/>
          <w:sz w:val="22"/>
          <w:szCs w:val="22"/>
          <w:lang w:val="en-US"/>
        </w:rPr>
        <w:t xml:space="preserve"> against </w:t>
      </w:r>
      <w:r w:rsidRPr="0094769F">
        <w:rPr>
          <w:rFonts w:ascii="Aptos" w:hAnsi="Aptos"/>
          <w:color w:val="000000"/>
          <w:sz w:val="22"/>
          <w:szCs w:val="22"/>
          <w:lang w:val="en-US"/>
        </w:rPr>
        <w:t xml:space="preserve">the Aβ-positive area </w:t>
      </w:r>
      <w:r>
        <w:rPr>
          <w:rFonts w:ascii="Aptos" w:hAnsi="Aptos"/>
          <w:color w:val="000000"/>
          <w:sz w:val="22"/>
          <w:szCs w:val="22"/>
          <w:lang w:val="en-US"/>
        </w:rPr>
        <w:t>and</w:t>
      </w:r>
      <w:r w:rsidRPr="0094769F">
        <w:rPr>
          <w:rFonts w:ascii="Aptos" w:hAnsi="Aptos"/>
          <w:color w:val="000000"/>
          <w:sz w:val="22"/>
          <w:szCs w:val="22"/>
          <w:lang w:val="en-US"/>
        </w:rPr>
        <w:t xml:space="preserve"> pTau-positive area, and </w:t>
      </w:r>
      <w:r>
        <w:rPr>
          <w:rFonts w:ascii="Aptos" w:hAnsi="Aptos"/>
          <w:color w:val="000000"/>
          <w:sz w:val="22"/>
          <w:szCs w:val="22"/>
          <w:lang w:val="en-US"/>
        </w:rPr>
        <w:t xml:space="preserve">with </w:t>
      </w:r>
      <w:r w:rsidRPr="0094769F">
        <w:rPr>
          <w:rFonts w:ascii="Aptos" w:hAnsi="Aptos"/>
          <w:color w:val="000000"/>
          <w:sz w:val="22"/>
          <w:szCs w:val="22"/>
          <w:lang w:val="en-US"/>
        </w:rPr>
        <w:t>the number of parenchymal CD8 T cells</w:t>
      </w:r>
      <w:r>
        <w:rPr>
          <w:rFonts w:ascii="Aptos" w:hAnsi="Aptos"/>
          <w:color w:val="000000"/>
          <w:sz w:val="22"/>
          <w:szCs w:val="22"/>
          <w:lang w:val="en-US"/>
        </w:rPr>
        <w:t xml:space="preserve"> against </w:t>
      </w:r>
      <w:r w:rsidRPr="0094769F">
        <w:rPr>
          <w:rFonts w:ascii="Aptos" w:hAnsi="Aptos"/>
          <w:color w:val="000000"/>
          <w:sz w:val="22"/>
          <w:szCs w:val="22"/>
          <w:lang w:val="en-US"/>
        </w:rPr>
        <w:t>the Aβ-positive area and pTau-positive area.</w:t>
      </w:r>
    </w:p>
    <w:p w14:paraId="401197E2" w14:textId="77777777" w:rsidR="00DC2479" w:rsidRDefault="00DC2479"/>
    <w:sectPr w:rsidR="00DC247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111"/>
    <w:rsid w:val="000A1C63"/>
    <w:rsid w:val="005B6877"/>
    <w:rsid w:val="00895111"/>
    <w:rsid w:val="00AA0C39"/>
    <w:rsid w:val="00DC2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596B20"/>
  <w15:chartTrackingRefBased/>
  <w15:docId w15:val="{32A2BC1E-E049-4DE4-869C-951C5C9CF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5111"/>
    <w:rPr>
      <w:lang w:val="nl-B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951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I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951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I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51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I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51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val="en-I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51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val="en-IN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51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en-IN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51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en-IN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51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en-IN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51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51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951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51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511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511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51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51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51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51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951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</w:rPr>
  </w:style>
  <w:style w:type="character" w:customStyle="1" w:styleId="TitleChar">
    <w:name w:val="Title Char"/>
    <w:basedOn w:val="DefaultParagraphFont"/>
    <w:link w:val="Title"/>
    <w:uiPriority w:val="10"/>
    <w:rsid w:val="008951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51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en-IN"/>
    </w:rPr>
  </w:style>
  <w:style w:type="character" w:customStyle="1" w:styleId="SubtitleChar">
    <w:name w:val="Subtitle Char"/>
    <w:basedOn w:val="DefaultParagraphFont"/>
    <w:link w:val="Subtitle"/>
    <w:uiPriority w:val="11"/>
    <w:rsid w:val="008951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5111"/>
    <w:pPr>
      <w:spacing w:before="160"/>
      <w:jc w:val="center"/>
    </w:pPr>
    <w:rPr>
      <w:i/>
      <w:iCs/>
      <w:color w:val="404040" w:themeColor="text1" w:themeTint="BF"/>
      <w:lang w:val="en-IN"/>
    </w:rPr>
  </w:style>
  <w:style w:type="character" w:customStyle="1" w:styleId="QuoteChar">
    <w:name w:val="Quote Char"/>
    <w:basedOn w:val="DefaultParagraphFont"/>
    <w:link w:val="Quote"/>
    <w:uiPriority w:val="29"/>
    <w:rsid w:val="008951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95111"/>
    <w:pPr>
      <w:ind w:left="720"/>
      <w:contextualSpacing/>
    </w:pPr>
    <w:rPr>
      <w:lang w:val="en-IN"/>
    </w:rPr>
  </w:style>
  <w:style w:type="character" w:styleId="IntenseEmphasis">
    <w:name w:val="Intense Emphasis"/>
    <w:basedOn w:val="DefaultParagraphFont"/>
    <w:uiPriority w:val="21"/>
    <w:qFormat/>
    <w:rsid w:val="008951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51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lang w:val="en-IN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511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9511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353</Words>
  <Characters>2018</Characters>
  <Application>Microsoft Office Word</Application>
  <DocSecurity>0</DocSecurity>
  <Lines>16</Lines>
  <Paragraphs>4</Paragraphs>
  <ScaleCrop>false</ScaleCrop>
  <Company/>
  <LinksUpToDate>false</LinksUpToDate>
  <CharactersWithSpaces>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Rohit Pandey</dc:creator>
  <cp:keywords/>
  <dc:description/>
  <cp:lastModifiedBy>Rohit Pandey</cp:lastModifiedBy>
  <cp:revision>1</cp:revision>
  <dcterms:created xsi:type="dcterms:W3CDTF">2026-11-05T15:29:00Z</dcterms:created>
  <dcterms:modified xsi:type="dcterms:W3CDTF">2026-11-05T15:29:00Z</dcterms:modified>
</cp:coreProperties>
</file>