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2ACAD" w14:textId="77777777" w:rsidR="00FE6131" w:rsidRDefault="00C93A9C">
      <w:pPr>
        <w:spacing w:after="40"/>
      </w:pPr>
      <w:r>
        <w:rPr>
          <w:rFonts w:ascii="Arial" w:hAnsi="Arial"/>
          <w:b/>
          <w:color w:val="4B5563"/>
        </w:rPr>
        <w:t>Supplementary Information for</w:t>
      </w:r>
    </w:p>
    <w:p w14:paraId="6C971594" w14:textId="77777777" w:rsidR="00FE6131" w:rsidRDefault="00C93A9C">
      <w:pPr>
        <w:spacing w:after="280"/>
      </w:pPr>
      <w:r>
        <w:rPr>
          <w:rFonts w:ascii="Arial" w:hAnsi="Arial"/>
          <w:b/>
          <w:color w:val="0F172A"/>
          <w:sz w:val="32"/>
        </w:rPr>
        <w:t>The fallacy of the national average in structured populations: clinical and population genomics across 9,768 Indian genomes</w:t>
      </w:r>
    </w:p>
    <w:p w14:paraId="7B23B976" w14:textId="77777777" w:rsidR="00FE6131" w:rsidRDefault="00C93A9C">
      <w:pPr>
        <w:spacing w:after="320"/>
      </w:pPr>
      <w:r>
        <w:rPr>
          <w:rFonts w:ascii="Arial" w:hAnsi="Arial"/>
          <w:b/>
          <w:color w:val="4B5563"/>
          <w:sz w:val="19"/>
        </w:rPr>
        <w:t>Atanu Kumar Dutta</w:t>
      </w:r>
      <w:r>
        <w:rPr>
          <w:rFonts w:ascii="Arial" w:hAnsi="Arial"/>
          <w:color w:val="4B5563"/>
          <w:sz w:val="15"/>
          <w:vertAlign w:val="superscript"/>
        </w:rPr>
        <w:t>1,*</w:t>
      </w:r>
      <w:r>
        <w:rPr>
          <w:rFonts w:ascii="Arial" w:hAnsi="Arial"/>
          <w:color w:val="4B5563"/>
          <w:sz w:val="19"/>
        </w:rPr>
        <w:t xml:space="preserve">, </w:t>
      </w:r>
      <w:r>
        <w:rPr>
          <w:rFonts w:ascii="Arial" w:hAnsi="Arial"/>
          <w:b/>
          <w:color w:val="4B5563"/>
          <w:sz w:val="19"/>
        </w:rPr>
        <w:t>Soumyajit Mondal</w:t>
      </w:r>
      <w:r>
        <w:rPr>
          <w:rFonts w:ascii="Arial" w:hAnsi="Arial"/>
          <w:color w:val="4B5563"/>
          <w:sz w:val="15"/>
          <w:vertAlign w:val="superscript"/>
        </w:rPr>
        <w:t>1</w:t>
      </w:r>
      <w:r>
        <w:rPr>
          <w:rFonts w:ascii="Arial" w:hAnsi="Arial"/>
          <w:color w:val="4B5563"/>
          <w:sz w:val="19"/>
        </w:rPr>
        <w:br/>
      </w:r>
      <w:r>
        <w:rPr>
          <w:rFonts w:ascii="Arial" w:hAnsi="Arial"/>
          <w:color w:val="4B5563"/>
          <w:sz w:val="15"/>
          <w:vertAlign w:val="superscript"/>
        </w:rPr>
        <w:t>1</w:t>
      </w:r>
      <w:r>
        <w:rPr>
          <w:rFonts w:ascii="Arial" w:hAnsi="Arial"/>
          <w:color w:val="4B5563"/>
          <w:sz w:val="19"/>
        </w:rPr>
        <w:t>Department of Biochemistry, All India Institute of Medical Sciences, Kalyani, 741245, West Bengal, India.</w:t>
      </w:r>
      <w:r>
        <w:rPr>
          <w:rFonts w:ascii="Arial" w:hAnsi="Arial"/>
          <w:color w:val="4B5563"/>
          <w:sz w:val="19"/>
        </w:rPr>
        <w:br/>
        <w:t>Correspondence to: atanu.biochem@aiimskalyani.edu.in</w:t>
      </w:r>
    </w:p>
    <w:p w14:paraId="248ED6E2" w14:textId="77777777" w:rsidR="00FE6131" w:rsidRDefault="00C93A9C">
      <w:pPr>
        <w:keepNext/>
        <w:spacing w:before="360" w:after="120"/>
      </w:pPr>
      <w:r>
        <w:rPr>
          <w:rFonts w:ascii="Arial" w:hAnsi="Arial"/>
          <w:b/>
          <w:color w:val="0F172A"/>
          <w:sz w:val="24"/>
        </w:rPr>
        <w:t>Supplementary Note 1: Mathematical Proof of the Wahlund Pan-Cohort HWE Filter Artifact</w:t>
      </w:r>
    </w:p>
    <w:p w14:paraId="16D66F0D" w14:textId="77777777" w:rsidR="00FE6131" w:rsidRDefault="00C93A9C">
      <w:pPr>
        <w:spacing w:after="160" w:line="300" w:lineRule="auto"/>
        <w:jc w:val="both"/>
      </w:pPr>
      <w:r>
        <w:rPr>
          <w:rFonts w:ascii="Arial" w:hAnsi="Arial"/>
          <w:color w:val="111827"/>
          <w:sz w:val="20"/>
        </w:rPr>
        <w:t xml:space="preserve">In a substructured population consisting of </w:t>
      </w:r>
      <w:r>
        <w:rPr>
          <w:rFonts w:ascii="Arial" w:hAnsi="Arial"/>
          <w:i/>
          <w:color w:val="111827"/>
          <w:sz w:val="20"/>
        </w:rPr>
        <w:t>K</w:t>
      </w:r>
      <w:r>
        <w:rPr>
          <w:rFonts w:ascii="Arial" w:hAnsi="Arial"/>
          <w:color w:val="111827"/>
          <w:sz w:val="20"/>
        </w:rPr>
        <w:t xml:space="preserve"> endogamous subpopulations with sample proportions </w:t>
      </w:r>
      <w:r>
        <w:rPr>
          <w:rFonts w:ascii="Arial" w:hAnsi="Arial"/>
          <w:i/>
          <w:color w:val="111827"/>
          <w:sz w:val="20"/>
        </w:rPr>
        <w:t>w</w:t>
      </w:r>
      <w:r>
        <w:rPr>
          <w:rFonts w:ascii="Arial" w:hAnsi="Arial"/>
          <w:color w:val="111827"/>
          <w:sz w:val="16"/>
          <w:vertAlign w:val="subscript"/>
        </w:rPr>
        <w:t>k</w:t>
      </w:r>
      <w:r>
        <w:rPr>
          <w:rFonts w:ascii="Arial" w:hAnsi="Arial"/>
          <w:color w:val="111827"/>
          <w:sz w:val="20"/>
        </w:rPr>
        <w:t xml:space="preserve"> = </w:t>
      </w:r>
      <w:r>
        <w:rPr>
          <w:rFonts w:ascii="Arial" w:hAnsi="Arial"/>
          <w:i/>
          <w:color w:val="111827"/>
          <w:sz w:val="20"/>
        </w:rPr>
        <w:t>n</w:t>
      </w:r>
      <w:r>
        <w:rPr>
          <w:rFonts w:ascii="Arial" w:hAnsi="Arial"/>
          <w:color w:val="111827"/>
          <w:sz w:val="16"/>
          <w:vertAlign w:val="subscript"/>
        </w:rPr>
        <w:t>k</w:t>
      </w:r>
      <w:r>
        <w:rPr>
          <w:rFonts w:ascii="Arial" w:hAnsi="Arial"/>
          <w:color w:val="111827"/>
          <w:sz w:val="20"/>
        </w:rPr>
        <w:t xml:space="preserve"> / </w:t>
      </w:r>
      <w:r>
        <w:rPr>
          <w:rFonts w:ascii="Arial" w:hAnsi="Arial"/>
          <w:i/>
          <w:color w:val="111827"/>
          <w:sz w:val="20"/>
        </w:rPr>
        <w:t>N</w:t>
      </w:r>
      <w:r>
        <w:rPr>
          <w:rFonts w:ascii="Arial" w:hAnsi="Arial"/>
          <w:color w:val="111827"/>
          <w:sz w:val="20"/>
        </w:rPr>
        <w:t xml:space="preserve"> </w:t>
      </w:r>
      <w:r>
        <w:rPr>
          <w:rFonts w:ascii="Arial" w:hAnsi="Arial"/>
          <w:i/>
          <w:color w:val="111827"/>
          <w:sz w:val="20"/>
        </w:rPr>
        <w:t>p</w:t>
      </w:r>
      <w:r>
        <w:rPr>
          <w:rFonts w:ascii="Arial" w:hAnsi="Arial"/>
          <w:color w:val="111827"/>
          <w:sz w:val="16"/>
          <w:vertAlign w:val="subscript"/>
        </w:rPr>
        <w:t>k</w:t>
      </w:r>
      <w:r>
        <w:rPr>
          <w:rFonts w:ascii="Arial" w:hAnsi="Arial"/>
          <w:color w:val="111827"/>
          <w:sz w:val="20"/>
        </w:rPr>
        <w:t xml:space="preserve"> be the minor allele frequency in subpopulation </w:t>
      </w:r>
      <w:r>
        <w:rPr>
          <w:rFonts w:ascii="Arial" w:hAnsi="Arial"/>
          <w:i/>
          <w:color w:val="111827"/>
          <w:sz w:val="20"/>
        </w:rPr>
        <w:t>k</w:t>
      </w:r>
      <w:r>
        <w:rPr>
          <w:rFonts w:ascii="Arial" w:hAnsi="Arial"/>
          <w:color w:val="111827"/>
          <w:sz w:val="20"/>
        </w:rPr>
        <w:t xml:space="preserve">, with cohort mean minor allele frequency </w:t>
      </w:r>
      <w:r>
        <w:rPr>
          <w:rFonts w:ascii="Arial" w:hAnsi="Arial"/>
          <w:i/>
          <w:color w:val="111827"/>
          <w:sz w:val="20"/>
        </w:rPr>
        <w:t>p̄</w:t>
      </w:r>
      <w:r>
        <w:rPr>
          <w:rFonts w:ascii="Arial" w:hAnsi="Arial"/>
          <w:color w:val="111827"/>
          <w:sz w:val="20"/>
        </w:rPr>
        <w:t xml:space="preserve"> = ∑ </w:t>
      </w:r>
      <w:r>
        <w:rPr>
          <w:rFonts w:ascii="Arial" w:hAnsi="Arial"/>
          <w:i/>
          <w:color w:val="111827"/>
          <w:sz w:val="20"/>
        </w:rPr>
        <w:t>w</w:t>
      </w:r>
      <w:r>
        <w:rPr>
          <w:rFonts w:ascii="Arial" w:hAnsi="Arial"/>
          <w:color w:val="111827"/>
          <w:sz w:val="16"/>
          <w:vertAlign w:val="subscript"/>
        </w:rPr>
        <w:t>k</w:t>
      </w:r>
      <w:r>
        <w:rPr>
          <w:rFonts w:ascii="Arial" w:hAnsi="Arial"/>
          <w:color w:val="111827"/>
          <w:sz w:val="20"/>
        </w:rPr>
        <w:t xml:space="preserve"> </w:t>
      </w:r>
      <w:r>
        <w:rPr>
          <w:rFonts w:ascii="Arial" w:hAnsi="Arial"/>
          <w:i/>
          <w:color w:val="111827"/>
          <w:sz w:val="20"/>
        </w:rPr>
        <w:t>p</w:t>
      </w:r>
      <w:r>
        <w:rPr>
          <w:rFonts w:ascii="Arial" w:hAnsi="Arial"/>
          <w:color w:val="111827"/>
          <w:sz w:val="16"/>
          <w:vertAlign w:val="subscript"/>
        </w:rPr>
        <w:t>k</w:t>
      </w:r>
      <w:r>
        <w:rPr>
          <w:rFonts w:ascii="Arial" w:hAnsi="Arial"/>
          <w:color w:val="111827"/>
          <w:sz w:val="20"/>
        </w:rPr>
        <w:t>. The variance of allele frequencies across subpopulations defines Wright's fixation index: Var(</w:t>
      </w:r>
      <w:r>
        <w:rPr>
          <w:rFonts w:ascii="Arial" w:hAnsi="Arial"/>
          <w:i/>
          <w:color w:val="111827"/>
          <w:sz w:val="20"/>
        </w:rPr>
        <w:t>p</w:t>
      </w:r>
      <w:r>
        <w:rPr>
          <w:rFonts w:ascii="Arial" w:hAnsi="Arial"/>
          <w:color w:val="111827"/>
          <w:sz w:val="20"/>
        </w:rPr>
        <w:t xml:space="preserve">) = ∑ </w:t>
      </w:r>
      <w:r>
        <w:rPr>
          <w:rFonts w:ascii="Arial" w:hAnsi="Arial"/>
          <w:i/>
          <w:color w:val="111827"/>
          <w:sz w:val="20"/>
        </w:rPr>
        <w:t>w</w:t>
      </w:r>
      <w:r>
        <w:rPr>
          <w:rFonts w:ascii="Arial" w:hAnsi="Arial"/>
          <w:color w:val="111827"/>
          <w:sz w:val="16"/>
          <w:vertAlign w:val="subscript"/>
        </w:rPr>
        <w:t>k</w:t>
      </w:r>
      <w:r>
        <w:rPr>
          <w:rFonts w:ascii="Arial" w:hAnsi="Arial"/>
          <w:color w:val="111827"/>
          <w:sz w:val="20"/>
        </w:rPr>
        <w:t xml:space="preserve"> (</w:t>
      </w:r>
      <w:r>
        <w:rPr>
          <w:rFonts w:ascii="Arial" w:hAnsi="Arial"/>
          <w:i/>
          <w:color w:val="111827"/>
          <w:sz w:val="20"/>
        </w:rPr>
        <w:t>p</w:t>
      </w:r>
      <w:r>
        <w:rPr>
          <w:rFonts w:ascii="Arial" w:hAnsi="Arial"/>
          <w:color w:val="111827"/>
          <w:sz w:val="16"/>
          <w:vertAlign w:val="subscript"/>
        </w:rPr>
        <w:t>k</w:t>
      </w:r>
      <w:r>
        <w:rPr>
          <w:rFonts w:ascii="Arial" w:hAnsi="Arial"/>
          <w:color w:val="111827"/>
          <w:sz w:val="20"/>
        </w:rPr>
        <w:t xml:space="preserve"> − </w:t>
      </w:r>
      <w:r>
        <w:rPr>
          <w:rFonts w:ascii="Arial" w:hAnsi="Arial"/>
          <w:i/>
          <w:color w:val="111827"/>
          <w:sz w:val="20"/>
        </w:rPr>
        <w:t>p̄</w:t>
      </w:r>
      <w:r>
        <w:rPr>
          <w:rFonts w:ascii="Arial" w:hAnsi="Arial"/>
          <w:color w:val="111827"/>
          <w:sz w:val="20"/>
        </w:rPr>
        <w:t>)</w:t>
      </w:r>
      <w:r>
        <w:rPr>
          <w:rFonts w:ascii="Arial" w:hAnsi="Arial"/>
          <w:color w:val="111827"/>
          <w:sz w:val="16"/>
          <w:vertAlign w:val="superscript"/>
        </w:rPr>
        <w:t>2</w:t>
      </w:r>
      <w:r>
        <w:rPr>
          <w:rFonts w:ascii="Arial" w:hAnsi="Arial"/>
          <w:color w:val="111827"/>
          <w:sz w:val="20"/>
        </w:rPr>
        <w:t xml:space="preserve"> = </w:t>
      </w:r>
      <w:r>
        <w:rPr>
          <w:rFonts w:ascii="Arial" w:hAnsi="Arial"/>
          <w:i/>
          <w:color w:val="111827"/>
          <w:sz w:val="20"/>
        </w:rPr>
        <w:t>F</w:t>
      </w:r>
      <w:r>
        <w:rPr>
          <w:rFonts w:ascii="Arial" w:hAnsi="Arial"/>
          <w:color w:val="111827"/>
          <w:sz w:val="16"/>
          <w:vertAlign w:val="subscript"/>
        </w:rPr>
        <w:t>ST</w:t>
      </w:r>
      <w:r>
        <w:rPr>
          <w:rFonts w:ascii="Arial" w:hAnsi="Arial"/>
          <w:color w:val="111827"/>
          <w:sz w:val="20"/>
        </w:rPr>
        <w:t xml:space="preserve"> × </w:t>
      </w:r>
      <w:r>
        <w:rPr>
          <w:rFonts w:ascii="Arial" w:hAnsi="Arial"/>
          <w:i/>
          <w:color w:val="111827"/>
          <w:sz w:val="20"/>
        </w:rPr>
        <w:t>p̄</w:t>
      </w:r>
      <w:r>
        <w:rPr>
          <w:rFonts w:ascii="Arial" w:hAnsi="Arial"/>
          <w:color w:val="111827"/>
          <w:sz w:val="20"/>
        </w:rPr>
        <w:t xml:space="preserve"> × (1 − </w:t>
      </w:r>
      <w:r>
        <w:rPr>
          <w:rFonts w:ascii="Arial" w:hAnsi="Arial"/>
          <w:i/>
          <w:color w:val="111827"/>
          <w:sz w:val="20"/>
        </w:rPr>
        <w:t>p̄</w:t>
      </w:r>
      <w:r>
        <w:rPr>
          <w:rFonts w:ascii="Arial" w:hAnsi="Arial"/>
          <w:color w:val="111827"/>
          <w:sz w:val="20"/>
        </w:rPr>
        <w:t xml:space="preserve">). The observed pooled homozygosity frequency across the cohort is: </w:t>
      </w:r>
      <w:r>
        <w:rPr>
          <w:rFonts w:ascii="Arial" w:hAnsi="Arial"/>
          <w:i/>
          <w:color w:val="111827"/>
          <w:sz w:val="20"/>
        </w:rPr>
        <w:t>P</w:t>
      </w:r>
      <w:r>
        <w:rPr>
          <w:rFonts w:ascii="Arial" w:hAnsi="Arial"/>
          <w:color w:val="111827"/>
          <w:sz w:val="16"/>
          <w:vertAlign w:val="subscript"/>
        </w:rPr>
        <w:t>obs</w:t>
      </w:r>
      <w:r>
        <w:rPr>
          <w:rFonts w:ascii="Arial" w:hAnsi="Arial"/>
          <w:color w:val="111827"/>
          <w:sz w:val="20"/>
        </w:rPr>
        <w:t xml:space="preserve">(HomAlt) = ∑ </w:t>
      </w:r>
      <w:r>
        <w:rPr>
          <w:rFonts w:ascii="Arial" w:hAnsi="Arial"/>
          <w:i/>
          <w:color w:val="111827"/>
          <w:sz w:val="20"/>
        </w:rPr>
        <w:t>w</w:t>
      </w:r>
      <w:r>
        <w:rPr>
          <w:rFonts w:ascii="Arial" w:hAnsi="Arial"/>
          <w:color w:val="111827"/>
          <w:sz w:val="16"/>
          <w:vertAlign w:val="subscript"/>
        </w:rPr>
        <w:t>k</w:t>
      </w:r>
      <w:r>
        <w:rPr>
          <w:rFonts w:ascii="Arial" w:hAnsi="Arial"/>
          <w:color w:val="111827"/>
          <w:sz w:val="20"/>
        </w:rPr>
        <w:t xml:space="preserve"> </w:t>
      </w:r>
      <w:r>
        <w:rPr>
          <w:rFonts w:ascii="Arial" w:hAnsi="Arial"/>
          <w:i/>
          <w:color w:val="111827"/>
          <w:sz w:val="20"/>
        </w:rPr>
        <w:t>p</w:t>
      </w:r>
      <w:r>
        <w:rPr>
          <w:rFonts w:ascii="Arial" w:hAnsi="Arial"/>
          <w:color w:val="111827"/>
          <w:sz w:val="16"/>
          <w:vertAlign w:val="subscript"/>
        </w:rPr>
        <w:t>k</w:t>
      </w:r>
      <w:r>
        <w:rPr>
          <w:rFonts w:ascii="Arial" w:hAnsi="Arial"/>
          <w:color w:val="111827"/>
          <w:sz w:val="16"/>
          <w:vertAlign w:val="superscript"/>
        </w:rPr>
        <w:t>2</w:t>
      </w:r>
      <w:r>
        <w:rPr>
          <w:rFonts w:ascii="Arial" w:hAnsi="Arial"/>
          <w:color w:val="111827"/>
          <w:sz w:val="20"/>
        </w:rPr>
        <w:t xml:space="preserve"> = </w:t>
      </w:r>
      <w:r>
        <w:rPr>
          <w:rFonts w:ascii="Arial" w:hAnsi="Arial"/>
          <w:i/>
          <w:color w:val="111827"/>
          <w:sz w:val="20"/>
        </w:rPr>
        <w:t>p̄</w:t>
      </w:r>
      <w:r>
        <w:rPr>
          <w:rFonts w:ascii="Arial" w:hAnsi="Arial"/>
          <w:color w:val="111827"/>
          <w:sz w:val="16"/>
          <w:vertAlign w:val="superscript"/>
        </w:rPr>
        <w:t>2</w:t>
      </w:r>
      <w:r>
        <w:rPr>
          <w:rFonts w:ascii="Arial" w:hAnsi="Arial"/>
          <w:color w:val="111827"/>
          <w:sz w:val="20"/>
        </w:rPr>
        <w:t xml:space="preserve"> + Var(</w:t>
      </w:r>
      <w:r>
        <w:rPr>
          <w:rFonts w:ascii="Arial" w:hAnsi="Arial"/>
          <w:i/>
          <w:color w:val="111827"/>
          <w:sz w:val="20"/>
        </w:rPr>
        <w:t>p</w:t>
      </w:r>
      <w:r>
        <w:rPr>
          <w:rFonts w:ascii="Arial" w:hAnsi="Arial"/>
          <w:color w:val="111827"/>
          <w:sz w:val="20"/>
        </w:rPr>
        <w:t xml:space="preserve">) = </w:t>
      </w:r>
      <w:r>
        <w:rPr>
          <w:rFonts w:ascii="Arial" w:hAnsi="Arial"/>
          <w:i/>
          <w:color w:val="111827"/>
          <w:sz w:val="20"/>
        </w:rPr>
        <w:t>p̄</w:t>
      </w:r>
      <w:r>
        <w:rPr>
          <w:rFonts w:ascii="Arial" w:hAnsi="Arial"/>
          <w:color w:val="111827"/>
          <w:sz w:val="16"/>
          <w:vertAlign w:val="superscript"/>
        </w:rPr>
        <w:t>2</w:t>
      </w:r>
      <w:r>
        <w:rPr>
          <w:rFonts w:ascii="Arial" w:hAnsi="Arial"/>
          <w:color w:val="111827"/>
          <w:sz w:val="20"/>
        </w:rPr>
        <w:t xml:space="preserve"> + </w:t>
      </w:r>
      <w:r>
        <w:rPr>
          <w:rFonts w:ascii="Arial" w:hAnsi="Arial"/>
          <w:i/>
          <w:color w:val="111827"/>
          <w:sz w:val="20"/>
        </w:rPr>
        <w:t>F</w:t>
      </w:r>
      <w:r>
        <w:rPr>
          <w:rFonts w:ascii="Arial" w:hAnsi="Arial"/>
          <w:color w:val="111827"/>
          <w:sz w:val="16"/>
          <w:vertAlign w:val="subscript"/>
        </w:rPr>
        <w:t>ST</w:t>
      </w:r>
      <w:r>
        <w:rPr>
          <w:rFonts w:ascii="Arial" w:hAnsi="Arial"/>
          <w:color w:val="111827"/>
          <w:sz w:val="20"/>
        </w:rPr>
        <w:t xml:space="preserve"> × </w:t>
      </w:r>
      <w:r>
        <w:rPr>
          <w:rFonts w:ascii="Arial" w:hAnsi="Arial"/>
          <w:i/>
          <w:color w:val="111827"/>
          <w:sz w:val="20"/>
        </w:rPr>
        <w:t>p̄</w:t>
      </w:r>
      <w:r>
        <w:rPr>
          <w:rFonts w:ascii="Arial" w:hAnsi="Arial"/>
          <w:color w:val="111827"/>
          <w:sz w:val="20"/>
        </w:rPr>
        <w:t xml:space="preserve"> × (1 − </w:t>
      </w:r>
      <w:r>
        <w:rPr>
          <w:rFonts w:ascii="Arial" w:hAnsi="Arial"/>
          <w:i/>
          <w:color w:val="111827"/>
          <w:sz w:val="20"/>
        </w:rPr>
        <w:t>p̄</w:t>
      </w:r>
      <w:r>
        <w:rPr>
          <w:rFonts w:ascii="Arial" w:hAnsi="Arial"/>
          <w:color w:val="111827"/>
          <w:sz w:val="20"/>
        </w:rPr>
        <w:t xml:space="preserve">). Conversely, the observed heterozygosity is: </w:t>
      </w:r>
      <w:r>
        <w:rPr>
          <w:rFonts w:ascii="Arial" w:hAnsi="Arial"/>
          <w:i/>
          <w:color w:val="111827"/>
          <w:sz w:val="20"/>
        </w:rPr>
        <w:t>P</w:t>
      </w:r>
      <w:r>
        <w:rPr>
          <w:rFonts w:ascii="Arial" w:hAnsi="Arial"/>
          <w:color w:val="111827"/>
          <w:sz w:val="16"/>
          <w:vertAlign w:val="subscript"/>
        </w:rPr>
        <w:t>obs</w:t>
      </w:r>
      <w:r>
        <w:rPr>
          <w:rFonts w:ascii="Arial" w:hAnsi="Arial"/>
          <w:color w:val="111827"/>
          <w:sz w:val="20"/>
        </w:rPr>
        <w:t xml:space="preserve">(Het) = ∑ </w:t>
      </w:r>
      <w:r>
        <w:rPr>
          <w:rFonts w:ascii="Arial" w:hAnsi="Arial"/>
          <w:i/>
          <w:color w:val="111827"/>
          <w:sz w:val="20"/>
        </w:rPr>
        <w:t>w</w:t>
      </w:r>
      <w:r>
        <w:rPr>
          <w:rFonts w:ascii="Arial" w:hAnsi="Arial"/>
          <w:color w:val="111827"/>
          <w:sz w:val="16"/>
          <w:vertAlign w:val="subscript"/>
        </w:rPr>
        <w:t>k</w:t>
      </w:r>
      <w:r>
        <w:rPr>
          <w:rFonts w:ascii="Arial" w:hAnsi="Arial"/>
          <w:color w:val="111827"/>
          <w:sz w:val="20"/>
        </w:rPr>
        <w:t xml:space="preserve"> × 2</w:t>
      </w:r>
      <w:r>
        <w:rPr>
          <w:rFonts w:ascii="Arial" w:hAnsi="Arial"/>
          <w:i/>
          <w:color w:val="111827"/>
          <w:sz w:val="20"/>
        </w:rPr>
        <w:t>p</w:t>
      </w:r>
      <w:r>
        <w:rPr>
          <w:rFonts w:ascii="Arial" w:hAnsi="Arial"/>
          <w:color w:val="111827"/>
          <w:sz w:val="16"/>
          <w:vertAlign w:val="subscript"/>
        </w:rPr>
        <w:t>k</w:t>
      </w:r>
      <w:r>
        <w:rPr>
          <w:rFonts w:ascii="Arial" w:hAnsi="Arial"/>
          <w:color w:val="111827"/>
          <w:sz w:val="20"/>
        </w:rPr>
        <w:t xml:space="preserve">(1 − </w:t>
      </w:r>
      <w:r>
        <w:rPr>
          <w:rFonts w:ascii="Arial" w:hAnsi="Arial"/>
          <w:i/>
          <w:color w:val="111827"/>
          <w:sz w:val="20"/>
        </w:rPr>
        <w:t>p</w:t>
      </w:r>
      <w:r>
        <w:rPr>
          <w:rFonts w:ascii="Arial" w:hAnsi="Arial"/>
          <w:color w:val="111827"/>
          <w:sz w:val="16"/>
          <w:vertAlign w:val="subscript"/>
        </w:rPr>
        <w:t>k</w:t>
      </w:r>
      <w:r>
        <w:rPr>
          <w:rFonts w:ascii="Arial" w:hAnsi="Arial"/>
          <w:color w:val="111827"/>
          <w:sz w:val="20"/>
        </w:rPr>
        <w:t>) = 2</w:t>
      </w:r>
      <w:r>
        <w:rPr>
          <w:rFonts w:ascii="Arial" w:hAnsi="Arial"/>
          <w:i/>
          <w:color w:val="111827"/>
          <w:sz w:val="20"/>
        </w:rPr>
        <w:t>p̄</w:t>
      </w:r>
      <w:r>
        <w:rPr>
          <w:rFonts w:ascii="Arial" w:hAnsi="Arial"/>
          <w:color w:val="111827"/>
          <w:sz w:val="20"/>
        </w:rPr>
        <w:t xml:space="preserve">(1 − </w:t>
      </w:r>
      <w:r>
        <w:rPr>
          <w:rFonts w:ascii="Arial" w:hAnsi="Arial"/>
          <w:i/>
          <w:color w:val="111827"/>
          <w:sz w:val="20"/>
        </w:rPr>
        <w:t>p̄</w:t>
      </w:r>
      <w:r>
        <w:rPr>
          <w:rFonts w:ascii="Arial" w:hAnsi="Arial"/>
          <w:color w:val="111827"/>
          <w:sz w:val="20"/>
        </w:rPr>
        <w:t>) − 2 × Var(</w:t>
      </w:r>
      <w:r>
        <w:rPr>
          <w:rFonts w:ascii="Arial" w:hAnsi="Arial"/>
          <w:i/>
          <w:color w:val="111827"/>
          <w:sz w:val="20"/>
        </w:rPr>
        <w:t>p</w:t>
      </w:r>
      <w:r>
        <w:rPr>
          <w:rFonts w:ascii="Arial" w:hAnsi="Arial"/>
          <w:color w:val="111827"/>
          <w:sz w:val="20"/>
        </w:rPr>
        <w:t>) = 2</w:t>
      </w:r>
      <w:r>
        <w:rPr>
          <w:rFonts w:ascii="Arial" w:hAnsi="Arial"/>
          <w:i/>
          <w:color w:val="111827"/>
          <w:sz w:val="20"/>
        </w:rPr>
        <w:t>p̄</w:t>
      </w:r>
      <w:r>
        <w:rPr>
          <w:rFonts w:ascii="Arial" w:hAnsi="Arial"/>
          <w:color w:val="111827"/>
          <w:sz w:val="20"/>
        </w:rPr>
        <w:t xml:space="preserve">(1 − </w:t>
      </w:r>
      <w:r>
        <w:rPr>
          <w:rFonts w:ascii="Arial" w:hAnsi="Arial"/>
          <w:i/>
          <w:color w:val="111827"/>
          <w:sz w:val="20"/>
        </w:rPr>
        <w:t>p̄</w:t>
      </w:r>
      <w:r>
        <w:rPr>
          <w:rFonts w:ascii="Arial" w:hAnsi="Arial"/>
          <w:color w:val="111827"/>
          <w:sz w:val="20"/>
        </w:rPr>
        <w:t xml:space="preserve">) × (1 − </w:t>
      </w:r>
      <w:r>
        <w:rPr>
          <w:rFonts w:ascii="Arial" w:hAnsi="Arial"/>
          <w:i/>
          <w:color w:val="111827"/>
          <w:sz w:val="20"/>
        </w:rPr>
        <w:t>F</w:t>
      </w:r>
      <w:r>
        <w:rPr>
          <w:rFonts w:ascii="Arial" w:hAnsi="Arial"/>
          <w:color w:val="111827"/>
          <w:sz w:val="16"/>
          <w:vertAlign w:val="subscript"/>
        </w:rPr>
        <w:t>ST</w:t>
      </w:r>
      <w:r>
        <w:rPr>
          <w:rFonts w:ascii="Arial" w:hAnsi="Arial"/>
          <w:color w:val="111827"/>
          <w:sz w:val="20"/>
        </w:rPr>
        <w:t>). When within-subpopulation inbreeding (</w:t>
      </w:r>
      <w:r>
        <w:rPr>
          <w:rFonts w:ascii="Arial" w:hAnsi="Arial"/>
          <w:i/>
          <w:color w:val="111827"/>
          <w:sz w:val="20"/>
        </w:rPr>
        <w:t>F</w:t>
      </w:r>
      <w:r>
        <w:rPr>
          <w:rFonts w:ascii="Arial" w:hAnsi="Arial"/>
          <w:color w:val="111827"/>
          <w:sz w:val="16"/>
          <w:vertAlign w:val="subscript"/>
        </w:rPr>
        <w:t>IS</w:t>
      </w:r>
      <w:r>
        <w:rPr>
          <w:rFonts w:ascii="Arial" w:hAnsi="Arial"/>
          <w:color w:val="111827"/>
          <w:sz w:val="20"/>
        </w:rPr>
        <w:t>) is non-zero, total fixation (</w:t>
      </w:r>
      <w:r>
        <w:rPr>
          <w:rFonts w:ascii="Arial" w:hAnsi="Arial"/>
          <w:i/>
          <w:color w:val="111827"/>
          <w:sz w:val="20"/>
        </w:rPr>
        <w:t>F</w:t>
      </w:r>
      <w:r>
        <w:rPr>
          <w:rFonts w:ascii="Arial" w:hAnsi="Arial"/>
          <w:color w:val="111827"/>
          <w:sz w:val="16"/>
          <w:vertAlign w:val="subscript"/>
        </w:rPr>
        <w:t>IT</w:t>
      </w:r>
      <w:r>
        <w:rPr>
          <w:rFonts w:ascii="Arial" w:hAnsi="Arial"/>
          <w:color w:val="111827"/>
          <w:sz w:val="20"/>
        </w:rPr>
        <w:t xml:space="preserve">) combines inbreeding and population differentiation through Wright's hierarchical island relation: 1 − </w:t>
      </w:r>
      <w:r>
        <w:rPr>
          <w:rFonts w:ascii="Arial" w:hAnsi="Arial"/>
          <w:i/>
          <w:color w:val="111827"/>
          <w:sz w:val="20"/>
        </w:rPr>
        <w:t>F</w:t>
      </w:r>
      <w:r>
        <w:rPr>
          <w:rFonts w:ascii="Arial" w:hAnsi="Arial"/>
          <w:color w:val="111827"/>
          <w:sz w:val="16"/>
          <w:vertAlign w:val="subscript"/>
        </w:rPr>
        <w:t>IT</w:t>
      </w:r>
      <w:r>
        <w:rPr>
          <w:rFonts w:ascii="Arial" w:hAnsi="Arial"/>
          <w:color w:val="111827"/>
          <w:sz w:val="20"/>
        </w:rPr>
        <w:t xml:space="preserve"> = (1 − </w:t>
      </w:r>
      <w:r>
        <w:rPr>
          <w:rFonts w:ascii="Arial" w:hAnsi="Arial"/>
          <w:i/>
          <w:color w:val="111827"/>
          <w:sz w:val="20"/>
        </w:rPr>
        <w:t>F</w:t>
      </w:r>
      <w:r>
        <w:rPr>
          <w:rFonts w:ascii="Arial" w:hAnsi="Arial"/>
          <w:color w:val="111827"/>
          <w:sz w:val="16"/>
          <w:vertAlign w:val="subscript"/>
        </w:rPr>
        <w:t>IS</w:t>
      </w:r>
      <w:r>
        <w:rPr>
          <w:rFonts w:ascii="Arial" w:hAnsi="Arial"/>
          <w:color w:val="111827"/>
          <w:sz w:val="20"/>
        </w:rPr>
        <w:t xml:space="preserve">) × (1 − </w:t>
      </w:r>
      <w:r>
        <w:rPr>
          <w:rFonts w:ascii="Arial" w:hAnsi="Arial"/>
          <w:i/>
          <w:color w:val="111827"/>
          <w:sz w:val="20"/>
        </w:rPr>
        <w:t>F</w:t>
      </w:r>
      <w:r>
        <w:rPr>
          <w:rFonts w:ascii="Arial" w:hAnsi="Arial"/>
          <w:color w:val="111827"/>
          <w:sz w:val="16"/>
          <w:vertAlign w:val="subscript"/>
        </w:rPr>
        <w:t>ST</w:t>
      </w:r>
      <w:r>
        <w:rPr>
          <w:rFonts w:ascii="Arial" w:hAnsi="Arial"/>
          <w:color w:val="111827"/>
          <w:sz w:val="20"/>
        </w:rPr>
        <w:t xml:space="preserve">) </w:t>
      </w:r>
      <w:r>
        <w:rPr>
          <w:rFonts w:ascii="Arial" w:hAnsi="Arial"/>
          <w:color w:val="111827"/>
          <w:sz w:val="20"/>
        </w:rPr>
        <w:t>⟹</w:t>
      </w:r>
      <w:r>
        <w:rPr>
          <w:rFonts w:ascii="Arial" w:hAnsi="Arial"/>
          <w:color w:val="111827"/>
          <w:sz w:val="20"/>
        </w:rPr>
        <w:t xml:space="preserve"> </w:t>
      </w:r>
      <w:r>
        <w:rPr>
          <w:rFonts w:ascii="Arial" w:hAnsi="Arial"/>
          <w:i/>
          <w:color w:val="111827"/>
          <w:sz w:val="20"/>
        </w:rPr>
        <w:t>F</w:t>
      </w:r>
      <w:r>
        <w:rPr>
          <w:rFonts w:ascii="Arial" w:hAnsi="Arial"/>
          <w:color w:val="111827"/>
          <w:sz w:val="16"/>
          <w:vertAlign w:val="subscript"/>
        </w:rPr>
        <w:t>IT</w:t>
      </w:r>
      <w:r>
        <w:rPr>
          <w:rFonts w:ascii="Arial" w:hAnsi="Arial"/>
          <w:color w:val="111827"/>
          <w:sz w:val="20"/>
        </w:rPr>
        <w:t xml:space="preserve"> = </w:t>
      </w:r>
      <w:r>
        <w:rPr>
          <w:rFonts w:ascii="Arial" w:hAnsi="Arial"/>
          <w:i/>
          <w:color w:val="111827"/>
          <w:sz w:val="20"/>
        </w:rPr>
        <w:t>F</w:t>
      </w:r>
      <w:r>
        <w:rPr>
          <w:rFonts w:ascii="Arial" w:hAnsi="Arial"/>
          <w:color w:val="111827"/>
          <w:sz w:val="16"/>
          <w:vertAlign w:val="subscript"/>
        </w:rPr>
        <w:t>IS</w:t>
      </w:r>
      <w:r>
        <w:rPr>
          <w:rFonts w:ascii="Arial" w:hAnsi="Arial"/>
          <w:color w:val="111827"/>
          <w:sz w:val="20"/>
        </w:rPr>
        <w:t xml:space="preserve"> + </w:t>
      </w:r>
      <w:r>
        <w:rPr>
          <w:rFonts w:ascii="Arial" w:hAnsi="Arial"/>
          <w:i/>
          <w:color w:val="111827"/>
          <w:sz w:val="20"/>
        </w:rPr>
        <w:t>F</w:t>
      </w:r>
      <w:r>
        <w:rPr>
          <w:rFonts w:ascii="Arial" w:hAnsi="Arial"/>
          <w:color w:val="111827"/>
          <w:sz w:val="16"/>
          <w:vertAlign w:val="subscript"/>
        </w:rPr>
        <w:t>ST</w:t>
      </w:r>
      <w:r>
        <w:rPr>
          <w:rFonts w:ascii="Arial" w:hAnsi="Arial"/>
          <w:color w:val="111827"/>
          <w:sz w:val="20"/>
        </w:rPr>
        <w:t xml:space="preserve"> − </w:t>
      </w:r>
      <w:r>
        <w:rPr>
          <w:rFonts w:ascii="Arial" w:hAnsi="Arial"/>
          <w:i/>
          <w:color w:val="111827"/>
          <w:sz w:val="20"/>
        </w:rPr>
        <w:t>F</w:t>
      </w:r>
      <w:r>
        <w:rPr>
          <w:rFonts w:ascii="Arial" w:hAnsi="Arial"/>
          <w:color w:val="111827"/>
          <w:sz w:val="16"/>
          <w:vertAlign w:val="subscript"/>
        </w:rPr>
        <w:t>IS</w:t>
      </w:r>
      <w:r>
        <w:rPr>
          <w:rFonts w:ascii="Arial" w:hAnsi="Arial"/>
          <w:color w:val="111827"/>
          <w:sz w:val="20"/>
        </w:rPr>
        <w:t xml:space="preserve"> × </w:t>
      </w:r>
      <w:r>
        <w:rPr>
          <w:rFonts w:ascii="Arial" w:hAnsi="Arial"/>
          <w:i/>
          <w:color w:val="111827"/>
          <w:sz w:val="20"/>
        </w:rPr>
        <w:t>F</w:t>
      </w:r>
      <w:r>
        <w:rPr>
          <w:rFonts w:ascii="Arial" w:hAnsi="Arial"/>
          <w:color w:val="111827"/>
          <w:sz w:val="16"/>
          <w:vertAlign w:val="subscript"/>
        </w:rPr>
        <w:t>ST</w:t>
      </w:r>
      <w:r>
        <w:rPr>
          <w:rFonts w:ascii="Arial" w:hAnsi="Arial"/>
          <w:color w:val="111827"/>
          <w:sz w:val="20"/>
        </w:rPr>
        <w:t xml:space="preserve">. In a pan-cohort sample of </w:t>
      </w:r>
      <w:r>
        <w:rPr>
          <w:rFonts w:ascii="Arial" w:hAnsi="Arial"/>
          <w:i/>
          <w:color w:val="111827"/>
          <w:sz w:val="20"/>
        </w:rPr>
        <w:t>N</w:t>
      </w:r>
      <w:r>
        <w:rPr>
          <w:rFonts w:ascii="Arial" w:hAnsi="Arial"/>
          <w:color w:val="111827"/>
          <w:sz w:val="20"/>
        </w:rPr>
        <w:t xml:space="preserve"> = 9,768 individuals, the classical 1-degree-of-freedom Pearson goodness-of-fit chi-square test statistic evaluates the discrepancy between observed and HWE-expected genotype counts: χ</w:t>
      </w:r>
      <w:r>
        <w:rPr>
          <w:rFonts w:ascii="Arial" w:hAnsi="Arial"/>
          <w:color w:val="111827"/>
          <w:sz w:val="16"/>
          <w:vertAlign w:val="superscript"/>
        </w:rPr>
        <w:t>2</w:t>
      </w:r>
      <w:r>
        <w:rPr>
          <w:rFonts w:ascii="Arial" w:hAnsi="Arial"/>
          <w:color w:val="111827"/>
          <w:sz w:val="16"/>
          <w:vertAlign w:val="subscript"/>
        </w:rPr>
        <w:t>HWE</w:t>
      </w:r>
      <w:r>
        <w:rPr>
          <w:rFonts w:ascii="Arial" w:hAnsi="Arial"/>
          <w:color w:val="111827"/>
          <w:sz w:val="20"/>
        </w:rPr>
        <w:t xml:space="preserve"> = [(</w:t>
      </w:r>
      <w:r>
        <w:rPr>
          <w:rFonts w:ascii="Arial" w:hAnsi="Arial"/>
          <w:i/>
          <w:color w:val="111827"/>
          <w:sz w:val="20"/>
        </w:rPr>
        <w:t>O</w:t>
      </w:r>
      <w:r>
        <w:rPr>
          <w:rFonts w:ascii="Arial" w:hAnsi="Arial"/>
          <w:color w:val="111827"/>
          <w:sz w:val="20"/>
        </w:rPr>
        <w:t xml:space="preserve">(AA) − </w:t>
      </w:r>
      <w:r>
        <w:rPr>
          <w:rFonts w:ascii="Arial" w:hAnsi="Arial"/>
          <w:i/>
          <w:color w:val="111827"/>
          <w:sz w:val="20"/>
        </w:rPr>
        <w:t>E</w:t>
      </w:r>
      <w:r>
        <w:rPr>
          <w:rFonts w:ascii="Arial" w:hAnsi="Arial"/>
          <w:color w:val="111827"/>
          <w:sz w:val="20"/>
        </w:rPr>
        <w:t>(AA))</w:t>
      </w:r>
      <w:r>
        <w:rPr>
          <w:rFonts w:ascii="Arial" w:hAnsi="Arial"/>
          <w:color w:val="111827"/>
          <w:sz w:val="16"/>
          <w:vertAlign w:val="superscript"/>
        </w:rPr>
        <w:t>2</w:t>
      </w:r>
      <w:r>
        <w:rPr>
          <w:rFonts w:ascii="Arial" w:hAnsi="Arial"/>
          <w:color w:val="111827"/>
          <w:sz w:val="20"/>
        </w:rPr>
        <w:t xml:space="preserve"> / </w:t>
      </w:r>
      <w:r>
        <w:rPr>
          <w:rFonts w:ascii="Arial" w:hAnsi="Arial"/>
          <w:i/>
          <w:color w:val="111827"/>
          <w:sz w:val="20"/>
        </w:rPr>
        <w:t>E</w:t>
      </w:r>
      <w:r>
        <w:rPr>
          <w:rFonts w:ascii="Arial" w:hAnsi="Arial"/>
          <w:color w:val="111827"/>
          <w:sz w:val="20"/>
        </w:rPr>
        <w:t>(AA)] + [(</w:t>
      </w:r>
      <w:r>
        <w:rPr>
          <w:rFonts w:ascii="Arial" w:hAnsi="Arial"/>
          <w:i/>
          <w:color w:val="111827"/>
          <w:sz w:val="20"/>
        </w:rPr>
        <w:t>O</w:t>
      </w:r>
      <w:r>
        <w:rPr>
          <w:rFonts w:ascii="Arial" w:hAnsi="Arial"/>
          <w:color w:val="111827"/>
          <w:sz w:val="20"/>
        </w:rPr>
        <w:t xml:space="preserve">(Aa) − </w:t>
      </w:r>
      <w:r>
        <w:rPr>
          <w:rFonts w:ascii="Arial" w:hAnsi="Arial"/>
          <w:i/>
          <w:color w:val="111827"/>
          <w:sz w:val="20"/>
        </w:rPr>
        <w:t>E</w:t>
      </w:r>
      <w:r>
        <w:rPr>
          <w:rFonts w:ascii="Arial" w:hAnsi="Arial"/>
          <w:color w:val="111827"/>
          <w:sz w:val="20"/>
        </w:rPr>
        <w:t>(Aa))</w:t>
      </w:r>
      <w:r>
        <w:rPr>
          <w:rFonts w:ascii="Arial" w:hAnsi="Arial"/>
          <w:color w:val="111827"/>
          <w:sz w:val="16"/>
          <w:vertAlign w:val="superscript"/>
        </w:rPr>
        <w:t>2</w:t>
      </w:r>
      <w:r>
        <w:rPr>
          <w:rFonts w:ascii="Arial" w:hAnsi="Arial"/>
          <w:color w:val="111827"/>
          <w:sz w:val="20"/>
        </w:rPr>
        <w:t xml:space="preserve"> / </w:t>
      </w:r>
      <w:r>
        <w:rPr>
          <w:rFonts w:ascii="Arial" w:hAnsi="Arial"/>
          <w:i/>
          <w:color w:val="111827"/>
          <w:sz w:val="20"/>
        </w:rPr>
        <w:t>E</w:t>
      </w:r>
      <w:r>
        <w:rPr>
          <w:rFonts w:ascii="Arial" w:hAnsi="Arial"/>
          <w:color w:val="111827"/>
          <w:sz w:val="20"/>
        </w:rPr>
        <w:t>(Aa)] + [(</w:t>
      </w:r>
      <w:r>
        <w:rPr>
          <w:rFonts w:ascii="Arial" w:hAnsi="Arial"/>
          <w:i/>
          <w:color w:val="111827"/>
          <w:sz w:val="20"/>
        </w:rPr>
        <w:t>O</w:t>
      </w:r>
      <w:r>
        <w:rPr>
          <w:rFonts w:ascii="Arial" w:hAnsi="Arial"/>
          <w:color w:val="111827"/>
          <w:sz w:val="20"/>
        </w:rPr>
        <w:t xml:space="preserve">(aa) − </w:t>
      </w:r>
      <w:r>
        <w:rPr>
          <w:rFonts w:ascii="Arial" w:hAnsi="Arial"/>
          <w:i/>
          <w:color w:val="111827"/>
          <w:sz w:val="20"/>
        </w:rPr>
        <w:t>E</w:t>
      </w:r>
      <w:r>
        <w:rPr>
          <w:rFonts w:ascii="Arial" w:hAnsi="Arial"/>
          <w:color w:val="111827"/>
          <w:sz w:val="20"/>
        </w:rPr>
        <w:t>(aa))</w:t>
      </w:r>
      <w:r>
        <w:rPr>
          <w:rFonts w:ascii="Arial" w:hAnsi="Arial"/>
          <w:color w:val="111827"/>
          <w:sz w:val="16"/>
          <w:vertAlign w:val="superscript"/>
        </w:rPr>
        <w:t>2</w:t>
      </w:r>
      <w:r>
        <w:rPr>
          <w:rFonts w:ascii="Arial" w:hAnsi="Arial"/>
          <w:color w:val="111827"/>
          <w:sz w:val="20"/>
        </w:rPr>
        <w:t xml:space="preserve"> / </w:t>
      </w:r>
      <w:r>
        <w:rPr>
          <w:rFonts w:ascii="Arial" w:hAnsi="Arial"/>
          <w:i/>
          <w:color w:val="111827"/>
          <w:sz w:val="20"/>
        </w:rPr>
        <w:t>E</w:t>
      </w:r>
      <w:r>
        <w:rPr>
          <w:rFonts w:ascii="Arial" w:hAnsi="Arial"/>
          <w:color w:val="111827"/>
          <w:sz w:val="20"/>
        </w:rPr>
        <w:t>(aa)]. Substituting the total fixation deficit yields the exact quadratic expression: χ</w:t>
      </w:r>
      <w:r>
        <w:rPr>
          <w:rFonts w:ascii="Arial" w:hAnsi="Arial"/>
          <w:color w:val="111827"/>
          <w:sz w:val="16"/>
          <w:vertAlign w:val="superscript"/>
        </w:rPr>
        <w:t>2</w:t>
      </w:r>
      <w:r>
        <w:rPr>
          <w:rFonts w:ascii="Arial" w:hAnsi="Arial"/>
          <w:color w:val="111827"/>
          <w:sz w:val="16"/>
          <w:vertAlign w:val="subscript"/>
        </w:rPr>
        <w:t>HWE</w:t>
      </w:r>
      <w:r>
        <w:rPr>
          <w:rFonts w:ascii="Arial" w:hAnsi="Arial"/>
          <w:color w:val="111827"/>
          <w:sz w:val="20"/>
        </w:rPr>
        <w:t xml:space="preserve"> = </w:t>
      </w:r>
      <w:r>
        <w:rPr>
          <w:rFonts w:ascii="Arial" w:hAnsi="Arial"/>
          <w:i/>
          <w:color w:val="111827"/>
          <w:sz w:val="20"/>
        </w:rPr>
        <w:t>N</w:t>
      </w:r>
      <w:r>
        <w:rPr>
          <w:rFonts w:ascii="Arial" w:hAnsi="Arial"/>
          <w:color w:val="111827"/>
          <w:sz w:val="20"/>
        </w:rPr>
        <w:t xml:space="preserve"> × </w:t>
      </w:r>
      <w:r>
        <w:rPr>
          <w:rFonts w:ascii="Arial" w:hAnsi="Arial"/>
          <w:i/>
          <w:color w:val="111827"/>
          <w:sz w:val="20"/>
        </w:rPr>
        <w:t>F</w:t>
      </w:r>
      <w:r>
        <w:rPr>
          <w:rFonts w:ascii="Arial" w:hAnsi="Arial"/>
          <w:color w:val="111827"/>
          <w:sz w:val="16"/>
          <w:vertAlign w:val="subscript"/>
        </w:rPr>
        <w:t>IT</w:t>
      </w:r>
      <w:r>
        <w:rPr>
          <w:rFonts w:ascii="Arial" w:hAnsi="Arial"/>
          <w:color w:val="111827"/>
          <w:sz w:val="16"/>
          <w:vertAlign w:val="superscript"/>
        </w:rPr>
        <w:t>2</w:t>
      </w:r>
      <w:r>
        <w:rPr>
          <w:rFonts w:ascii="Arial" w:hAnsi="Arial"/>
          <w:color w:val="111827"/>
          <w:sz w:val="20"/>
        </w:rPr>
        <w:t xml:space="preserve"> = </w:t>
      </w:r>
      <w:r>
        <w:rPr>
          <w:rFonts w:ascii="Arial" w:hAnsi="Arial"/>
          <w:i/>
          <w:color w:val="111827"/>
          <w:sz w:val="20"/>
        </w:rPr>
        <w:t>N</w:t>
      </w:r>
      <w:r>
        <w:rPr>
          <w:rFonts w:ascii="Arial" w:hAnsi="Arial"/>
          <w:color w:val="111827"/>
          <w:sz w:val="20"/>
        </w:rPr>
        <w:t xml:space="preserve"> × (</w:t>
      </w:r>
      <w:r>
        <w:rPr>
          <w:rFonts w:ascii="Arial" w:hAnsi="Arial"/>
          <w:i/>
          <w:color w:val="111827"/>
          <w:sz w:val="20"/>
        </w:rPr>
        <w:t>F</w:t>
      </w:r>
      <w:r>
        <w:rPr>
          <w:rFonts w:ascii="Arial" w:hAnsi="Arial"/>
          <w:color w:val="111827"/>
          <w:sz w:val="16"/>
          <w:vertAlign w:val="subscript"/>
        </w:rPr>
        <w:t>ST</w:t>
      </w:r>
      <w:r>
        <w:rPr>
          <w:rFonts w:ascii="Arial" w:hAnsi="Arial"/>
          <w:color w:val="111827"/>
          <w:sz w:val="20"/>
        </w:rPr>
        <w:t xml:space="preserve"> + </w:t>
      </w:r>
      <w:r>
        <w:rPr>
          <w:rFonts w:ascii="Arial" w:hAnsi="Arial"/>
          <w:i/>
          <w:color w:val="111827"/>
          <w:sz w:val="20"/>
        </w:rPr>
        <w:t>F</w:t>
      </w:r>
      <w:r>
        <w:rPr>
          <w:rFonts w:ascii="Arial" w:hAnsi="Arial"/>
          <w:color w:val="111827"/>
          <w:sz w:val="16"/>
          <w:vertAlign w:val="subscript"/>
        </w:rPr>
        <w:t>IS</w:t>
      </w:r>
      <w:r>
        <w:rPr>
          <w:rFonts w:ascii="Arial" w:hAnsi="Arial"/>
          <w:color w:val="111827"/>
          <w:sz w:val="20"/>
        </w:rPr>
        <w:t xml:space="preserve"> − </w:t>
      </w:r>
      <w:r>
        <w:rPr>
          <w:rFonts w:ascii="Arial" w:hAnsi="Arial"/>
          <w:i/>
          <w:color w:val="111827"/>
          <w:sz w:val="20"/>
        </w:rPr>
        <w:t>F</w:t>
      </w:r>
      <w:r>
        <w:rPr>
          <w:rFonts w:ascii="Arial" w:hAnsi="Arial"/>
          <w:color w:val="111827"/>
          <w:sz w:val="16"/>
          <w:vertAlign w:val="subscript"/>
        </w:rPr>
        <w:t>ST</w:t>
      </w:r>
      <w:r>
        <w:rPr>
          <w:rFonts w:ascii="Arial" w:hAnsi="Arial"/>
          <w:color w:val="111827"/>
          <w:sz w:val="20"/>
        </w:rPr>
        <w:t xml:space="preserve"> × </w:t>
      </w:r>
      <w:r>
        <w:rPr>
          <w:rFonts w:ascii="Arial" w:hAnsi="Arial"/>
          <w:i/>
          <w:color w:val="111827"/>
          <w:sz w:val="20"/>
        </w:rPr>
        <w:t>F</w:t>
      </w:r>
      <w:r>
        <w:rPr>
          <w:rFonts w:ascii="Arial" w:hAnsi="Arial"/>
          <w:color w:val="111827"/>
          <w:sz w:val="16"/>
          <w:vertAlign w:val="subscript"/>
        </w:rPr>
        <w:t>IS</w:t>
      </w:r>
      <w:r>
        <w:rPr>
          <w:rFonts w:ascii="Arial" w:hAnsi="Arial"/>
          <w:color w:val="111827"/>
          <w:sz w:val="20"/>
        </w:rPr>
        <w:t>)</w:t>
      </w:r>
      <w:r>
        <w:rPr>
          <w:rFonts w:ascii="Arial" w:hAnsi="Arial"/>
          <w:color w:val="111827"/>
          <w:sz w:val="16"/>
          <w:vertAlign w:val="superscript"/>
        </w:rPr>
        <w:t>2</w:t>
      </w:r>
      <w:r>
        <w:rPr>
          <w:rFonts w:ascii="Arial" w:hAnsi="Arial"/>
          <w:color w:val="111827"/>
          <w:sz w:val="20"/>
        </w:rPr>
        <w:t xml:space="preserve">. Consortium variant-calling pipelines (e.g. GATK Best Practices) routinely filter out variants with pan-cohort HWE </w:t>
      </w:r>
      <w:r>
        <w:rPr>
          <w:rFonts w:ascii="Arial" w:hAnsi="Arial"/>
          <w:i/>
          <w:color w:val="111827"/>
          <w:sz w:val="20"/>
        </w:rPr>
        <w:t>P</w:t>
      </w:r>
      <w:r>
        <w:rPr>
          <w:rFonts w:ascii="Arial" w:hAnsi="Arial"/>
          <w:color w:val="111827"/>
          <w:sz w:val="20"/>
        </w:rPr>
        <w:t xml:space="preserve"> ≤ 10</w:t>
      </w:r>
      <w:r>
        <w:rPr>
          <w:rFonts w:ascii="Arial" w:hAnsi="Arial"/>
          <w:color w:val="111827"/>
          <w:sz w:val="16"/>
          <w:vertAlign w:val="superscript"/>
        </w:rPr>
        <w:t>-11</w:t>
      </w:r>
      <w:r>
        <w:rPr>
          <w:rFonts w:ascii="Arial" w:hAnsi="Arial"/>
          <w:color w:val="111827"/>
          <w:sz w:val="20"/>
        </w:rPr>
        <w:t>, which for 1 degree of freedom corresponds to a rejection threshold of χ</w:t>
      </w:r>
      <w:r>
        <w:rPr>
          <w:rFonts w:ascii="Arial" w:hAnsi="Arial"/>
          <w:color w:val="111827"/>
          <w:sz w:val="16"/>
          <w:vertAlign w:val="superscript"/>
        </w:rPr>
        <w:t>2</w:t>
      </w:r>
      <w:r>
        <w:rPr>
          <w:rFonts w:ascii="Arial" w:hAnsi="Arial"/>
          <w:color w:val="111827"/>
          <w:sz w:val="16"/>
          <w:vertAlign w:val="subscript"/>
        </w:rPr>
        <w:t>HWE</w:t>
      </w:r>
      <w:r>
        <w:rPr>
          <w:rFonts w:ascii="Arial" w:hAnsi="Arial"/>
          <w:color w:val="111827"/>
          <w:sz w:val="20"/>
        </w:rPr>
        <w:t xml:space="preserve"> ≥ 46.23. Solving </w:t>
      </w:r>
      <w:r>
        <w:rPr>
          <w:rFonts w:ascii="Arial" w:hAnsi="Arial"/>
          <w:i/>
          <w:color w:val="111827"/>
          <w:sz w:val="20"/>
        </w:rPr>
        <w:t>N</w:t>
      </w:r>
      <w:r>
        <w:rPr>
          <w:rFonts w:ascii="Arial" w:hAnsi="Arial"/>
          <w:color w:val="111827"/>
          <w:sz w:val="20"/>
        </w:rPr>
        <w:t xml:space="preserve"> × </w:t>
      </w:r>
      <w:r>
        <w:rPr>
          <w:rFonts w:ascii="Arial" w:hAnsi="Arial"/>
          <w:i/>
          <w:color w:val="111827"/>
          <w:sz w:val="20"/>
        </w:rPr>
        <w:t>F</w:t>
      </w:r>
      <w:r>
        <w:rPr>
          <w:rFonts w:ascii="Arial" w:hAnsi="Arial"/>
          <w:color w:val="111827"/>
          <w:sz w:val="16"/>
          <w:vertAlign w:val="subscript"/>
        </w:rPr>
        <w:t>IT</w:t>
      </w:r>
      <w:r>
        <w:rPr>
          <w:rFonts w:ascii="Arial" w:hAnsi="Arial"/>
          <w:color w:val="111827"/>
          <w:sz w:val="16"/>
          <w:vertAlign w:val="superscript"/>
        </w:rPr>
        <w:t>2</w:t>
      </w:r>
      <w:r>
        <w:rPr>
          <w:rFonts w:ascii="Arial" w:hAnsi="Arial"/>
          <w:color w:val="111827"/>
          <w:sz w:val="20"/>
        </w:rPr>
        <w:t xml:space="preserve"> ≥ 46.23 yields </w:t>
      </w:r>
      <w:r>
        <w:rPr>
          <w:rFonts w:ascii="Arial" w:hAnsi="Arial"/>
          <w:i/>
          <w:color w:val="111827"/>
          <w:sz w:val="20"/>
        </w:rPr>
        <w:t>F</w:t>
      </w:r>
      <w:r>
        <w:rPr>
          <w:rFonts w:ascii="Arial" w:hAnsi="Arial"/>
          <w:color w:val="111827"/>
          <w:sz w:val="16"/>
          <w:vertAlign w:val="subscript"/>
        </w:rPr>
        <w:t>IT</w:t>
      </w:r>
      <w:r>
        <w:rPr>
          <w:rFonts w:ascii="Arial" w:hAnsi="Arial"/>
          <w:color w:val="111827"/>
          <w:sz w:val="20"/>
        </w:rPr>
        <w:t xml:space="preserve"> ≥ √(46.23 / 9768) = 0.06880. Incorporating the mean within-community endogamy baseline across Indian populations (</w:t>
      </w:r>
      <w:r>
        <w:rPr>
          <w:rFonts w:ascii="Arial" w:hAnsi="Arial"/>
          <w:i/>
          <w:color w:val="111827"/>
          <w:sz w:val="20"/>
        </w:rPr>
        <w:t>F</w:t>
      </w:r>
      <w:r>
        <w:rPr>
          <w:rFonts w:ascii="Arial" w:hAnsi="Arial"/>
          <w:color w:val="111827"/>
          <w:sz w:val="16"/>
          <w:vertAlign w:val="subscript"/>
        </w:rPr>
        <w:t>IS</w:t>
      </w:r>
      <w:r>
        <w:rPr>
          <w:rFonts w:ascii="Arial" w:hAnsi="Arial"/>
          <w:color w:val="111827"/>
          <w:sz w:val="20"/>
        </w:rPr>
        <w:t xml:space="preserve"> = 0.0144) defines the between-subpopulation Wahlund rejection threshold: </w:t>
      </w:r>
      <w:r>
        <w:rPr>
          <w:rFonts w:ascii="Arial" w:hAnsi="Arial"/>
          <w:i/>
          <w:color w:val="111827"/>
          <w:sz w:val="20"/>
        </w:rPr>
        <w:t>F</w:t>
      </w:r>
      <w:r>
        <w:rPr>
          <w:rFonts w:ascii="Arial" w:hAnsi="Arial"/>
          <w:color w:val="111827"/>
          <w:sz w:val="16"/>
          <w:vertAlign w:val="subscript"/>
        </w:rPr>
        <w:t>ST</w:t>
      </w:r>
      <w:r>
        <w:rPr>
          <w:rFonts w:ascii="Arial" w:hAnsi="Arial"/>
          <w:color w:val="111827"/>
          <w:sz w:val="20"/>
        </w:rPr>
        <w:t xml:space="preserve"> ≥ (</w:t>
      </w:r>
      <w:r>
        <w:rPr>
          <w:rFonts w:ascii="Arial" w:hAnsi="Arial"/>
          <w:i/>
          <w:color w:val="111827"/>
          <w:sz w:val="20"/>
        </w:rPr>
        <w:t>F</w:t>
      </w:r>
      <w:r>
        <w:rPr>
          <w:rFonts w:ascii="Arial" w:hAnsi="Arial"/>
          <w:color w:val="111827"/>
          <w:sz w:val="16"/>
          <w:vertAlign w:val="subscript"/>
        </w:rPr>
        <w:t>IT</w:t>
      </w:r>
      <w:r>
        <w:rPr>
          <w:rFonts w:ascii="Arial" w:hAnsi="Arial"/>
          <w:color w:val="111827"/>
          <w:sz w:val="20"/>
        </w:rPr>
        <w:t xml:space="preserve"> − </w:t>
      </w:r>
      <w:r>
        <w:rPr>
          <w:rFonts w:ascii="Arial" w:hAnsi="Arial"/>
          <w:i/>
          <w:color w:val="111827"/>
          <w:sz w:val="20"/>
        </w:rPr>
        <w:t>F</w:t>
      </w:r>
      <w:r>
        <w:rPr>
          <w:rFonts w:ascii="Arial" w:hAnsi="Arial"/>
          <w:color w:val="111827"/>
          <w:sz w:val="16"/>
          <w:vertAlign w:val="subscript"/>
        </w:rPr>
        <w:t>IS</w:t>
      </w:r>
      <w:r>
        <w:rPr>
          <w:rFonts w:ascii="Arial" w:hAnsi="Arial"/>
          <w:color w:val="111827"/>
          <w:sz w:val="20"/>
        </w:rPr>
        <w:t xml:space="preserve">) / (1 − </w:t>
      </w:r>
      <w:r>
        <w:rPr>
          <w:rFonts w:ascii="Arial" w:hAnsi="Arial"/>
          <w:i/>
          <w:color w:val="111827"/>
          <w:sz w:val="20"/>
        </w:rPr>
        <w:t>F</w:t>
      </w:r>
      <w:r>
        <w:rPr>
          <w:rFonts w:ascii="Arial" w:hAnsi="Arial"/>
          <w:color w:val="111827"/>
          <w:sz w:val="16"/>
          <w:vertAlign w:val="subscript"/>
        </w:rPr>
        <w:t>IS</w:t>
      </w:r>
      <w:r>
        <w:rPr>
          <w:rFonts w:ascii="Arial" w:hAnsi="Arial"/>
          <w:color w:val="111827"/>
          <w:sz w:val="20"/>
        </w:rPr>
        <w:t xml:space="preserve">) = (0.06880 − 0.0144) / (1 − 0.0144) = 0.0544 (canonical empirical threshold </w:t>
      </w:r>
      <w:r>
        <w:rPr>
          <w:rFonts w:ascii="Arial" w:hAnsi="Arial"/>
          <w:i/>
          <w:color w:val="111827"/>
          <w:sz w:val="20"/>
        </w:rPr>
        <w:t>F</w:t>
      </w:r>
      <w:r>
        <w:rPr>
          <w:rFonts w:ascii="Arial" w:hAnsi="Arial"/>
          <w:color w:val="111827"/>
          <w:sz w:val="16"/>
          <w:vertAlign w:val="subscript"/>
        </w:rPr>
        <w:t>ST</w:t>
      </w:r>
      <w:r>
        <w:rPr>
          <w:rFonts w:ascii="Arial" w:hAnsi="Arial"/>
          <w:color w:val="111827"/>
          <w:sz w:val="20"/>
        </w:rPr>
        <w:t xml:space="preserve"> ≥ 0.0552). Consequently, any biologically authentic, medically critical variant with subpopulation divergence </w:t>
      </w:r>
      <w:r>
        <w:rPr>
          <w:rFonts w:ascii="Arial" w:hAnsi="Arial"/>
          <w:i/>
          <w:color w:val="111827"/>
          <w:sz w:val="20"/>
        </w:rPr>
        <w:t>F</w:t>
      </w:r>
      <w:r>
        <w:rPr>
          <w:rFonts w:ascii="Arial" w:hAnsi="Arial"/>
          <w:color w:val="111827"/>
          <w:sz w:val="16"/>
          <w:vertAlign w:val="subscript"/>
        </w:rPr>
        <w:t>ST</w:t>
      </w:r>
      <w:r>
        <w:rPr>
          <w:rFonts w:ascii="Arial" w:hAnsi="Arial"/>
          <w:color w:val="111827"/>
          <w:sz w:val="20"/>
        </w:rPr>
        <w:t xml:space="preserve"> ≥ 0.0544 (total fixation </w:t>
      </w:r>
      <w:r>
        <w:rPr>
          <w:rFonts w:ascii="Arial" w:hAnsi="Arial"/>
          <w:i/>
          <w:color w:val="111827"/>
          <w:sz w:val="20"/>
        </w:rPr>
        <w:t>F</w:t>
      </w:r>
      <w:r>
        <w:rPr>
          <w:rFonts w:ascii="Arial" w:hAnsi="Arial"/>
          <w:color w:val="111827"/>
          <w:sz w:val="16"/>
          <w:vertAlign w:val="subscript"/>
        </w:rPr>
        <w:t>IT</w:t>
      </w:r>
      <w:r>
        <w:rPr>
          <w:rFonts w:ascii="Arial" w:hAnsi="Arial"/>
          <w:color w:val="111827"/>
          <w:sz w:val="20"/>
        </w:rPr>
        <w:t xml:space="preserve"> ≥ 0.0688) is automatically and falsely rejected in pooled joint calling QC. Authentic loci such as </w:t>
      </w:r>
      <w:r>
        <w:rPr>
          <w:rFonts w:ascii="Arial" w:hAnsi="Arial"/>
          <w:i/>
          <w:color w:val="111827"/>
          <w:sz w:val="20"/>
        </w:rPr>
        <w:t>HBB</w:t>
      </w:r>
      <w:r>
        <w:rPr>
          <w:rFonts w:ascii="Arial" w:hAnsi="Arial"/>
          <w:color w:val="111827"/>
          <w:sz w:val="20"/>
        </w:rPr>
        <w:t xml:space="preserve"> rs334 (</w:t>
      </w:r>
      <w:r>
        <w:rPr>
          <w:rFonts w:ascii="Arial" w:hAnsi="Arial"/>
          <w:i/>
          <w:color w:val="111827"/>
          <w:sz w:val="20"/>
        </w:rPr>
        <w:t>F</w:t>
      </w:r>
      <w:r>
        <w:rPr>
          <w:rFonts w:ascii="Arial" w:hAnsi="Arial"/>
          <w:color w:val="111827"/>
          <w:sz w:val="16"/>
          <w:vertAlign w:val="subscript"/>
        </w:rPr>
        <w:t>ST</w:t>
      </w:r>
      <w:r>
        <w:rPr>
          <w:rFonts w:ascii="Arial" w:hAnsi="Arial"/>
          <w:color w:val="111827"/>
          <w:sz w:val="20"/>
        </w:rPr>
        <w:t xml:space="preserve"> = 0.0867, </w:t>
      </w:r>
      <w:r>
        <w:rPr>
          <w:rFonts w:ascii="Arial" w:hAnsi="Arial"/>
          <w:i/>
          <w:color w:val="111827"/>
          <w:sz w:val="20"/>
        </w:rPr>
        <w:t>F</w:t>
      </w:r>
      <w:r>
        <w:rPr>
          <w:rFonts w:ascii="Arial" w:hAnsi="Arial"/>
          <w:color w:val="111827"/>
          <w:sz w:val="16"/>
          <w:vertAlign w:val="subscript"/>
        </w:rPr>
        <w:t>IT</w:t>
      </w:r>
      <w:r>
        <w:rPr>
          <w:rFonts w:ascii="Arial" w:hAnsi="Arial"/>
          <w:color w:val="111827"/>
          <w:sz w:val="20"/>
        </w:rPr>
        <w:t xml:space="preserve"> = 0.0999, quadratic χ</w:t>
      </w:r>
      <w:r>
        <w:rPr>
          <w:rFonts w:ascii="Arial" w:hAnsi="Arial"/>
          <w:color w:val="111827"/>
          <w:sz w:val="16"/>
          <w:vertAlign w:val="superscript"/>
        </w:rPr>
        <w:t>2</w:t>
      </w:r>
      <w:r>
        <w:rPr>
          <w:rFonts w:ascii="Arial" w:hAnsi="Arial"/>
          <w:color w:val="111827"/>
          <w:sz w:val="16"/>
          <w:vertAlign w:val="subscript"/>
        </w:rPr>
        <w:t>HWE</w:t>
      </w:r>
      <w:r>
        <w:rPr>
          <w:rFonts w:ascii="Arial" w:hAnsi="Arial"/>
          <w:color w:val="111827"/>
          <w:sz w:val="20"/>
        </w:rPr>
        <w:t xml:space="preserve"> = 97.39; empirical χ</w:t>
      </w:r>
      <w:r>
        <w:rPr>
          <w:rFonts w:ascii="Arial" w:hAnsi="Arial"/>
          <w:color w:val="111827"/>
          <w:sz w:val="16"/>
          <w:vertAlign w:val="superscript"/>
        </w:rPr>
        <w:t>2</w:t>
      </w:r>
      <w:r>
        <w:rPr>
          <w:rFonts w:ascii="Arial" w:hAnsi="Arial"/>
          <w:color w:val="111827"/>
          <w:sz w:val="16"/>
          <w:vertAlign w:val="subscript"/>
        </w:rPr>
        <w:t>HWE</w:t>
      </w:r>
      <w:r>
        <w:rPr>
          <w:rFonts w:ascii="Arial" w:hAnsi="Arial"/>
          <w:color w:val="111827"/>
          <w:sz w:val="20"/>
        </w:rPr>
        <w:t xml:space="preserve"> = 97.7), </w:t>
      </w:r>
      <w:r>
        <w:rPr>
          <w:rFonts w:ascii="Arial" w:hAnsi="Arial"/>
          <w:i/>
          <w:color w:val="111827"/>
          <w:sz w:val="20"/>
        </w:rPr>
        <w:t>SLC24A5</w:t>
      </w:r>
      <w:r>
        <w:rPr>
          <w:rFonts w:ascii="Arial" w:hAnsi="Arial"/>
          <w:color w:val="111827"/>
          <w:sz w:val="20"/>
        </w:rPr>
        <w:t xml:space="preserve"> rs1426654 (</w:t>
      </w:r>
      <w:r>
        <w:rPr>
          <w:rFonts w:ascii="Arial" w:hAnsi="Arial"/>
          <w:i/>
          <w:color w:val="111827"/>
          <w:sz w:val="20"/>
        </w:rPr>
        <w:t>F</w:t>
      </w:r>
      <w:r>
        <w:rPr>
          <w:rFonts w:ascii="Arial" w:hAnsi="Arial"/>
          <w:color w:val="111827"/>
          <w:sz w:val="16"/>
          <w:vertAlign w:val="subscript"/>
        </w:rPr>
        <w:t>ST</w:t>
      </w:r>
      <w:r>
        <w:rPr>
          <w:rFonts w:ascii="Arial" w:hAnsi="Arial"/>
          <w:color w:val="111827"/>
          <w:sz w:val="20"/>
        </w:rPr>
        <w:t xml:space="preserve"> = 0.0712, quadratic χ</w:t>
      </w:r>
      <w:r>
        <w:rPr>
          <w:rFonts w:ascii="Arial" w:hAnsi="Arial"/>
          <w:color w:val="111827"/>
          <w:sz w:val="16"/>
          <w:vertAlign w:val="superscript"/>
        </w:rPr>
        <w:t>2</w:t>
      </w:r>
      <w:r>
        <w:rPr>
          <w:rFonts w:ascii="Arial" w:hAnsi="Arial"/>
          <w:color w:val="111827"/>
          <w:sz w:val="16"/>
          <w:vertAlign w:val="subscript"/>
        </w:rPr>
        <w:t>HWE</w:t>
      </w:r>
      <w:r>
        <w:rPr>
          <w:rFonts w:ascii="Arial" w:hAnsi="Arial"/>
          <w:color w:val="111827"/>
          <w:sz w:val="20"/>
        </w:rPr>
        <w:t xml:space="preserve"> = 69.87), </w:t>
      </w:r>
      <w:r>
        <w:rPr>
          <w:rFonts w:ascii="Arial" w:hAnsi="Arial"/>
          <w:i/>
          <w:color w:val="111827"/>
          <w:sz w:val="20"/>
        </w:rPr>
        <w:t>VKORC1</w:t>
      </w:r>
      <w:r>
        <w:rPr>
          <w:rFonts w:ascii="Arial" w:hAnsi="Arial"/>
          <w:color w:val="111827"/>
          <w:sz w:val="20"/>
        </w:rPr>
        <w:t xml:space="preserve"> rs9923231 (</w:t>
      </w:r>
      <w:r>
        <w:rPr>
          <w:rFonts w:ascii="Arial" w:hAnsi="Arial"/>
          <w:i/>
          <w:color w:val="111827"/>
          <w:sz w:val="20"/>
        </w:rPr>
        <w:t>F</w:t>
      </w:r>
      <w:r>
        <w:rPr>
          <w:rFonts w:ascii="Arial" w:hAnsi="Arial"/>
          <w:color w:val="111827"/>
          <w:sz w:val="16"/>
          <w:vertAlign w:val="subscript"/>
        </w:rPr>
        <w:t>ST</w:t>
      </w:r>
      <w:r>
        <w:rPr>
          <w:rFonts w:ascii="Arial" w:hAnsi="Arial"/>
          <w:color w:val="111827"/>
          <w:sz w:val="20"/>
        </w:rPr>
        <w:t xml:space="preserve"> = 0.0710, quadratic χ</w:t>
      </w:r>
      <w:r>
        <w:rPr>
          <w:rFonts w:ascii="Arial" w:hAnsi="Arial"/>
          <w:color w:val="111827"/>
          <w:sz w:val="16"/>
          <w:vertAlign w:val="superscript"/>
        </w:rPr>
        <w:t>2</w:t>
      </w:r>
      <w:r>
        <w:rPr>
          <w:rFonts w:ascii="Arial" w:hAnsi="Arial"/>
          <w:color w:val="111827"/>
          <w:sz w:val="16"/>
          <w:vertAlign w:val="subscript"/>
        </w:rPr>
        <w:t>HWE</w:t>
      </w:r>
      <w:r>
        <w:rPr>
          <w:rFonts w:ascii="Arial" w:hAnsi="Arial"/>
          <w:color w:val="111827"/>
          <w:sz w:val="20"/>
        </w:rPr>
        <w:t xml:space="preserve"> = 69.54), and </w:t>
      </w:r>
      <w:r>
        <w:rPr>
          <w:rFonts w:ascii="Arial" w:hAnsi="Arial"/>
          <w:i/>
          <w:color w:val="111827"/>
          <w:sz w:val="20"/>
        </w:rPr>
        <w:t>DPYD</w:t>
      </w:r>
      <w:r>
        <w:rPr>
          <w:rFonts w:ascii="Arial" w:hAnsi="Arial"/>
          <w:color w:val="111827"/>
          <w:sz w:val="20"/>
        </w:rPr>
        <w:t xml:space="preserve"> pLoF (empirical χ</w:t>
      </w:r>
      <w:r>
        <w:rPr>
          <w:rFonts w:ascii="Arial" w:hAnsi="Arial"/>
          <w:color w:val="111827"/>
          <w:sz w:val="16"/>
          <w:vertAlign w:val="superscript"/>
        </w:rPr>
        <w:t>2</w:t>
      </w:r>
      <w:r>
        <w:rPr>
          <w:rFonts w:ascii="Arial" w:hAnsi="Arial"/>
          <w:color w:val="111827"/>
          <w:sz w:val="16"/>
          <w:vertAlign w:val="subscript"/>
        </w:rPr>
        <w:t>HWE</w:t>
      </w:r>
      <w:r>
        <w:rPr>
          <w:rFonts w:ascii="Arial" w:hAnsi="Arial"/>
          <w:color w:val="111827"/>
          <w:sz w:val="20"/>
        </w:rPr>
        <w:t xml:space="preserve"> = 64.20) breach the threshold, demonstrating that HWE QC must strictly be evaluated within endogamous strata rather than across pooled cohorts (Supplementary Table S9).</w:t>
      </w:r>
    </w:p>
    <w:p w14:paraId="3B6EFC1F" w14:textId="77777777" w:rsidR="00FE6131" w:rsidRDefault="00C93A9C">
      <w:pPr>
        <w:keepNext/>
        <w:spacing w:before="360" w:after="120"/>
      </w:pPr>
      <w:r>
        <w:rPr>
          <w:rFonts w:ascii="Arial" w:hAnsi="Arial"/>
          <w:b/>
          <w:color w:val="0F172A"/>
          <w:sz w:val="24"/>
        </w:rPr>
        <w:t>Supplementary Note 2: Dual-Track ClinGen PopMax Decision Boundaries and Misdiagnosis Prevention</w:t>
      </w:r>
    </w:p>
    <w:p w14:paraId="2BCB0628" w14:textId="77777777" w:rsidR="00FE6131" w:rsidRDefault="00C93A9C">
      <w:pPr>
        <w:spacing w:after="160" w:line="300" w:lineRule="auto"/>
        <w:jc w:val="both"/>
      </w:pPr>
      <w:r>
        <w:rPr>
          <w:rFonts w:ascii="Arial" w:hAnsi="Arial"/>
          <w:color w:val="111827"/>
          <w:sz w:val="20"/>
        </w:rPr>
        <w:t xml:space="preserve">Under ACMG/ClinGen sequence variant interpretation standards, allele frequency thresholds are established to filter out benign polymorphisms. Specifically, the BA1 stand-alone benign criterion requires an allele frequency ≥ 5.0%, whereas BS1 strong benign evidence is met when the frequency exceeds the maximum credible disease frequency (typically 1.0% to 5.0%). To account for population substructure, </w:t>
      </w:r>
      <w:r>
        <w:rPr>
          <w:rFonts w:ascii="Arial" w:hAnsi="Arial"/>
          <w:color w:val="111827"/>
          <w:sz w:val="20"/>
        </w:rPr>
        <w:lastRenderedPageBreak/>
        <w:t xml:space="preserve">ClinGen recommends using the maximum subpopulation frequency (PopMax), provided the population sample size exceeds </w:t>
      </w:r>
      <w:r>
        <w:rPr>
          <w:rFonts w:ascii="Arial" w:hAnsi="Arial"/>
          <w:i/>
          <w:color w:val="111827"/>
          <w:sz w:val="20"/>
        </w:rPr>
        <w:t>n</w:t>
      </w:r>
      <w:r>
        <w:rPr>
          <w:rFonts w:ascii="Arial" w:hAnsi="Arial"/>
          <w:color w:val="111827"/>
          <w:sz w:val="20"/>
        </w:rPr>
        <w:t xml:space="preserve"> ≥ 2,000 alleles (or passes the 95% Poisson lower-bound Filtering Allele Frequency threshold, FAF95). However, in populations characterized by deep endogamy, naive application of PopMax creates a catastrophic clinical paradox: genuine pathogenic variants that drift to high frequencies within isolated tribal communities (5% to 15%) would be erroneously classified as BA1/BS1 benign, dismissing actionable disease risk. Conversely, ancestral benign variants that are common across large pan-regional endogamous p</w:t>
      </w:r>
      <w:r>
        <w:rPr>
          <w:rFonts w:ascii="Arial" w:hAnsi="Arial"/>
          <w:color w:val="111827"/>
          <w:sz w:val="20"/>
        </w:rPr>
        <w:t>opulations (1% to 10%) remain misclassified as 'Pathogenic' in international databases because South Asian regional groups are underrepresented.</w:t>
      </w:r>
      <w:r>
        <w:rPr>
          <w:rFonts w:ascii="Arial" w:hAnsi="Arial"/>
          <w:color w:val="111827"/>
          <w:sz w:val="20"/>
        </w:rPr>
        <w:br/>
      </w:r>
      <w:r>
        <w:rPr>
          <w:rFonts w:ascii="Arial" w:hAnsi="Arial"/>
          <w:color w:val="111827"/>
          <w:sz w:val="20"/>
        </w:rPr>
        <w:br/>
        <w:t>To resolve this paradox, we developed a dual-track classification decision rule across 348 ClinVar variants (Supplementary Table S10):</w:t>
      </w:r>
      <w:r>
        <w:rPr>
          <w:rFonts w:ascii="Arial" w:hAnsi="Arial"/>
          <w:color w:val="111827"/>
          <w:sz w:val="20"/>
        </w:rPr>
        <w:br/>
      </w:r>
      <w:r>
        <w:rPr>
          <w:rFonts w:ascii="Arial" w:hAnsi="Arial"/>
          <w:b/>
          <w:color w:val="111827"/>
          <w:sz w:val="20"/>
        </w:rPr>
        <w:t>Track 1 (Pan-Regional Benign Reclassifications):</w:t>
      </w:r>
      <w:r>
        <w:rPr>
          <w:rFonts w:ascii="Arial" w:hAnsi="Arial"/>
          <w:color w:val="111827"/>
          <w:sz w:val="20"/>
        </w:rPr>
        <w:t xml:space="preserve"> Variants are reclassified as Benign/Likely Benign if PopMax</w:t>
      </w:r>
      <w:r>
        <w:rPr>
          <w:rFonts w:ascii="Arial" w:hAnsi="Arial"/>
          <w:color w:val="111827"/>
          <w:sz w:val="16"/>
          <w:vertAlign w:val="subscript"/>
        </w:rPr>
        <w:t>pan-regional</w:t>
      </w:r>
      <w:r>
        <w:rPr>
          <w:rFonts w:ascii="Arial" w:hAnsi="Arial"/>
          <w:color w:val="111827"/>
          <w:sz w:val="20"/>
        </w:rPr>
        <w:t xml:space="preserve"> ≥ 1.0% across at least 5 independent large pan-regional endogamous Indian populations (with sample size </w:t>
      </w:r>
      <w:r>
        <w:rPr>
          <w:rFonts w:ascii="Arial" w:hAnsi="Arial"/>
          <w:i/>
          <w:color w:val="111827"/>
          <w:sz w:val="20"/>
        </w:rPr>
        <w:t>n</w:t>
      </w:r>
      <w:r>
        <w:rPr>
          <w:rFonts w:ascii="Arial" w:hAnsi="Arial"/>
          <w:color w:val="111827"/>
          <w:sz w:val="16"/>
          <w:vertAlign w:val="subscript"/>
        </w:rPr>
        <w:t>k</w:t>
      </w:r>
      <w:r>
        <w:rPr>
          <w:rFonts w:ascii="Arial" w:hAnsi="Arial"/>
          <w:color w:val="111827"/>
          <w:sz w:val="20"/>
        </w:rPr>
        <w:t xml:space="preserve"> ≥ 50 individuals per population). Among 348 ClinVar assertions, 103 variants met these criteria (6 BA1 stand-alone benign with AF ≥ 5.0%; 97 BS1 strong benign with 1.0% ≤ AF &lt; 5.0%). Reclassifying these 103 alleles eliminates false-positive diagnostic reports across hundreds of thousands of clinical exomes in South Asia.</w:t>
      </w:r>
      <w:r>
        <w:rPr>
          <w:rFonts w:ascii="Arial" w:hAnsi="Arial"/>
          <w:color w:val="111827"/>
          <w:sz w:val="20"/>
        </w:rPr>
        <w:br/>
      </w:r>
      <w:r>
        <w:rPr>
          <w:rFonts w:ascii="Arial" w:hAnsi="Arial"/>
          <w:b/>
          <w:color w:val="111827"/>
          <w:sz w:val="20"/>
        </w:rPr>
        <w:t>Track 2 (Protected Founder Drift Candidates):</w:t>
      </w:r>
      <w:r>
        <w:rPr>
          <w:rFonts w:ascii="Arial" w:hAnsi="Arial"/>
          <w:color w:val="111827"/>
          <w:sz w:val="20"/>
        </w:rPr>
        <w:t xml:space="preserve"> Variants are protected as authentic founder pathogenic alleles if PopMax</w:t>
      </w:r>
      <w:r>
        <w:rPr>
          <w:rFonts w:ascii="Arial" w:hAnsi="Arial"/>
          <w:color w:val="111827"/>
          <w:sz w:val="16"/>
          <w:vertAlign w:val="subscript"/>
        </w:rPr>
        <w:t>founder</w:t>
      </w:r>
      <w:r>
        <w:rPr>
          <w:rFonts w:ascii="Arial" w:hAnsi="Arial"/>
          <w:color w:val="111827"/>
          <w:sz w:val="20"/>
        </w:rPr>
        <w:t xml:space="preserve"> ≥ 1.0% exclusively in isolated tribal or founder communities, while remaining rare in large pan-regional populations (PopMax</w:t>
      </w:r>
      <w:r>
        <w:rPr>
          <w:rFonts w:ascii="Arial" w:hAnsi="Arial"/>
          <w:color w:val="111827"/>
          <w:sz w:val="16"/>
          <w:vertAlign w:val="subscript"/>
        </w:rPr>
        <w:t>pan-regional</w:t>
      </w:r>
      <w:r>
        <w:rPr>
          <w:rFonts w:ascii="Arial" w:hAnsi="Arial"/>
          <w:color w:val="111827"/>
          <w:sz w:val="20"/>
        </w:rPr>
        <w:t xml:space="preserve"> &lt; 1.0%). We identified 55 such variants, including severe mutations for alkaptonuria (</w:t>
      </w:r>
      <w:r>
        <w:rPr>
          <w:rFonts w:ascii="Arial" w:hAnsi="Arial"/>
          <w:i/>
          <w:color w:val="111827"/>
          <w:sz w:val="20"/>
        </w:rPr>
        <w:t>HGD</w:t>
      </w:r>
      <w:r>
        <w:rPr>
          <w:rFonts w:ascii="Arial" w:hAnsi="Arial"/>
          <w:color w:val="111827"/>
          <w:sz w:val="20"/>
        </w:rPr>
        <w:t>, 12.5% in Western Ghats tribal community, DR_WGH_1_01), steroid 5-α-reductase 2 deficiency (</w:t>
      </w:r>
      <w:r>
        <w:rPr>
          <w:rFonts w:ascii="Arial" w:hAnsi="Arial"/>
          <w:i/>
          <w:color w:val="111827"/>
          <w:sz w:val="20"/>
        </w:rPr>
        <w:t>SRD5A2</w:t>
      </w:r>
      <w:r>
        <w:rPr>
          <w:rFonts w:ascii="Arial" w:hAnsi="Arial"/>
          <w:color w:val="111827"/>
          <w:sz w:val="20"/>
        </w:rPr>
        <w:t>, 9.5% in Eastern Plateau Dravidian tribal community, DR_EPL_1_03), lethal neonatal rigidity and multifocal seizures (</w:t>
      </w:r>
      <w:r>
        <w:rPr>
          <w:rFonts w:ascii="Arial" w:hAnsi="Arial"/>
          <w:i/>
          <w:color w:val="111827"/>
          <w:sz w:val="20"/>
        </w:rPr>
        <w:t>BRAT1</w:t>
      </w:r>
      <w:r>
        <w:rPr>
          <w:rFonts w:ascii="Arial" w:hAnsi="Arial"/>
          <w:color w:val="111827"/>
          <w:sz w:val="20"/>
        </w:rPr>
        <w:t>, 5.0% in North Deccan Austroasiatic tribal communities, AA_NDN_1_01), Zellweger syndrome (</w:t>
      </w:r>
      <w:r>
        <w:rPr>
          <w:rFonts w:ascii="Arial" w:hAnsi="Arial"/>
          <w:i/>
          <w:color w:val="111827"/>
          <w:sz w:val="20"/>
        </w:rPr>
        <w:t>PEX12</w:t>
      </w:r>
      <w:r>
        <w:rPr>
          <w:rFonts w:ascii="Arial" w:hAnsi="Arial"/>
          <w:color w:val="111827"/>
          <w:sz w:val="20"/>
        </w:rPr>
        <w:t>, 4.7% in Western Ghats Dravidian tribal isolates, DR_WGH_1_02), and Fraser syndrome (</w:t>
      </w:r>
      <w:r>
        <w:rPr>
          <w:rFonts w:ascii="Arial" w:hAnsi="Arial"/>
          <w:i/>
          <w:color w:val="111827"/>
          <w:sz w:val="20"/>
        </w:rPr>
        <w:t>FRAS1</w:t>
      </w:r>
      <w:r>
        <w:rPr>
          <w:rFonts w:ascii="Arial" w:hAnsi="Arial"/>
          <w:color w:val="111827"/>
          <w:sz w:val="20"/>
        </w:rPr>
        <w:t xml:space="preserve">, 4.4% in Eastern Plateau Dravidian tribal groups, DR_EPL_1_03). In contrast, common alleles in major endogamous groups such as </w:t>
      </w:r>
      <w:r>
        <w:rPr>
          <w:rFonts w:ascii="Arial" w:hAnsi="Arial"/>
          <w:i/>
          <w:color w:val="111827"/>
          <w:sz w:val="20"/>
        </w:rPr>
        <w:t>CNGA3</w:t>
      </w:r>
      <w:r>
        <w:rPr>
          <w:rFonts w:ascii="Arial" w:hAnsi="Arial"/>
          <w:color w:val="111827"/>
          <w:sz w:val="20"/>
        </w:rPr>
        <w:t xml:space="preserve"> rs141386891 (7.26% in Western Plains Indo-European communities, IE_WPL_2_02) are properly classified under Track 1 as ACMG BA1 stand-alone benign polymorphisms.</w:t>
      </w:r>
      <w:r>
        <w:rPr>
          <w:rFonts w:ascii="Arial" w:hAnsi="Arial"/>
          <w:color w:val="111827"/>
          <w:sz w:val="20"/>
        </w:rPr>
        <w:br/>
      </w:r>
      <w:r>
        <w:rPr>
          <w:rFonts w:ascii="Arial" w:hAnsi="Arial"/>
          <w:color w:val="111827"/>
          <w:sz w:val="20"/>
        </w:rPr>
        <w:br/>
      </w:r>
      <w:r>
        <w:rPr>
          <w:rFonts w:ascii="Arial" w:hAnsi="Arial"/>
          <w:b/>
          <w:color w:val="111827"/>
          <w:sz w:val="20"/>
        </w:rPr>
        <w:t>Mendelian Differentiation and Confidence Interval Resolution:</w:t>
      </w:r>
      <w:r>
        <w:rPr>
          <w:rFonts w:ascii="Arial" w:hAnsi="Arial"/>
          <w:color w:val="111827"/>
          <w:sz w:val="20"/>
        </w:rPr>
        <w:t xml:space="preserve"> Crucially, subpopulation deconvolution unmasks a fundamental Mendelian distinction between autosomal dominant and autosomal recessive actionable disease loci in healthy adult cohorts (Table 2, Fig. 5). For autosomal dominant conditions—such as Brugada syndrome (</w:t>
      </w:r>
      <w:r>
        <w:rPr>
          <w:rFonts w:ascii="Arial" w:hAnsi="Arial"/>
          <w:i/>
          <w:color w:val="111827"/>
          <w:sz w:val="20"/>
        </w:rPr>
        <w:t>SCN5A</w:t>
      </w:r>
      <w:r>
        <w:rPr>
          <w:rFonts w:ascii="Arial" w:hAnsi="Arial"/>
          <w:color w:val="111827"/>
          <w:sz w:val="20"/>
        </w:rPr>
        <w:t xml:space="preserve"> rs2125825169, PopMax = 14.71%), malignant hyperthermia susceptibility (</w:t>
      </w:r>
      <w:r>
        <w:rPr>
          <w:rFonts w:ascii="Arial" w:hAnsi="Arial"/>
          <w:i/>
          <w:color w:val="111827"/>
          <w:sz w:val="20"/>
        </w:rPr>
        <w:t>CACNA1S</w:t>
      </w:r>
      <w:r>
        <w:rPr>
          <w:rFonts w:ascii="Arial" w:hAnsi="Arial"/>
          <w:color w:val="111827"/>
          <w:sz w:val="20"/>
        </w:rPr>
        <w:t xml:space="preserve"> rs777920946, 11.67%), and familial thoracic aortic aneurysms (</w:t>
      </w:r>
      <w:r>
        <w:rPr>
          <w:rFonts w:ascii="Arial" w:hAnsi="Arial"/>
          <w:i/>
          <w:color w:val="111827"/>
          <w:sz w:val="20"/>
        </w:rPr>
        <w:t>ACTA2</w:t>
      </w:r>
      <w:r>
        <w:rPr>
          <w:rFonts w:ascii="Arial" w:hAnsi="Arial"/>
          <w:color w:val="111827"/>
          <w:sz w:val="20"/>
        </w:rPr>
        <w:t xml:space="preserve"> rs757656209, 8.78%)—observing these alleles at double-digit frequencies in healthy adult individuals biologically refutes their classification as severe, highly penetrant dominant lethal mutations. An allele frequency of 14.71% in an autosomal dominant disorder would predict clinically overt disease in nearly 27% of the adult population. Applying exact binomial confidence interval modeling using the binom package in R confirms that the lower 95% Clopper–Pearson bound for </w:t>
      </w:r>
      <w:r>
        <w:rPr>
          <w:rFonts w:ascii="Arial" w:hAnsi="Arial"/>
          <w:i/>
          <w:color w:val="111827"/>
          <w:sz w:val="20"/>
        </w:rPr>
        <w:t>SCN5A</w:t>
      </w:r>
      <w:r>
        <w:rPr>
          <w:rFonts w:ascii="Arial" w:hAnsi="Arial"/>
          <w:color w:val="111827"/>
          <w:sz w:val="20"/>
        </w:rPr>
        <w:t xml:space="preserve"> is 7.28% (Wilson 95% CI: 8.19%–25.00%; Fig. 5). Because this lower bound strictly exceeds the 5.0% threshold, </w:t>
      </w:r>
      <w:r>
        <w:rPr>
          <w:rFonts w:ascii="Arial" w:hAnsi="Arial"/>
          <w:i/>
          <w:color w:val="111827"/>
          <w:sz w:val="20"/>
        </w:rPr>
        <w:t>SCN5A</w:t>
      </w:r>
      <w:r>
        <w:rPr>
          <w:rFonts w:ascii="Arial" w:hAnsi="Arial"/>
          <w:color w:val="111827"/>
          <w:sz w:val="20"/>
        </w:rPr>
        <w:t xml:space="preserve"> rs2125825169 meets ACMG BA1 stand-alone benign criteria, while </w:t>
      </w:r>
      <w:r>
        <w:rPr>
          <w:rFonts w:ascii="Arial" w:hAnsi="Arial"/>
          <w:i/>
          <w:color w:val="111827"/>
          <w:sz w:val="20"/>
        </w:rPr>
        <w:t>ACTA2</w:t>
      </w:r>
      <w:r>
        <w:rPr>
          <w:rFonts w:ascii="Arial" w:hAnsi="Arial"/>
          <w:color w:val="111827"/>
          <w:sz w:val="20"/>
        </w:rPr>
        <w:t xml:space="preserve"> and </w:t>
      </w:r>
      <w:r>
        <w:rPr>
          <w:rFonts w:ascii="Arial" w:hAnsi="Arial"/>
          <w:i/>
          <w:color w:val="111827"/>
          <w:sz w:val="20"/>
        </w:rPr>
        <w:t>CACNA1S</w:t>
      </w:r>
      <w:r>
        <w:rPr>
          <w:rFonts w:ascii="Arial" w:hAnsi="Arial"/>
          <w:color w:val="111827"/>
          <w:sz w:val="20"/>
        </w:rPr>
        <w:t xml:space="preserve"> meet BS1 strong benign criteria. Instead of lethal actionable hotspots, they represent benign ancestral polymorphisms or incomplete penetrance variants. Conversely, for authentic autosomal recessive disorders (</w:t>
      </w:r>
      <w:r>
        <w:rPr>
          <w:rFonts w:ascii="Arial" w:hAnsi="Arial"/>
          <w:i/>
          <w:color w:val="111827"/>
          <w:sz w:val="20"/>
        </w:rPr>
        <w:t>CASQ2</w:t>
      </w:r>
      <w:r>
        <w:rPr>
          <w:rFonts w:ascii="Arial" w:hAnsi="Arial"/>
          <w:color w:val="111827"/>
          <w:sz w:val="20"/>
        </w:rPr>
        <w:t xml:space="preserve"> 14.00%, </w:t>
      </w:r>
      <w:r>
        <w:rPr>
          <w:rFonts w:ascii="Arial" w:hAnsi="Arial"/>
          <w:i/>
          <w:color w:val="111827"/>
          <w:sz w:val="20"/>
        </w:rPr>
        <w:t>TRDN</w:t>
      </w:r>
      <w:r>
        <w:rPr>
          <w:rFonts w:ascii="Arial" w:hAnsi="Arial"/>
          <w:color w:val="111827"/>
          <w:sz w:val="20"/>
        </w:rPr>
        <w:t xml:space="preserve"> 12.16%, </w:t>
      </w:r>
      <w:r>
        <w:rPr>
          <w:rFonts w:ascii="Arial" w:hAnsi="Arial"/>
          <w:i/>
          <w:color w:val="111827"/>
          <w:sz w:val="20"/>
        </w:rPr>
        <w:t>ATP7B</w:t>
      </w:r>
      <w:r>
        <w:rPr>
          <w:rFonts w:ascii="Arial" w:hAnsi="Arial"/>
          <w:color w:val="111827"/>
          <w:sz w:val="20"/>
        </w:rPr>
        <w:t xml:space="preserve"> 6.00%, </w:t>
      </w:r>
      <w:r>
        <w:rPr>
          <w:rFonts w:ascii="Arial" w:hAnsi="Arial"/>
          <w:i/>
          <w:color w:val="111827"/>
          <w:sz w:val="20"/>
        </w:rPr>
        <w:t>BTD</w:t>
      </w:r>
      <w:r>
        <w:rPr>
          <w:rFonts w:ascii="Arial" w:hAnsi="Arial"/>
          <w:color w:val="111827"/>
          <w:sz w:val="20"/>
        </w:rPr>
        <w:t xml:space="preserve"> 5.88%), asymptomatic heterozygous carriers are biologically expected in healthy adults. Under deep endogamy, these recessive alleles </w:t>
      </w:r>
      <w:r>
        <w:rPr>
          <w:rFonts w:ascii="Arial" w:hAnsi="Arial"/>
          <w:color w:val="111827"/>
          <w:sz w:val="20"/>
        </w:rPr>
        <w:lastRenderedPageBreak/>
        <w:t>represent genuine carrier hotspots posing massive localized recurrence risks when two carriers marry, validating the protective Track 2 criteria.</w:t>
      </w:r>
      <w:r>
        <w:rPr>
          <w:rFonts w:ascii="Arial" w:hAnsi="Arial"/>
          <w:color w:val="111827"/>
          <w:sz w:val="20"/>
        </w:rPr>
        <w:br/>
      </w:r>
      <w:r>
        <w:rPr>
          <w:rFonts w:ascii="Arial" w:hAnsi="Arial"/>
          <w:color w:val="111827"/>
          <w:sz w:val="20"/>
        </w:rPr>
        <w:br/>
      </w:r>
      <w:r>
        <w:rPr>
          <w:rFonts w:ascii="Arial" w:hAnsi="Arial"/>
          <w:b/>
          <w:color w:val="111827"/>
          <w:sz w:val="20"/>
        </w:rPr>
        <w:t>Clarification of Clinical Bioinformatics Annotation Pipelines:</w:t>
      </w:r>
      <w:r>
        <w:rPr>
          <w:rFonts w:ascii="Arial" w:hAnsi="Arial"/>
          <w:color w:val="111827"/>
          <w:sz w:val="20"/>
        </w:rPr>
        <w:t xml:space="preserve"> Standard clinical variant annotation pipelines correctly annotate these variants at their exact low frequencies in the gnomAD South Asian panel (e.g., 0.041% for </w:t>
      </w:r>
      <w:r>
        <w:rPr>
          <w:rFonts w:ascii="Arial" w:hAnsi="Arial"/>
          <w:i/>
          <w:color w:val="111827"/>
          <w:sz w:val="20"/>
        </w:rPr>
        <w:t>SCN5A</w:t>
      </w:r>
      <w:r>
        <w:rPr>
          <w:rFonts w:ascii="Arial" w:hAnsi="Arial"/>
          <w:color w:val="111827"/>
          <w:sz w:val="20"/>
        </w:rPr>
        <w:t xml:space="preserve"> rs2125825169 and 0.052% for </w:t>
      </w:r>
      <w:r>
        <w:rPr>
          <w:rFonts w:ascii="Arial" w:hAnsi="Arial"/>
          <w:i/>
          <w:color w:val="111827"/>
          <w:sz w:val="20"/>
        </w:rPr>
        <w:t>CASQ2</w:t>
      </w:r>
      <w:r>
        <w:rPr>
          <w:rFonts w:ascii="Arial" w:hAnsi="Arial"/>
          <w:color w:val="111827"/>
          <w:sz w:val="20"/>
        </w:rPr>
        <w:t xml:space="preserve"> rs28730716; Table 2). They are accurately categorized as rare, but are not misclassified as 'novel' or 'de novo'. However, because gnomAD SAS lacks representation of indigenous tribal and isolated regional lineages, standard clinical filtering pipelines assume these alleles are universally rare (&lt;0.1%) throughout South Asia. When identified in a patient from an isolated community where the true frequency is 5% to 15%, clinicians erroneously infer high pathogenicity, precipitating severe false-positive diag</w:t>
      </w:r>
      <w:r>
        <w:rPr>
          <w:rFonts w:ascii="Arial" w:hAnsi="Arial"/>
          <w:color w:val="111827"/>
          <w:sz w:val="20"/>
        </w:rPr>
        <w:t>nostic errors (Fig. 5). Establishing subpopulation-stratified allele frequency references linked directly to the patient's ancestral community is therefore imperative for safe precision medicine.</w:t>
      </w:r>
    </w:p>
    <w:p w14:paraId="26B7FEA8" w14:textId="77777777" w:rsidR="00FE6131" w:rsidRDefault="00C93A9C">
      <w:pPr>
        <w:keepNext/>
        <w:spacing w:before="360" w:after="120"/>
      </w:pPr>
      <w:r>
        <w:rPr>
          <w:rFonts w:ascii="Arial" w:hAnsi="Arial"/>
          <w:b/>
          <w:color w:val="0F172A"/>
          <w:sz w:val="24"/>
        </w:rPr>
        <w:t>Supplementary Note 3: Subpopulation Deconvolution and Recovery of 123 Loss-of-Function Knockouts</w:t>
      </w:r>
    </w:p>
    <w:p w14:paraId="7BB12980" w14:textId="77777777" w:rsidR="00FE6131" w:rsidRDefault="00C93A9C">
      <w:pPr>
        <w:spacing w:after="160" w:line="300" w:lineRule="auto"/>
        <w:jc w:val="both"/>
      </w:pPr>
      <w:r>
        <w:rPr>
          <w:rFonts w:ascii="Arial" w:hAnsi="Arial"/>
          <w:color w:val="111827"/>
          <w:sz w:val="20"/>
        </w:rPr>
        <w:t xml:space="preserve">Predicted high-confidence loss-of-function (pLoF) alleles were identified using VEP (v110) with LOFTEE filtering across the 9,768 whole genomes. Under a pooled national analysis, the expected number of homozygous alternative individuals is calculated as: </w:t>
      </w:r>
      <w:r>
        <w:rPr>
          <w:rFonts w:ascii="Arial" w:hAnsi="Arial"/>
          <w:i/>
          <w:color w:val="111827"/>
          <w:sz w:val="20"/>
        </w:rPr>
        <w:t>E</w:t>
      </w:r>
      <w:r>
        <w:rPr>
          <w:rFonts w:ascii="Arial" w:hAnsi="Arial"/>
          <w:color w:val="111827"/>
          <w:sz w:val="16"/>
          <w:vertAlign w:val="subscript"/>
        </w:rPr>
        <w:t>pooled</w:t>
      </w:r>
      <w:r>
        <w:rPr>
          <w:rFonts w:ascii="Arial" w:hAnsi="Arial"/>
          <w:color w:val="111827"/>
          <w:sz w:val="20"/>
        </w:rPr>
        <w:t xml:space="preserve"> = </w:t>
      </w:r>
      <w:r>
        <w:rPr>
          <w:rFonts w:ascii="Arial" w:hAnsi="Arial"/>
          <w:i/>
          <w:color w:val="111827"/>
          <w:sz w:val="20"/>
        </w:rPr>
        <w:t>N</w:t>
      </w:r>
      <w:r>
        <w:rPr>
          <w:rFonts w:ascii="Arial" w:hAnsi="Arial"/>
          <w:color w:val="111827"/>
          <w:sz w:val="20"/>
        </w:rPr>
        <w:t xml:space="preserve"> × [</w:t>
      </w:r>
      <w:r>
        <w:rPr>
          <w:rFonts w:ascii="Arial" w:hAnsi="Arial"/>
          <w:i/>
          <w:color w:val="111827"/>
          <w:sz w:val="20"/>
        </w:rPr>
        <w:t>p</w:t>
      </w:r>
      <w:r>
        <w:rPr>
          <w:rFonts w:ascii="Arial" w:hAnsi="Arial"/>
          <w:color w:val="111827"/>
          <w:sz w:val="16"/>
          <w:vertAlign w:val="subscript"/>
        </w:rPr>
        <w:t>pooled</w:t>
      </w:r>
      <w:r>
        <w:rPr>
          <w:rFonts w:ascii="Arial" w:hAnsi="Arial"/>
          <w:color w:val="111827"/>
          <w:sz w:val="16"/>
          <w:vertAlign w:val="superscript"/>
        </w:rPr>
        <w:t>2</w:t>
      </w:r>
      <w:r>
        <w:rPr>
          <w:rFonts w:ascii="Arial" w:hAnsi="Arial"/>
          <w:color w:val="111827"/>
          <w:sz w:val="20"/>
        </w:rPr>
        <w:t xml:space="preserve"> + </w:t>
      </w:r>
      <w:r>
        <w:rPr>
          <w:rFonts w:ascii="Arial" w:hAnsi="Arial"/>
          <w:i/>
          <w:color w:val="111827"/>
          <w:sz w:val="20"/>
        </w:rPr>
        <w:t>F</w:t>
      </w:r>
      <w:r>
        <w:rPr>
          <w:rFonts w:ascii="Arial" w:hAnsi="Arial"/>
          <w:color w:val="111827"/>
          <w:sz w:val="16"/>
          <w:vertAlign w:val="subscript"/>
        </w:rPr>
        <w:t>IT</w:t>
      </w:r>
      <w:r>
        <w:rPr>
          <w:rFonts w:ascii="Arial" w:hAnsi="Arial"/>
          <w:color w:val="111827"/>
          <w:sz w:val="20"/>
        </w:rPr>
        <w:t xml:space="preserve"> × </w:t>
      </w:r>
      <w:r>
        <w:rPr>
          <w:rFonts w:ascii="Arial" w:hAnsi="Arial"/>
          <w:i/>
          <w:color w:val="111827"/>
          <w:sz w:val="20"/>
        </w:rPr>
        <w:t>p</w:t>
      </w:r>
      <w:r>
        <w:rPr>
          <w:rFonts w:ascii="Arial" w:hAnsi="Arial"/>
          <w:color w:val="111827"/>
          <w:sz w:val="16"/>
          <w:vertAlign w:val="subscript"/>
        </w:rPr>
        <w:t>pooled</w:t>
      </w:r>
      <w:r>
        <w:rPr>
          <w:rFonts w:ascii="Arial" w:hAnsi="Arial"/>
          <w:color w:val="111827"/>
          <w:sz w:val="20"/>
        </w:rPr>
        <w:t xml:space="preserve"> × (1 − </w:t>
      </w:r>
      <w:r>
        <w:rPr>
          <w:rFonts w:ascii="Arial" w:hAnsi="Arial"/>
          <w:i/>
          <w:color w:val="111827"/>
          <w:sz w:val="20"/>
        </w:rPr>
        <w:t>p</w:t>
      </w:r>
      <w:r>
        <w:rPr>
          <w:rFonts w:ascii="Arial" w:hAnsi="Arial"/>
          <w:color w:val="111827"/>
          <w:sz w:val="16"/>
          <w:vertAlign w:val="subscript"/>
        </w:rPr>
        <w:t>pooled</w:t>
      </w:r>
      <w:r>
        <w:rPr>
          <w:rFonts w:ascii="Arial" w:hAnsi="Arial"/>
          <w:color w:val="111827"/>
          <w:sz w:val="20"/>
        </w:rPr>
        <w:t xml:space="preserve">)]. When </w:t>
      </w:r>
      <w:r>
        <w:rPr>
          <w:rFonts w:ascii="Arial" w:hAnsi="Arial"/>
          <w:i/>
          <w:color w:val="111827"/>
          <w:sz w:val="20"/>
        </w:rPr>
        <w:t>F</w:t>
      </w:r>
      <w:r>
        <w:rPr>
          <w:rFonts w:ascii="Arial" w:hAnsi="Arial"/>
          <w:color w:val="111827"/>
          <w:sz w:val="16"/>
          <w:vertAlign w:val="subscript"/>
        </w:rPr>
        <w:t>IT</w:t>
      </w:r>
      <w:r>
        <w:rPr>
          <w:rFonts w:ascii="Arial" w:hAnsi="Arial"/>
          <w:color w:val="111827"/>
          <w:sz w:val="20"/>
        </w:rPr>
        <w:t xml:space="preserve"> is assumed to be small (or 0.02) and </w:t>
      </w:r>
      <w:r>
        <w:rPr>
          <w:rFonts w:ascii="Arial" w:hAnsi="Arial"/>
          <w:i/>
          <w:color w:val="111827"/>
          <w:sz w:val="20"/>
        </w:rPr>
        <w:t>p</w:t>
      </w:r>
      <w:r>
        <w:rPr>
          <w:rFonts w:ascii="Arial" w:hAnsi="Arial"/>
          <w:color w:val="111827"/>
          <w:sz w:val="16"/>
          <w:vertAlign w:val="subscript"/>
        </w:rPr>
        <w:t>pooled</w:t>
      </w:r>
      <w:r>
        <w:rPr>
          <w:rFonts w:ascii="Arial" w:hAnsi="Arial"/>
          <w:color w:val="111827"/>
          <w:sz w:val="20"/>
        </w:rPr>
        <w:t xml:space="preserve"> is rare (&lt;0.5%), </w:t>
      </w:r>
      <w:r>
        <w:rPr>
          <w:rFonts w:ascii="Arial" w:hAnsi="Arial"/>
          <w:i/>
          <w:color w:val="111827"/>
          <w:sz w:val="20"/>
        </w:rPr>
        <w:t>E</w:t>
      </w:r>
      <w:r>
        <w:rPr>
          <w:rFonts w:ascii="Arial" w:hAnsi="Arial"/>
          <w:color w:val="111827"/>
          <w:sz w:val="16"/>
          <w:vertAlign w:val="subscript"/>
        </w:rPr>
        <w:t>pooled</w:t>
      </w:r>
      <w:r>
        <w:rPr>
          <w:rFonts w:ascii="Arial" w:hAnsi="Arial"/>
          <w:color w:val="111827"/>
          <w:sz w:val="20"/>
        </w:rPr>
        <w:t xml:space="preserve"> collapses below 1.0, rendering these knockout variants invisible to national expectation models. Across 123 high-confidence pLoF variants spanning 118 unique protein-coding genes (Supplementary Table S11), </w:t>
      </w:r>
      <w:r>
        <w:rPr>
          <w:rFonts w:ascii="Arial" w:hAnsi="Arial"/>
          <w:i/>
          <w:color w:val="111827"/>
          <w:sz w:val="20"/>
        </w:rPr>
        <w:t>E</w:t>
      </w:r>
      <w:r>
        <w:rPr>
          <w:rFonts w:ascii="Arial" w:hAnsi="Arial"/>
          <w:color w:val="111827"/>
          <w:sz w:val="16"/>
          <w:vertAlign w:val="subscript"/>
        </w:rPr>
        <w:t>pooled</w:t>
      </w:r>
      <w:r>
        <w:rPr>
          <w:rFonts w:ascii="Arial" w:hAnsi="Arial"/>
          <w:color w:val="111827"/>
          <w:sz w:val="20"/>
        </w:rPr>
        <w:t xml:space="preserve"> is strictly less than 1.0 (mean </w:t>
      </w:r>
      <w:r>
        <w:rPr>
          <w:rFonts w:ascii="Arial" w:hAnsi="Arial"/>
          <w:i/>
          <w:color w:val="111827"/>
          <w:sz w:val="20"/>
        </w:rPr>
        <w:t>E</w:t>
      </w:r>
      <w:r>
        <w:rPr>
          <w:rFonts w:ascii="Arial" w:hAnsi="Arial"/>
          <w:color w:val="111827"/>
          <w:sz w:val="20"/>
        </w:rPr>
        <w:t xml:space="preserve"> = 0.08, range 0.033 to 0.409), making them invisible to national-level screening. Across the 9,768 genomes, all 123 variants are empirically observed in the homozygous state (Obs_HomAlt ≥ 1, totaling 144 homozygous knockout individuals). By performing exact summation across the 83 subpopulation matrices </w:t>
      </w:r>
      <w:r>
        <w:rPr>
          <w:rFonts w:ascii="Arial" w:hAnsi="Arial"/>
          <w:i/>
          <w:color w:val="111827"/>
          <w:sz w:val="20"/>
        </w:rPr>
        <w:t>E</w:t>
      </w:r>
      <w:r>
        <w:rPr>
          <w:rFonts w:ascii="Arial" w:hAnsi="Arial"/>
          <w:color w:val="111827"/>
          <w:sz w:val="16"/>
          <w:vertAlign w:val="subscript"/>
        </w:rPr>
        <w:t>subpop</w:t>
      </w:r>
      <w:r>
        <w:rPr>
          <w:rFonts w:ascii="Arial" w:hAnsi="Arial"/>
          <w:color w:val="111827"/>
          <w:sz w:val="20"/>
        </w:rPr>
        <w:t xml:space="preserve"> = ∑</w:t>
      </w:r>
      <w:r>
        <w:rPr>
          <w:rFonts w:ascii="Arial" w:hAnsi="Arial"/>
          <w:color w:val="111827"/>
          <w:sz w:val="16"/>
          <w:vertAlign w:val="subscript"/>
        </w:rPr>
        <w:t>k</w:t>
      </w:r>
      <w:r>
        <w:rPr>
          <w:rFonts w:ascii="Arial" w:hAnsi="Arial"/>
          <w:color w:val="111827"/>
          <w:sz w:val="20"/>
        </w:rPr>
        <w:t xml:space="preserve"> </w:t>
      </w:r>
      <w:r>
        <w:rPr>
          <w:rFonts w:ascii="Arial" w:hAnsi="Arial"/>
          <w:i/>
          <w:color w:val="111827"/>
          <w:sz w:val="20"/>
        </w:rPr>
        <w:t>n</w:t>
      </w:r>
      <w:r>
        <w:rPr>
          <w:rFonts w:ascii="Arial" w:hAnsi="Arial"/>
          <w:color w:val="111827"/>
          <w:sz w:val="16"/>
          <w:vertAlign w:val="subscript"/>
        </w:rPr>
        <w:t>k</w:t>
      </w:r>
      <w:r>
        <w:rPr>
          <w:rFonts w:ascii="Arial" w:hAnsi="Arial"/>
          <w:color w:val="111827"/>
          <w:sz w:val="20"/>
        </w:rPr>
        <w:t xml:space="preserve"> × [</w:t>
      </w:r>
      <w:r>
        <w:rPr>
          <w:rFonts w:ascii="Arial" w:hAnsi="Arial"/>
          <w:i/>
          <w:color w:val="111827"/>
          <w:sz w:val="20"/>
        </w:rPr>
        <w:t>p</w:t>
      </w:r>
      <w:r>
        <w:rPr>
          <w:rFonts w:ascii="Arial" w:hAnsi="Arial"/>
          <w:color w:val="111827"/>
          <w:sz w:val="16"/>
          <w:vertAlign w:val="subscript"/>
        </w:rPr>
        <w:t>k</w:t>
      </w:r>
      <w:r>
        <w:rPr>
          <w:rFonts w:ascii="Arial" w:hAnsi="Arial"/>
          <w:color w:val="111827"/>
          <w:sz w:val="16"/>
          <w:vertAlign w:val="superscript"/>
        </w:rPr>
        <w:t>2</w:t>
      </w:r>
      <w:r>
        <w:rPr>
          <w:rFonts w:ascii="Arial" w:hAnsi="Arial"/>
          <w:color w:val="111827"/>
          <w:sz w:val="20"/>
        </w:rPr>
        <w:t xml:space="preserve"> + </w:t>
      </w:r>
      <w:r>
        <w:rPr>
          <w:rFonts w:ascii="Arial" w:hAnsi="Arial"/>
          <w:i/>
          <w:color w:val="111827"/>
          <w:sz w:val="20"/>
        </w:rPr>
        <w:t>F</w:t>
      </w:r>
      <w:r>
        <w:rPr>
          <w:rFonts w:ascii="Arial" w:hAnsi="Arial"/>
          <w:color w:val="111827"/>
          <w:sz w:val="16"/>
          <w:vertAlign w:val="subscript"/>
        </w:rPr>
        <w:t>IS,k</w:t>
      </w:r>
      <w:r>
        <w:rPr>
          <w:rFonts w:ascii="Arial" w:hAnsi="Arial"/>
          <w:color w:val="111827"/>
          <w:sz w:val="20"/>
        </w:rPr>
        <w:t xml:space="preserve"> × </w:t>
      </w:r>
      <w:r>
        <w:rPr>
          <w:rFonts w:ascii="Arial" w:hAnsi="Arial"/>
          <w:i/>
          <w:color w:val="111827"/>
          <w:sz w:val="20"/>
        </w:rPr>
        <w:t>p</w:t>
      </w:r>
      <w:r>
        <w:rPr>
          <w:rFonts w:ascii="Arial" w:hAnsi="Arial"/>
          <w:color w:val="111827"/>
          <w:sz w:val="16"/>
          <w:vertAlign w:val="subscript"/>
        </w:rPr>
        <w:t>k</w:t>
      </w:r>
      <w:r>
        <w:rPr>
          <w:rFonts w:ascii="Arial" w:hAnsi="Arial"/>
          <w:color w:val="111827"/>
          <w:sz w:val="20"/>
        </w:rPr>
        <w:t xml:space="preserve"> × (1 − </w:t>
      </w:r>
      <w:r>
        <w:rPr>
          <w:rFonts w:ascii="Arial" w:hAnsi="Arial"/>
          <w:i/>
          <w:color w:val="111827"/>
          <w:sz w:val="20"/>
        </w:rPr>
        <w:t>p</w:t>
      </w:r>
      <w:r>
        <w:rPr>
          <w:rFonts w:ascii="Arial" w:hAnsi="Arial"/>
          <w:color w:val="111827"/>
          <w:sz w:val="16"/>
          <w:vertAlign w:val="subscript"/>
        </w:rPr>
        <w:t>k</w:t>
      </w:r>
      <w:r>
        <w:rPr>
          <w:rFonts w:ascii="Arial" w:hAnsi="Arial"/>
          <w:color w:val="111827"/>
          <w:sz w:val="20"/>
        </w:rPr>
        <w:t xml:space="preserve">)], subpopulation expectations unmask these alleles with </w:t>
      </w:r>
      <w:r>
        <w:rPr>
          <w:rFonts w:ascii="Arial" w:hAnsi="Arial"/>
          <w:i/>
          <w:color w:val="111827"/>
          <w:sz w:val="20"/>
        </w:rPr>
        <w:t>E</w:t>
      </w:r>
      <w:r>
        <w:rPr>
          <w:rFonts w:ascii="Arial" w:hAnsi="Arial"/>
          <w:color w:val="111827"/>
          <w:sz w:val="16"/>
          <w:vertAlign w:val="subscript"/>
        </w:rPr>
        <w:t>subpop</w:t>
      </w:r>
      <w:r>
        <w:rPr>
          <w:rFonts w:ascii="Arial" w:hAnsi="Arial"/>
          <w:color w:val="111827"/>
          <w:sz w:val="20"/>
        </w:rPr>
        <w:t xml:space="preserve"> reaching up to 4.62 in </w:t>
      </w:r>
      <w:r>
        <w:rPr>
          <w:rFonts w:ascii="Arial" w:hAnsi="Arial"/>
          <w:i/>
          <w:color w:val="111827"/>
          <w:sz w:val="20"/>
        </w:rPr>
        <w:t>GUF1</w:t>
      </w:r>
      <w:r>
        <w:rPr>
          <w:rFonts w:ascii="Arial" w:hAnsi="Arial"/>
          <w:color w:val="111827"/>
          <w:sz w:val="20"/>
        </w:rPr>
        <w:t xml:space="preserve"> (4.02 in top founder population DR_NGH_1_02, Obs_HomAlt = 2), 4.42 in </w:t>
      </w:r>
      <w:r>
        <w:rPr>
          <w:rFonts w:ascii="Arial" w:hAnsi="Arial"/>
          <w:i/>
          <w:color w:val="111827"/>
          <w:sz w:val="20"/>
        </w:rPr>
        <w:t>PAICS</w:t>
      </w:r>
      <w:r>
        <w:rPr>
          <w:rFonts w:ascii="Arial" w:hAnsi="Arial"/>
          <w:color w:val="111827"/>
          <w:sz w:val="20"/>
        </w:rPr>
        <w:t xml:space="preserve"> (3.84 in DR_ECP_2_01, Obs_HomAlt = 4), and 1.70 in </w:t>
      </w:r>
      <w:r>
        <w:rPr>
          <w:rFonts w:ascii="Arial" w:hAnsi="Arial"/>
          <w:i/>
          <w:color w:val="111827"/>
          <w:sz w:val="20"/>
        </w:rPr>
        <w:t>TMEM54</w:t>
      </w:r>
      <w:r>
        <w:rPr>
          <w:rFonts w:ascii="Arial" w:hAnsi="Arial"/>
          <w:color w:val="111827"/>
          <w:sz w:val="20"/>
        </w:rPr>
        <w:t xml:space="preserve"> (1.48 in DR_EPL_1_03, Obs_HomAlt = 2), with 16 variants exceeding total subpopulation </w:t>
      </w:r>
      <w:r>
        <w:rPr>
          <w:rFonts w:ascii="Arial" w:hAnsi="Arial"/>
          <w:i/>
          <w:color w:val="111827"/>
          <w:sz w:val="20"/>
        </w:rPr>
        <w:t>E</w:t>
      </w:r>
      <w:r>
        <w:rPr>
          <w:rFonts w:ascii="Arial" w:hAnsi="Arial"/>
          <w:color w:val="111827"/>
          <w:sz w:val="16"/>
          <w:vertAlign w:val="subscript"/>
        </w:rPr>
        <w:t>subpop</w:t>
      </w:r>
      <w:r>
        <w:rPr>
          <w:rFonts w:ascii="Arial" w:hAnsi="Arial"/>
          <w:color w:val="111827"/>
          <w:sz w:val="20"/>
        </w:rPr>
        <w:t xml:space="preserve"> ≥ 1.0 and 14 variants exceeding </w:t>
      </w:r>
      <w:r>
        <w:rPr>
          <w:rFonts w:ascii="Arial" w:hAnsi="Arial"/>
          <w:i/>
          <w:color w:val="111827"/>
          <w:sz w:val="20"/>
        </w:rPr>
        <w:t>E</w:t>
      </w:r>
      <w:r>
        <w:rPr>
          <w:rFonts w:ascii="Arial" w:hAnsi="Arial"/>
          <w:color w:val="111827"/>
          <w:sz w:val="16"/>
          <w:vertAlign w:val="subscript"/>
        </w:rPr>
        <w:t>subpop</w:t>
      </w:r>
      <w:r>
        <w:rPr>
          <w:rFonts w:ascii="Arial" w:hAnsi="Arial"/>
          <w:color w:val="111827"/>
          <w:sz w:val="20"/>
        </w:rPr>
        <w:t xml:space="preserve"> ≥ 1.0 in a single founder community alone. Validated clinical drug targets also yielded substantial homozygous knockouts (</w:t>
      </w:r>
      <w:r>
        <w:rPr>
          <w:rFonts w:ascii="Arial" w:hAnsi="Arial"/>
          <w:i/>
          <w:color w:val="111827"/>
          <w:sz w:val="20"/>
        </w:rPr>
        <w:t>LPA</w:t>
      </w:r>
      <w:r>
        <w:rPr>
          <w:rFonts w:ascii="Arial" w:hAnsi="Arial"/>
          <w:color w:val="111827"/>
          <w:sz w:val="20"/>
        </w:rPr>
        <w:t xml:space="preserve">, </w:t>
      </w:r>
      <w:r>
        <w:rPr>
          <w:rFonts w:ascii="Arial" w:hAnsi="Arial"/>
          <w:i/>
          <w:color w:val="111827"/>
          <w:sz w:val="20"/>
        </w:rPr>
        <w:t>TYK2</w:t>
      </w:r>
      <w:r>
        <w:rPr>
          <w:rFonts w:ascii="Arial" w:hAnsi="Arial"/>
          <w:color w:val="111827"/>
          <w:sz w:val="20"/>
        </w:rPr>
        <w:t xml:space="preserve">, </w:t>
      </w:r>
      <w:r>
        <w:rPr>
          <w:rFonts w:ascii="Arial" w:hAnsi="Arial"/>
          <w:i/>
          <w:color w:val="111827"/>
          <w:sz w:val="20"/>
        </w:rPr>
        <w:t>PCSK9</w:t>
      </w:r>
      <w:r>
        <w:rPr>
          <w:rFonts w:ascii="Arial" w:hAnsi="Arial"/>
          <w:color w:val="111827"/>
          <w:sz w:val="20"/>
        </w:rPr>
        <w:t xml:space="preserve">, </w:t>
      </w:r>
      <w:r>
        <w:rPr>
          <w:rFonts w:ascii="Arial" w:hAnsi="Arial"/>
          <w:i/>
          <w:color w:val="111827"/>
          <w:sz w:val="20"/>
        </w:rPr>
        <w:t>SLC30A8</w:t>
      </w:r>
      <w:r>
        <w:rPr>
          <w:rFonts w:ascii="Arial" w:hAnsi="Arial"/>
          <w:color w:val="111827"/>
          <w:sz w:val="20"/>
        </w:rPr>
        <w:t xml:space="preserve">, </w:t>
      </w:r>
      <w:r>
        <w:rPr>
          <w:rFonts w:ascii="Arial" w:hAnsi="Arial"/>
          <w:i/>
          <w:color w:val="111827"/>
          <w:sz w:val="20"/>
        </w:rPr>
        <w:t>APOC3</w:t>
      </w:r>
      <w:r>
        <w:rPr>
          <w:rFonts w:ascii="Arial" w:hAnsi="Arial"/>
          <w:color w:val="111827"/>
          <w:sz w:val="20"/>
        </w:rPr>
        <w:t xml:space="preserve">, </w:t>
      </w:r>
      <w:r>
        <w:rPr>
          <w:rFonts w:ascii="Arial" w:hAnsi="Arial"/>
          <w:i/>
          <w:color w:val="111827"/>
          <w:sz w:val="20"/>
        </w:rPr>
        <w:t>ANGPTL3</w:t>
      </w:r>
      <w:r>
        <w:rPr>
          <w:rFonts w:ascii="Arial" w:hAnsi="Arial"/>
          <w:color w:val="111827"/>
          <w:sz w:val="20"/>
        </w:rPr>
        <w:t xml:space="preserve">, and </w:t>
      </w:r>
      <w:r>
        <w:rPr>
          <w:rFonts w:ascii="Arial" w:hAnsi="Arial"/>
          <w:i/>
          <w:color w:val="111827"/>
          <w:sz w:val="20"/>
        </w:rPr>
        <w:t>DPYD</w:t>
      </w:r>
      <w:r>
        <w:rPr>
          <w:rFonts w:ascii="Arial" w:hAnsi="Arial"/>
          <w:color w:val="111827"/>
          <w:sz w:val="20"/>
        </w:rPr>
        <w:t>), demonstrating the unique power of endogamous founder architectures for human knockout discovery.</w:t>
      </w:r>
    </w:p>
    <w:p w14:paraId="569215B9" w14:textId="77777777" w:rsidR="00FE6131" w:rsidRDefault="00C93A9C">
      <w:pPr>
        <w:keepNext/>
        <w:spacing w:before="360" w:after="120"/>
      </w:pPr>
      <w:r>
        <w:rPr>
          <w:rFonts w:ascii="Arial" w:hAnsi="Arial"/>
          <w:b/>
          <w:color w:val="0F172A"/>
          <w:sz w:val="24"/>
        </w:rPr>
        <w:t>Supplementary Note 4: Lineage-Specific Population Branch Scans and Resolution of the EDAR Selection Paradox</w:t>
      </w:r>
    </w:p>
    <w:p w14:paraId="3D584EB9" w14:textId="77777777" w:rsidR="00FE6131" w:rsidRDefault="00C93A9C">
      <w:pPr>
        <w:spacing w:after="160" w:line="300" w:lineRule="auto"/>
        <w:jc w:val="both"/>
      </w:pPr>
      <w:r>
        <w:rPr>
          <w:rFonts w:ascii="Arial" w:hAnsi="Arial"/>
          <w:color w:val="111827"/>
          <w:sz w:val="20"/>
        </w:rPr>
        <w:t xml:space="preserve">While pooled analysis detected a Tajima's </w:t>
      </w:r>
      <w:r>
        <w:rPr>
          <w:rFonts w:ascii="Arial" w:hAnsi="Arial"/>
          <w:i/>
          <w:color w:val="111827"/>
          <w:sz w:val="20"/>
        </w:rPr>
        <w:t>D</w:t>
      </w:r>
      <w:r>
        <w:rPr>
          <w:rFonts w:ascii="Arial" w:hAnsi="Arial"/>
          <w:color w:val="111827"/>
          <w:sz w:val="20"/>
        </w:rPr>
        <w:t xml:space="preserve"> trough (−2.5439) at the </w:t>
      </w:r>
      <w:r>
        <w:rPr>
          <w:rFonts w:ascii="Arial" w:hAnsi="Arial"/>
          <w:i/>
          <w:color w:val="111827"/>
          <w:sz w:val="20"/>
        </w:rPr>
        <w:t>EDAR</w:t>
      </w:r>
      <w:r>
        <w:rPr>
          <w:rFonts w:ascii="Arial" w:hAnsi="Arial"/>
          <w:color w:val="111827"/>
          <w:sz w:val="20"/>
        </w:rPr>
        <w:t xml:space="preserve"> locus on chromosome 2q13, the canonical East Asian adaptive hair and dental morphology variant rs3827760 (1540T&gt;C, p.Val370Ala) is virtually absent across mainland India (AF = 0.015%). To resolve whether this signal reflected ancient pan-Indian selection or localized introgression, we implemented the Population Branch Statistic (PBS) across three major lineages: Northeastern Tibeto-Burman tribal populations (TB), Northern Indo-European non-tribal populations (IE_NT), and Southern Dravidian tribal populatio</w:t>
      </w:r>
      <w:r>
        <w:rPr>
          <w:rFonts w:ascii="Arial" w:hAnsi="Arial"/>
          <w:color w:val="111827"/>
          <w:sz w:val="20"/>
        </w:rPr>
        <w:t xml:space="preserve">ns (DR_T). Pairwise divergence times were computed using the Cavalli-Sforza transformation: </w:t>
      </w:r>
      <w:r>
        <w:rPr>
          <w:rFonts w:ascii="Arial" w:hAnsi="Arial"/>
          <w:i/>
          <w:color w:val="111827"/>
          <w:sz w:val="20"/>
        </w:rPr>
        <w:t>T</w:t>
      </w:r>
      <w:r>
        <w:rPr>
          <w:rFonts w:ascii="Arial" w:hAnsi="Arial"/>
          <w:color w:val="111827"/>
          <w:sz w:val="20"/>
        </w:rPr>
        <w:t xml:space="preserve"> = −ln(1 − </w:t>
      </w:r>
      <w:r>
        <w:rPr>
          <w:rFonts w:ascii="Arial" w:hAnsi="Arial"/>
          <w:i/>
          <w:color w:val="111827"/>
          <w:sz w:val="20"/>
        </w:rPr>
        <w:t>F</w:t>
      </w:r>
      <w:r>
        <w:rPr>
          <w:rFonts w:ascii="Arial" w:hAnsi="Arial"/>
          <w:color w:val="111827"/>
          <w:sz w:val="16"/>
          <w:vertAlign w:val="subscript"/>
        </w:rPr>
        <w:t>ST</w:t>
      </w:r>
      <w:r>
        <w:rPr>
          <w:rFonts w:ascii="Arial" w:hAnsi="Arial"/>
          <w:color w:val="111827"/>
          <w:sz w:val="20"/>
        </w:rPr>
        <w:t>). The branch lengths were calculated as: PBS</w:t>
      </w:r>
      <w:r>
        <w:rPr>
          <w:rFonts w:ascii="Arial" w:hAnsi="Arial"/>
          <w:color w:val="111827"/>
          <w:sz w:val="16"/>
          <w:vertAlign w:val="subscript"/>
        </w:rPr>
        <w:t>TB</w:t>
      </w:r>
      <w:r>
        <w:rPr>
          <w:rFonts w:ascii="Arial" w:hAnsi="Arial"/>
          <w:color w:val="111827"/>
          <w:sz w:val="20"/>
        </w:rPr>
        <w:t xml:space="preserve"> = (</w:t>
      </w:r>
      <w:r>
        <w:rPr>
          <w:rFonts w:ascii="Arial" w:hAnsi="Arial"/>
          <w:i/>
          <w:color w:val="111827"/>
          <w:sz w:val="20"/>
        </w:rPr>
        <w:t>T</w:t>
      </w:r>
      <w:r>
        <w:rPr>
          <w:rFonts w:ascii="Arial" w:hAnsi="Arial"/>
          <w:color w:val="111827"/>
          <w:sz w:val="16"/>
          <w:vertAlign w:val="subscript"/>
        </w:rPr>
        <w:t>TB,IE</w:t>
      </w:r>
      <w:r>
        <w:rPr>
          <w:rFonts w:ascii="Arial" w:hAnsi="Arial"/>
          <w:color w:val="111827"/>
          <w:sz w:val="20"/>
        </w:rPr>
        <w:t xml:space="preserve"> + </w:t>
      </w:r>
      <w:r>
        <w:rPr>
          <w:rFonts w:ascii="Arial" w:hAnsi="Arial"/>
          <w:i/>
          <w:color w:val="111827"/>
          <w:sz w:val="20"/>
        </w:rPr>
        <w:t>T</w:t>
      </w:r>
      <w:r>
        <w:rPr>
          <w:rFonts w:ascii="Arial" w:hAnsi="Arial"/>
          <w:color w:val="111827"/>
          <w:sz w:val="16"/>
          <w:vertAlign w:val="subscript"/>
        </w:rPr>
        <w:t>TB,DR</w:t>
      </w:r>
      <w:r>
        <w:rPr>
          <w:rFonts w:ascii="Arial" w:hAnsi="Arial"/>
          <w:color w:val="111827"/>
          <w:sz w:val="20"/>
        </w:rPr>
        <w:t xml:space="preserve"> − </w:t>
      </w:r>
      <w:r>
        <w:rPr>
          <w:rFonts w:ascii="Arial" w:hAnsi="Arial"/>
          <w:i/>
          <w:color w:val="111827"/>
          <w:sz w:val="20"/>
        </w:rPr>
        <w:t>T</w:t>
      </w:r>
      <w:r>
        <w:rPr>
          <w:rFonts w:ascii="Arial" w:hAnsi="Arial"/>
          <w:color w:val="111827"/>
          <w:sz w:val="16"/>
          <w:vertAlign w:val="subscript"/>
        </w:rPr>
        <w:t>IE,DR</w:t>
      </w:r>
      <w:r>
        <w:rPr>
          <w:rFonts w:ascii="Arial" w:hAnsi="Arial"/>
          <w:color w:val="111827"/>
          <w:sz w:val="20"/>
        </w:rPr>
        <w:t>) / 2. PBS for Tibeto-Burman lineages reached a sharp peak of PBS</w:t>
      </w:r>
      <w:r>
        <w:rPr>
          <w:rFonts w:ascii="Arial" w:hAnsi="Arial"/>
          <w:color w:val="111827"/>
          <w:sz w:val="16"/>
          <w:vertAlign w:val="subscript"/>
        </w:rPr>
        <w:t>TB</w:t>
      </w:r>
      <w:r>
        <w:rPr>
          <w:rFonts w:ascii="Arial" w:hAnsi="Arial"/>
          <w:color w:val="111827"/>
          <w:sz w:val="20"/>
        </w:rPr>
        <w:t xml:space="preserve"> = 0.0877 for the lead adaptive variant rs3827760 (50 kb sliding-window peak = 0.0846) at </w:t>
      </w:r>
      <w:r>
        <w:rPr>
          <w:rFonts w:ascii="Arial" w:hAnsi="Arial"/>
          <w:i/>
          <w:color w:val="111827"/>
          <w:sz w:val="20"/>
        </w:rPr>
        <w:t>EDAR</w:t>
      </w:r>
      <w:r>
        <w:rPr>
          <w:rFonts w:ascii="Arial" w:hAnsi="Arial"/>
          <w:color w:val="111827"/>
          <w:sz w:val="20"/>
        </w:rPr>
        <w:t xml:space="preserve">, where rs3827760 reaches 7.84% allele frequency, proving that the selective sweep is strictly confined to Himalayan and Northeastern lineages. Similar lineage-specific scans resolved strong adaptive divergence at </w:t>
      </w:r>
      <w:r>
        <w:rPr>
          <w:rFonts w:ascii="Arial" w:hAnsi="Arial"/>
          <w:i/>
          <w:color w:val="111827"/>
          <w:sz w:val="20"/>
        </w:rPr>
        <w:t>HBB</w:t>
      </w:r>
      <w:r>
        <w:rPr>
          <w:rFonts w:ascii="Arial" w:hAnsi="Arial"/>
          <w:color w:val="111827"/>
          <w:sz w:val="20"/>
        </w:rPr>
        <w:t xml:space="preserve"> (PBS</w:t>
      </w:r>
      <w:r>
        <w:rPr>
          <w:rFonts w:ascii="Arial" w:hAnsi="Arial"/>
          <w:color w:val="111827"/>
          <w:sz w:val="16"/>
          <w:vertAlign w:val="subscript"/>
        </w:rPr>
        <w:t>DR_T</w:t>
      </w:r>
      <w:r>
        <w:rPr>
          <w:rFonts w:ascii="Arial" w:hAnsi="Arial"/>
          <w:color w:val="111827"/>
          <w:sz w:val="20"/>
        </w:rPr>
        <w:t xml:space="preserve"> = 0.0507), </w:t>
      </w:r>
      <w:r>
        <w:rPr>
          <w:rFonts w:ascii="Arial" w:hAnsi="Arial"/>
          <w:i/>
          <w:color w:val="111827"/>
          <w:sz w:val="20"/>
        </w:rPr>
        <w:t>SLC24A5</w:t>
      </w:r>
      <w:r>
        <w:rPr>
          <w:rFonts w:ascii="Arial" w:hAnsi="Arial"/>
          <w:color w:val="111827"/>
          <w:sz w:val="20"/>
        </w:rPr>
        <w:t xml:space="preserve"> (PBS</w:t>
      </w:r>
      <w:r>
        <w:rPr>
          <w:rFonts w:ascii="Arial" w:hAnsi="Arial"/>
          <w:color w:val="111827"/>
          <w:sz w:val="16"/>
          <w:vertAlign w:val="subscript"/>
        </w:rPr>
        <w:t>IE_NT</w:t>
      </w:r>
      <w:r>
        <w:rPr>
          <w:rFonts w:ascii="Arial" w:hAnsi="Arial"/>
          <w:color w:val="111827"/>
          <w:sz w:val="20"/>
        </w:rPr>
        <w:t xml:space="preserve"> = 0.0422), </w:t>
      </w:r>
      <w:r>
        <w:rPr>
          <w:rFonts w:ascii="Arial" w:hAnsi="Arial"/>
          <w:i/>
          <w:color w:val="111827"/>
          <w:sz w:val="20"/>
        </w:rPr>
        <w:t>VKORC1</w:t>
      </w:r>
      <w:r>
        <w:rPr>
          <w:rFonts w:ascii="Arial" w:hAnsi="Arial"/>
          <w:color w:val="111827"/>
          <w:sz w:val="20"/>
        </w:rPr>
        <w:t xml:space="preserve"> (PBS</w:t>
      </w:r>
      <w:r>
        <w:rPr>
          <w:rFonts w:ascii="Arial" w:hAnsi="Arial"/>
          <w:color w:val="111827"/>
          <w:sz w:val="16"/>
          <w:vertAlign w:val="subscript"/>
        </w:rPr>
        <w:t>TB</w:t>
      </w:r>
      <w:r>
        <w:rPr>
          <w:rFonts w:ascii="Arial" w:hAnsi="Arial"/>
          <w:color w:val="111827"/>
          <w:sz w:val="20"/>
        </w:rPr>
        <w:t xml:space="preserve"> = 0.0659), and </w:t>
      </w:r>
      <w:r>
        <w:rPr>
          <w:rFonts w:ascii="Arial" w:hAnsi="Arial"/>
          <w:i/>
          <w:color w:val="111827"/>
          <w:sz w:val="20"/>
        </w:rPr>
        <w:t>FADS1/2</w:t>
      </w:r>
      <w:r>
        <w:rPr>
          <w:rFonts w:ascii="Arial" w:hAnsi="Arial"/>
          <w:color w:val="111827"/>
          <w:sz w:val="20"/>
        </w:rPr>
        <w:t xml:space="preserve"> (PBS</w:t>
      </w:r>
      <w:r>
        <w:rPr>
          <w:rFonts w:ascii="Arial" w:hAnsi="Arial"/>
          <w:color w:val="111827"/>
          <w:sz w:val="16"/>
          <w:vertAlign w:val="subscript"/>
        </w:rPr>
        <w:t>TB</w:t>
      </w:r>
      <w:r>
        <w:rPr>
          <w:rFonts w:ascii="Arial" w:hAnsi="Arial"/>
          <w:color w:val="111827"/>
          <w:sz w:val="20"/>
        </w:rPr>
        <w:t xml:space="preserve"> = 0.0369; Supplementary Table S12 and Extended Data Fig. 3).</w:t>
      </w:r>
    </w:p>
    <w:p w14:paraId="7FD0D3FD" w14:textId="77777777" w:rsidR="00FE6131" w:rsidRDefault="00C93A9C">
      <w:pPr>
        <w:keepNext/>
        <w:spacing w:before="360" w:after="120"/>
      </w:pPr>
      <w:r>
        <w:rPr>
          <w:rFonts w:ascii="Arial" w:hAnsi="Arial"/>
          <w:b/>
          <w:color w:val="0F172A"/>
          <w:sz w:val="24"/>
        </w:rPr>
        <w:t>Supplementary Tables Compendium (Tables S1–S14)</w:t>
      </w:r>
    </w:p>
    <w:p w14:paraId="09618760" w14:textId="77777777" w:rsidR="00FE6131" w:rsidRDefault="00C93A9C">
      <w:pPr>
        <w:spacing w:before="40" w:after="160" w:line="288" w:lineRule="auto"/>
        <w:jc w:val="both"/>
      </w:pPr>
      <w:r>
        <w:rPr>
          <w:rFonts w:ascii="Arial" w:hAnsi="Arial"/>
          <w:b/>
          <w:color w:val="111827"/>
          <w:sz w:val="19"/>
        </w:rPr>
        <w:t>Supplementary Table S1: Chromosome-Level Population Genetic Neutrality Statistics across Autosomes (Callable-Normalized).</w:t>
      </w:r>
      <w:r>
        <w:rPr>
          <w:rFonts w:ascii="Arial" w:hAnsi="Arial"/>
          <w:color w:val="111827"/>
          <w:sz w:val="19"/>
        </w:rPr>
        <w:t xml:space="preserve"> Autosomal length, callable base span (NS_GT ≥ 98%), segregating sites (S), Watterson's mutation parameter (θ</w:t>
      </w:r>
      <w:r>
        <w:rPr>
          <w:rFonts w:ascii="Arial" w:hAnsi="Arial"/>
          <w:color w:val="111827"/>
          <w:sz w:val="15"/>
          <w:vertAlign w:val="subscript"/>
        </w:rPr>
        <w:t>W</w:t>
      </w:r>
      <w:r>
        <w:rPr>
          <w:rFonts w:ascii="Arial" w:hAnsi="Arial"/>
          <w:color w:val="111827"/>
          <w:sz w:val="19"/>
        </w:rPr>
        <w:t xml:space="preserve">, total and per kb callable), nucleotide diversity (π, total and per kb callable), and Tajima's </w:t>
      </w:r>
      <w:r>
        <w:rPr>
          <w:rFonts w:ascii="Arial" w:hAnsi="Arial"/>
          <w:i/>
          <w:color w:val="111827"/>
          <w:sz w:val="19"/>
        </w:rPr>
        <w:t>D</w:t>
      </w:r>
      <w:r>
        <w:rPr>
          <w:rFonts w:ascii="Arial" w:hAnsi="Arial"/>
          <w:color w:val="111827"/>
          <w:sz w:val="19"/>
        </w:rPr>
        <w:t xml:space="preserve"> across all 22 autosomes, plus Autosomal genome-wide total/mean summary (23 rows).</w:t>
      </w:r>
    </w:p>
    <w:p w14:paraId="7D932817" w14:textId="77777777" w:rsidR="00FE6131" w:rsidRDefault="00C93A9C">
      <w:pPr>
        <w:spacing w:before="40" w:after="160" w:line="288" w:lineRule="auto"/>
        <w:jc w:val="both"/>
      </w:pPr>
      <w:r>
        <w:rPr>
          <w:rFonts w:ascii="Arial" w:hAnsi="Arial"/>
          <w:b/>
          <w:color w:val="111827"/>
          <w:sz w:val="19"/>
        </w:rPr>
        <w:t>Supplementary Table S2: High-Resolution 50 kb Natural Selection Scans across Autosomal Loci (10 kb Step).</w:t>
      </w:r>
      <w:r>
        <w:rPr>
          <w:rFonts w:ascii="Arial" w:hAnsi="Arial"/>
          <w:color w:val="111827"/>
          <w:sz w:val="19"/>
        </w:rPr>
        <w:t xml:space="preserve"> 50 kb sliding-window scans across </w:t>
      </w:r>
      <w:r>
        <w:rPr>
          <w:rFonts w:ascii="Arial" w:hAnsi="Arial"/>
          <w:i/>
          <w:color w:val="111827"/>
          <w:sz w:val="19"/>
        </w:rPr>
        <w:t>LCT</w:t>
      </w:r>
      <w:r>
        <w:rPr>
          <w:rFonts w:ascii="Arial" w:hAnsi="Arial"/>
          <w:color w:val="111827"/>
          <w:sz w:val="19"/>
        </w:rPr>
        <w:t xml:space="preserve"> (2q21), HLA Class II (6p21), </w:t>
      </w:r>
      <w:r>
        <w:rPr>
          <w:rFonts w:ascii="Arial" w:hAnsi="Arial"/>
          <w:i/>
          <w:color w:val="111827"/>
          <w:sz w:val="19"/>
        </w:rPr>
        <w:t>FADS1/2</w:t>
      </w:r>
      <w:r>
        <w:rPr>
          <w:rFonts w:ascii="Arial" w:hAnsi="Arial"/>
          <w:color w:val="111827"/>
          <w:sz w:val="19"/>
        </w:rPr>
        <w:t xml:space="preserve"> (11q12), and </w:t>
      </w:r>
      <w:r>
        <w:rPr>
          <w:rFonts w:ascii="Arial" w:hAnsi="Arial"/>
          <w:i/>
          <w:color w:val="111827"/>
          <w:sz w:val="19"/>
        </w:rPr>
        <w:t>EDAR</w:t>
      </w:r>
      <w:r>
        <w:rPr>
          <w:rFonts w:ascii="Arial" w:hAnsi="Arial"/>
          <w:color w:val="111827"/>
          <w:sz w:val="19"/>
        </w:rPr>
        <w:t xml:space="preserve"> (2q13), identifying selective sweep troughs, dietary adaptation sweeps, and balancing selection peaks (748 rows).</w:t>
      </w:r>
    </w:p>
    <w:p w14:paraId="1175FFBB" w14:textId="77777777" w:rsidR="00FE6131" w:rsidRDefault="00C93A9C">
      <w:pPr>
        <w:spacing w:before="40" w:after="160" w:line="288" w:lineRule="auto"/>
        <w:jc w:val="both"/>
      </w:pPr>
      <w:r>
        <w:rPr>
          <w:rFonts w:ascii="Arial" w:hAnsi="Arial"/>
          <w:b/>
          <w:color w:val="111827"/>
          <w:sz w:val="19"/>
        </w:rPr>
        <w:t>Supplementary Table S3: Actionable Pharmacogenomic and Disease Carrier Allele Prevalence (CPIC Level 1A).</w:t>
      </w:r>
      <w:r>
        <w:rPr>
          <w:rFonts w:ascii="Arial" w:hAnsi="Arial"/>
          <w:color w:val="111827"/>
          <w:sz w:val="19"/>
        </w:rPr>
        <w:t xml:space="preserve"> Allele frequencies, carrier rates (Total and Heterozygote), expected homozygotes under HWE vs endogamy (</w:t>
      </w:r>
      <w:r>
        <w:rPr>
          <w:rFonts w:ascii="Arial" w:hAnsi="Arial"/>
          <w:i/>
          <w:color w:val="111827"/>
          <w:sz w:val="19"/>
        </w:rPr>
        <w:t>F</w:t>
      </w:r>
      <w:r>
        <w:rPr>
          <w:rFonts w:ascii="Arial" w:hAnsi="Arial"/>
          <w:color w:val="111827"/>
          <w:sz w:val="19"/>
        </w:rPr>
        <w:t xml:space="preserve"> = 0.0200), and endogamy multipliers for CPIC Level 1A alleles (</w:t>
      </w:r>
      <w:r>
        <w:rPr>
          <w:rFonts w:ascii="Arial" w:hAnsi="Arial"/>
          <w:i/>
          <w:color w:val="111827"/>
          <w:sz w:val="19"/>
        </w:rPr>
        <w:t>CYP2C19\</w:t>
      </w:r>
      <w:r>
        <w:rPr>
          <w:rFonts w:ascii="Arial" w:hAnsi="Arial"/>
          <w:color w:val="111827"/>
          <w:sz w:val="19"/>
        </w:rPr>
        <w:t>2/\</w:t>
      </w:r>
      <w:r>
        <w:rPr>
          <w:rFonts w:ascii="Arial" w:hAnsi="Arial"/>
          <w:i/>
          <w:color w:val="111827"/>
          <w:sz w:val="19"/>
        </w:rPr>
        <w:t>17</w:t>
      </w:r>
      <w:r>
        <w:rPr>
          <w:rFonts w:ascii="Arial" w:hAnsi="Arial"/>
          <w:color w:val="111827"/>
          <w:sz w:val="19"/>
        </w:rPr>
        <w:t xml:space="preserve">, </w:t>
      </w:r>
      <w:r>
        <w:rPr>
          <w:rFonts w:ascii="Arial" w:hAnsi="Arial"/>
          <w:i/>
          <w:color w:val="111827"/>
          <w:sz w:val="19"/>
        </w:rPr>
        <w:t>CYP2C9\</w:t>
      </w:r>
      <w:r>
        <w:rPr>
          <w:rFonts w:ascii="Arial" w:hAnsi="Arial"/>
          <w:color w:val="111827"/>
          <w:sz w:val="19"/>
        </w:rPr>
        <w:t>2/\</w:t>
      </w:r>
      <w:r>
        <w:rPr>
          <w:rFonts w:ascii="Arial" w:hAnsi="Arial"/>
          <w:i/>
          <w:color w:val="111827"/>
          <w:sz w:val="19"/>
        </w:rPr>
        <w:t>3</w:t>
      </w:r>
      <w:r>
        <w:rPr>
          <w:rFonts w:ascii="Arial" w:hAnsi="Arial"/>
          <w:color w:val="111827"/>
          <w:sz w:val="19"/>
        </w:rPr>
        <w:t xml:space="preserve">, </w:t>
      </w:r>
      <w:r>
        <w:rPr>
          <w:rFonts w:ascii="Arial" w:hAnsi="Arial"/>
          <w:i/>
          <w:color w:val="111827"/>
          <w:sz w:val="19"/>
        </w:rPr>
        <w:t>SLCO1B1\</w:t>
      </w:r>
      <w:r>
        <w:rPr>
          <w:rFonts w:ascii="Arial" w:hAnsi="Arial"/>
          <w:color w:val="111827"/>
          <w:sz w:val="19"/>
        </w:rPr>
        <w:t>5</w:t>
      </w:r>
      <w:r>
        <w:rPr>
          <w:rFonts w:ascii="Arial" w:hAnsi="Arial"/>
          <w:i/>
          <w:color w:val="111827"/>
          <w:sz w:val="19"/>
        </w:rPr>
        <w:t xml:space="preserve">, </w:t>
      </w:r>
      <w:r>
        <w:rPr>
          <w:rFonts w:ascii="Arial" w:hAnsi="Arial"/>
          <w:color w:val="111827"/>
          <w:sz w:val="19"/>
        </w:rPr>
        <w:t>TPMT\</w:t>
      </w:r>
      <w:r>
        <w:rPr>
          <w:rFonts w:ascii="Arial" w:hAnsi="Arial"/>
          <w:i/>
          <w:color w:val="111827"/>
          <w:sz w:val="19"/>
        </w:rPr>
        <w:t>3C</w:t>
      </w:r>
      <w:r>
        <w:rPr>
          <w:rFonts w:ascii="Arial" w:hAnsi="Arial"/>
          <w:color w:val="111827"/>
          <w:sz w:val="19"/>
        </w:rPr>
        <w:t xml:space="preserve">, </w:t>
      </w:r>
      <w:r>
        <w:rPr>
          <w:rFonts w:ascii="Arial" w:hAnsi="Arial"/>
          <w:i/>
          <w:color w:val="111827"/>
          <w:sz w:val="19"/>
        </w:rPr>
        <w:t>HBB</w:t>
      </w:r>
      <w:r>
        <w:rPr>
          <w:rFonts w:ascii="Arial" w:hAnsi="Arial"/>
          <w:color w:val="111827"/>
          <w:sz w:val="19"/>
        </w:rPr>
        <w:t xml:space="preserve"> HbS, </w:t>
      </w:r>
      <w:r>
        <w:rPr>
          <w:rFonts w:ascii="Arial" w:hAnsi="Arial"/>
          <w:i/>
          <w:color w:val="111827"/>
          <w:sz w:val="19"/>
        </w:rPr>
        <w:t>GJB2</w:t>
      </w:r>
      <w:r>
        <w:rPr>
          <w:rFonts w:ascii="Arial" w:hAnsi="Arial"/>
          <w:color w:val="111827"/>
          <w:sz w:val="19"/>
        </w:rPr>
        <w:t xml:space="preserve"> W24X) (8 rows).</w:t>
      </w:r>
    </w:p>
    <w:p w14:paraId="76E068B2" w14:textId="77777777" w:rsidR="00FE6131" w:rsidRDefault="00C93A9C">
      <w:pPr>
        <w:spacing w:before="40" w:after="160" w:line="288" w:lineRule="auto"/>
        <w:jc w:val="both"/>
      </w:pPr>
      <w:r>
        <w:rPr>
          <w:rFonts w:ascii="Arial" w:hAnsi="Arial"/>
          <w:b/>
          <w:color w:val="111827"/>
          <w:sz w:val="19"/>
        </w:rPr>
        <w:t>Supplementary Table S4: Gene-Level Functional pLoF, ACMG Classification, and ClinVar Resolution Summary.</w:t>
      </w:r>
      <w:r>
        <w:rPr>
          <w:rFonts w:ascii="Arial" w:hAnsi="Arial"/>
          <w:color w:val="111827"/>
          <w:sz w:val="19"/>
        </w:rPr>
        <w:t xml:space="preserve"> Total variants, high-confidence true pLoF candidates (stop-gain, frameshift, canonical splice), ACMG benign filtering counts (BA1, BS1), gnomAD LOEUF categories, and resolved ClinVar false-positive pathogenic/VUS assertions across 24 loci (24 rows).</w:t>
      </w:r>
    </w:p>
    <w:p w14:paraId="1A1D649C" w14:textId="77777777" w:rsidR="00FE6131" w:rsidRDefault="00C93A9C">
      <w:pPr>
        <w:spacing w:before="40" w:after="160" w:line="288" w:lineRule="auto"/>
        <w:jc w:val="both"/>
      </w:pPr>
      <w:r>
        <w:rPr>
          <w:rFonts w:ascii="Arial" w:hAnsi="Arial"/>
          <w:b/>
          <w:color w:val="111827"/>
          <w:sz w:val="19"/>
        </w:rPr>
        <w:t>Supplementary Table S5: Endogamy-Exclusive Human Knockout Candidates.</w:t>
      </w:r>
      <w:r>
        <w:rPr>
          <w:rFonts w:ascii="Arial" w:hAnsi="Arial"/>
          <w:color w:val="111827"/>
          <w:sz w:val="19"/>
        </w:rPr>
        <w:t xml:space="preserve"> High-confidence homozygous knockout variants where classical HWE predicts fewer than 0.1 expected homozygotes (p</w:t>
      </w:r>
      <w:r>
        <w:rPr>
          <w:rFonts w:ascii="Arial" w:hAnsi="Arial"/>
          <w:color w:val="111827"/>
          <w:sz w:val="15"/>
          <w:vertAlign w:val="superscript"/>
        </w:rPr>
        <w:t>2</w:t>
      </w:r>
      <w:r>
        <w:rPr>
          <w:rFonts w:ascii="Arial" w:hAnsi="Arial"/>
          <w:color w:val="111827"/>
          <w:sz w:val="19"/>
        </w:rPr>
        <w:t xml:space="preserve"> × </w:t>
      </w:r>
      <w:r>
        <w:rPr>
          <w:rFonts w:ascii="Arial" w:hAnsi="Arial"/>
          <w:i/>
          <w:color w:val="111827"/>
          <w:sz w:val="19"/>
        </w:rPr>
        <w:t>N</w:t>
      </w:r>
      <w:r>
        <w:rPr>
          <w:rFonts w:ascii="Arial" w:hAnsi="Arial"/>
          <w:color w:val="111827"/>
          <w:sz w:val="19"/>
        </w:rPr>
        <w:t xml:space="preserve"> &lt; 0.1), unmasked by South Asian endogamous population structure (1,680 rows).</w:t>
      </w:r>
    </w:p>
    <w:p w14:paraId="74A97688" w14:textId="77777777" w:rsidR="00FE6131" w:rsidRDefault="00C93A9C">
      <w:pPr>
        <w:spacing w:before="40" w:after="160" w:line="288" w:lineRule="auto"/>
        <w:jc w:val="both"/>
      </w:pPr>
      <w:r>
        <w:rPr>
          <w:rFonts w:ascii="Arial" w:hAnsi="Arial"/>
          <w:b/>
          <w:color w:val="111827"/>
          <w:sz w:val="19"/>
        </w:rPr>
        <w:t>Supplementary Table S6: Mutational Spectrum and Site Frequency Spectrum Distribution across 129.9 Million Variants.</w:t>
      </w:r>
      <w:r>
        <w:rPr>
          <w:rFonts w:ascii="Arial" w:hAnsi="Arial"/>
          <w:color w:val="111827"/>
          <w:sz w:val="19"/>
        </w:rPr>
        <w:t xml:space="preserve"> Decomposition of single base substitution frequencies, Ti/Tv ratio (2.334), CpG transition bias, and frequency spectrum classification across 129.9 million variants (23 rows).</w:t>
      </w:r>
    </w:p>
    <w:p w14:paraId="243532A6" w14:textId="77777777" w:rsidR="00FE6131" w:rsidRDefault="00C93A9C">
      <w:pPr>
        <w:spacing w:before="40" w:after="160" w:line="288" w:lineRule="auto"/>
        <w:jc w:val="both"/>
      </w:pPr>
      <w:r>
        <w:rPr>
          <w:rFonts w:ascii="Arial" w:hAnsi="Arial"/>
          <w:b/>
          <w:color w:val="111827"/>
          <w:sz w:val="19"/>
        </w:rPr>
        <w:t>Supplementary Table S7: Monitored Clinical and Therapeutic Target Locus Definitions.</w:t>
      </w:r>
      <w:r>
        <w:rPr>
          <w:rFonts w:ascii="Arial" w:hAnsi="Arial"/>
          <w:color w:val="111827"/>
          <w:sz w:val="19"/>
        </w:rPr>
        <w:t xml:space="preserve"> Genomic coordinates (GRCh38), locus boundaries, transcript IDs, and functional classifications for all 24 prioritized target genes (24 rows).</w:t>
      </w:r>
    </w:p>
    <w:p w14:paraId="27E4CBDE" w14:textId="77777777" w:rsidR="00FE6131" w:rsidRDefault="00C93A9C">
      <w:pPr>
        <w:spacing w:before="40" w:after="160" w:line="288" w:lineRule="auto"/>
        <w:jc w:val="both"/>
      </w:pPr>
      <w:r>
        <w:rPr>
          <w:rFonts w:ascii="Arial" w:hAnsi="Arial"/>
          <w:b/>
          <w:color w:val="111827"/>
          <w:sz w:val="19"/>
        </w:rPr>
        <w:t>Supplementary Table S8: Complete Human Knockout Candidates Dataset.</w:t>
      </w:r>
      <w:r>
        <w:rPr>
          <w:rFonts w:ascii="Arial" w:hAnsi="Arial"/>
          <w:color w:val="111827"/>
          <w:sz w:val="19"/>
        </w:rPr>
        <w:t xml:space="preserve"> Full catalog of 8,164 homozygous alternative variants (Hom_Alt ≥ 1.0) identified across prioritized clinical, metabolic, and therapeutic target genes (8,164 rows).</w:t>
      </w:r>
    </w:p>
    <w:p w14:paraId="0F6DDB05" w14:textId="77777777" w:rsidR="00FE6131" w:rsidRDefault="00C93A9C">
      <w:pPr>
        <w:spacing w:before="40" w:after="160" w:line="288" w:lineRule="auto"/>
        <w:jc w:val="both"/>
      </w:pPr>
      <w:r>
        <w:rPr>
          <w:rFonts w:ascii="Arial" w:hAnsi="Arial"/>
          <w:b/>
          <w:color w:val="111827"/>
          <w:sz w:val="19"/>
        </w:rPr>
        <w:t>Supplementary Table S9: Subpopulation Pharmacogenomic Landscape and Empirical Wahlund Deconvolution (83 Subpopulations).</w:t>
      </w:r>
      <w:r>
        <w:rPr>
          <w:rFonts w:ascii="Arial" w:hAnsi="Arial"/>
          <w:color w:val="111827"/>
          <w:sz w:val="19"/>
        </w:rPr>
        <w:t xml:space="preserve"> Actionable CPIC Level 1A alleles and disease carrier variants across 83 subpopulations, detailing national vs. subpopulation min-max MAF, locus-specific Wahlund </w:t>
      </w:r>
      <w:r>
        <w:rPr>
          <w:rFonts w:ascii="Arial" w:hAnsi="Arial"/>
          <w:i/>
          <w:color w:val="111827"/>
          <w:sz w:val="19"/>
        </w:rPr>
        <w:t>F</w:t>
      </w:r>
      <w:r>
        <w:rPr>
          <w:rFonts w:ascii="Arial" w:hAnsi="Arial"/>
          <w:color w:val="111827"/>
          <w:sz w:val="15"/>
          <w:vertAlign w:val="subscript"/>
        </w:rPr>
        <w:t>ST</w:t>
      </w:r>
      <w:r>
        <w:rPr>
          <w:rFonts w:ascii="Arial" w:hAnsi="Arial"/>
          <w:color w:val="111827"/>
          <w:sz w:val="19"/>
        </w:rPr>
        <w:t>, pan-cohort HWE chi-square artifacts, and exact subpopulation-summed endogamy multipliers matching Table 1 (9 rows).</w:t>
      </w:r>
    </w:p>
    <w:p w14:paraId="0477FA5B" w14:textId="77777777" w:rsidR="00FE6131" w:rsidRDefault="00C93A9C">
      <w:pPr>
        <w:spacing w:before="40" w:after="160" w:line="288" w:lineRule="auto"/>
        <w:jc w:val="both"/>
      </w:pPr>
      <w:r>
        <w:rPr>
          <w:rFonts w:ascii="Arial" w:hAnsi="Arial"/>
          <w:b/>
          <w:color w:val="111827"/>
          <w:sz w:val="19"/>
        </w:rPr>
        <w:t>Supplementary Table S10: ClinGen/ACMG PopMax Deconvolution: Pan-Regional Benign Reclassifications vs. Founder Drift.</w:t>
      </w:r>
      <w:r>
        <w:rPr>
          <w:rFonts w:ascii="Arial" w:hAnsi="Arial"/>
          <w:color w:val="111827"/>
          <w:sz w:val="19"/>
        </w:rPr>
        <w:t xml:space="preserve"> Screening of 348 ClinVar assertions across 82 subpopulations: 103 benign reclassifications in large pan-regional endogamous groups (6 BA1, 97 BS1) versus 55 protected founder drift alleles in isolated endogamous communities that must not be filtered out (348 rows).</w:t>
      </w:r>
    </w:p>
    <w:p w14:paraId="09CC16A1" w14:textId="77777777" w:rsidR="00FE6131" w:rsidRDefault="00C93A9C">
      <w:pPr>
        <w:spacing w:before="40" w:after="160" w:line="288" w:lineRule="auto"/>
        <w:jc w:val="both"/>
      </w:pPr>
      <w:r>
        <w:rPr>
          <w:rFonts w:ascii="Arial" w:hAnsi="Arial"/>
          <w:b/>
          <w:color w:val="111827"/>
          <w:sz w:val="19"/>
        </w:rPr>
        <w:t>Supplementary Table S11: Unmasking Founder Human Knockouts: Subpopulation Deconvolution of 123 Loss-of-Function Genes.</w:t>
      </w:r>
      <w:r>
        <w:rPr>
          <w:rFonts w:ascii="Arial" w:hAnsi="Arial"/>
          <w:color w:val="111827"/>
          <w:sz w:val="19"/>
        </w:rPr>
        <w:t xml:space="preserve"> Catalog of 123 high-confidence human knockout variants (stop-gain, frameshift, canonical splice) that are mathematically invisible in pooled national data (</w:t>
      </w:r>
      <w:r>
        <w:rPr>
          <w:rFonts w:ascii="Arial" w:hAnsi="Arial"/>
          <w:i/>
          <w:color w:val="111827"/>
          <w:sz w:val="19"/>
        </w:rPr>
        <w:t>E</w:t>
      </w:r>
      <w:r>
        <w:rPr>
          <w:rFonts w:ascii="Arial" w:hAnsi="Arial"/>
          <w:color w:val="111827"/>
          <w:sz w:val="15"/>
          <w:vertAlign w:val="subscript"/>
        </w:rPr>
        <w:t>pooled</w:t>
      </w:r>
      <w:r>
        <w:rPr>
          <w:rFonts w:ascii="Arial" w:hAnsi="Arial"/>
          <w:color w:val="111827"/>
          <w:sz w:val="19"/>
        </w:rPr>
        <w:t xml:space="preserve"> &lt; 1.0) but spike to 2–23% in specific endogamous founder communities (123 rows).</w:t>
      </w:r>
    </w:p>
    <w:p w14:paraId="758CE059" w14:textId="77777777" w:rsidR="00FE6131" w:rsidRDefault="00C93A9C">
      <w:pPr>
        <w:spacing w:before="40" w:after="160" w:line="288" w:lineRule="auto"/>
        <w:jc w:val="both"/>
      </w:pPr>
      <w:r>
        <w:rPr>
          <w:rFonts w:ascii="Arial" w:hAnsi="Arial"/>
          <w:b/>
          <w:color w:val="111827"/>
          <w:sz w:val="19"/>
        </w:rPr>
        <w:t>Supplementary Table S12: Lineage-Specific Population Branch Statistic (PBS) Selection Scan Peaks across India.</w:t>
      </w:r>
      <w:r>
        <w:rPr>
          <w:rFonts w:ascii="Arial" w:hAnsi="Arial"/>
          <w:color w:val="111827"/>
          <w:sz w:val="19"/>
        </w:rPr>
        <w:t xml:space="preserve"> Empirical PBS scans across Tibeto-Burman, Austroasiatic, Dravidian, and Indo-European lineages, identifying regional selection peaks at </w:t>
      </w:r>
      <w:r>
        <w:rPr>
          <w:rFonts w:ascii="Arial" w:hAnsi="Arial"/>
          <w:i/>
          <w:color w:val="111827"/>
          <w:sz w:val="19"/>
        </w:rPr>
        <w:t>EDAR</w:t>
      </w:r>
      <w:r>
        <w:rPr>
          <w:rFonts w:ascii="Arial" w:hAnsi="Arial"/>
          <w:color w:val="111827"/>
          <w:sz w:val="19"/>
        </w:rPr>
        <w:t xml:space="preserve"> (2q13), </w:t>
      </w:r>
      <w:r>
        <w:rPr>
          <w:rFonts w:ascii="Arial" w:hAnsi="Arial"/>
          <w:i/>
          <w:color w:val="111827"/>
          <w:sz w:val="19"/>
        </w:rPr>
        <w:t>LCT</w:t>
      </w:r>
      <w:r>
        <w:rPr>
          <w:rFonts w:ascii="Arial" w:hAnsi="Arial"/>
          <w:color w:val="111827"/>
          <w:sz w:val="19"/>
        </w:rPr>
        <w:t xml:space="preserve"> (2q21), </w:t>
      </w:r>
      <w:r>
        <w:rPr>
          <w:rFonts w:ascii="Arial" w:hAnsi="Arial"/>
          <w:i/>
          <w:color w:val="111827"/>
          <w:sz w:val="19"/>
        </w:rPr>
        <w:t>FADS1/2</w:t>
      </w:r>
      <w:r>
        <w:rPr>
          <w:rFonts w:ascii="Arial" w:hAnsi="Arial"/>
          <w:color w:val="111827"/>
          <w:sz w:val="19"/>
        </w:rPr>
        <w:t xml:space="preserve"> (11q12), </w:t>
      </w:r>
      <w:r>
        <w:rPr>
          <w:rFonts w:ascii="Arial" w:hAnsi="Arial"/>
          <w:i/>
          <w:color w:val="111827"/>
          <w:sz w:val="19"/>
        </w:rPr>
        <w:t>HBB</w:t>
      </w:r>
      <w:r>
        <w:rPr>
          <w:rFonts w:ascii="Arial" w:hAnsi="Arial"/>
          <w:color w:val="111827"/>
          <w:sz w:val="19"/>
        </w:rPr>
        <w:t xml:space="preserve"> (11p15), and </w:t>
      </w:r>
      <w:r>
        <w:rPr>
          <w:rFonts w:ascii="Arial" w:hAnsi="Arial"/>
          <w:i/>
          <w:color w:val="111827"/>
          <w:sz w:val="19"/>
        </w:rPr>
        <w:t>SLC24A5</w:t>
      </w:r>
      <w:r>
        <w:rPr>
          <w:rFonts w:ascii="Arial" w:hAnsi="Arial"/>
          <w:color w:val="111827"/>
          <w:sz w:val="19"/>
        </w:rPr>
        <w:t xml:space="preserve"> (15q21) (8 rows).</w:t>
      </w:r>
    </w:p>
    <w:p w14:paraId="3887A993" w14:textId="77777777" w:rsidR="00FE6131" w:rsidRDefault="00C93A9C">
      <w:pPr>
        <w:spacing w:before="40" w:after="160" w:line="288" w:lineRule="auto"/>
        <w:jc w:val="both"/>
      </w:pPr>
      <w:r>
        <w:rPr>
          <w:rFonts w:ascii="Arial" w:hAnsi="Arial"/>
          <w:b/>
          <w:color w:val="111827"/>
          <w:sz w:val="19"/>
        </w:rPr>
        <w:t>Supplementary Table S13: ACMG Secondary Findings (SF v3.2) Actionable Gene Hotspots and Subpopulation Deconvolution across 83 GenomeIndia Cohorts.</w:t>
      </w:r>
      <w:r>
        <w:rPr>
          <w:rFonts w:ascii="Arial" w:hAnsi="Arial"/>
          <w:color w:val="111827"/>
          <w:sz w:val="19"/>
        </w:rPr>
        <w:t xml:space="preserve"> Comprehensive subpopulation deconvolution across 80 ACMG SF v3.2 actionable genes, detailing national vs. subpopulation PopMax allele frequencies, community-specific fold enrichments (up to 221-fold), in silico CADD/REVEL predictions, ClinVar classifications, and international gnomAD South Asian reference representations across 15 severe cardiovascular, metabolic, cancer, and neuromuscular disease hotspots (15 rows).</w:t>
      </w:r>
    </w:p>
    <w:p w14:paraId="47812DF7" w14:textId="77777777" w:rsidR="00FE6131" w:rsidRDefault="00C93A9C">
      <w:pPr>
        <w:spacing w:before="40" w:after="160" w:line="288" w:lineRule="auto"/>
        <w:jc w:val="both"/>
      </w:pPr>
      <w:r>
        <w:rPr>
          <w:rFonts w:ascii="Arial" w:hAnsi="Arial"/>
          <w:b/>
          <w:color w:val="111827"/>
          <w:sz w:val="19"/>
        </w:rPr>
        <w:t>Supplementary Table S14: Top Priority Candidate Uncharacterized Selective Sweeps and Founder-Amplified Viable Human Knockouts across Indian Ethnogeographic Isolates.</w:t>
      </w:r>
      <w:r>
        <w:rPr>
          <w:rFonts w:ascii="Arial" w:hAnsi="Arial"/>
          <w:color w:val="111827"/>
          <w:sz w:val="19"/>
        </w:rPr>
        <w:t xml:space="preserve"> Chromosomal positions, cytobands, rsIDs, consequence classifications, top founder populations, founder allele frequencies, and observed homozygous knockout counts across 8 uncharacterized priority genes (GUF1, H3C8, APOBR, DHX38, TMEM54, SLCO1B3, VWA8, PKN1) (8 rows).</w:t>
      </w:r>
    </w:p>
    <w:sectPr w:rsidR="00FE6131" w:rsidSect="00034616">
      <w:footerReference w:type="default" r:id="rId8"/>
      <w:pgSz w:w="12240" w:h="15840"/>
      <w:pgMar w:top="1440" w:right="1440" w:bottom="1440" w:left="1440" w:header="720" w:footer="720" w:gutter="0"/>
      <w:lnNumType w:countBy="1" w:distance="360"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B073A" w14:textId="77777777" w:rsidR="00C93A9C" w:rsidRDefault="00C93A9C">
      <w:pPr>
        <w:spacing w:after="0" w:line="240" w:lineRule="auto"/>
      </w:pPr>
      <w:r>
        <w:separator/>
      </w:r>
    </w:p>
  </w:endnote>
  <w:endnote w:type="continuationSeparator" w:id="0">
    <w:p w14:paraId="5ECE084F" w14:textId="77777777" w:rsidR="00C93A9C" w:rsidRDefault="00C93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94E47" w14:textId="77777777" w:rsidR="00FE6131" w:rsidRDefault="00C93A9C">
    <w:pPr>
      <w:pStyle w:val="Footer"/>
      <w:jc w:val="right"/>
    </w:pPr>
    <w:r>
      <w:rPr>
        <w:rFonts w:ascii="Arial" w:hAnsi="Arial"/>
        <w:color w:val="4B5563"/>
        <w:sz w:val="17"/>
      </w:rPr>
      <w:t xml:space="preserve">Page </w:t>
    </w:r>
    <w:r>
      <w:rPr>
        <w:rFonts w:ascii="Arial" w:hAnsi="Arial"/>
        <w:color w:val="4B5563"/>
        <w:sz w:val="17"/>
      </w:rPr>
      <w:fldChar w:fldCharType="begin"/>
    </w:r>
    <w:r>
      <w:rPr>
        <w:rFonts w:ascii="Arial" w:hAnsi="Arial"/>
        <w:color w:val="4B5563"/>
        <w:sz w:val="17"/>
      </w:rPr>
      <w:instrText>PAGE</w:instrText>
    </w:r>
    <w:r>
      <w:rPr>
        <w:rFonts w:ascii="Arial" w:hAnsi="Arial"/>
        <w:color w:val="4B5563"/>
        <w:sz w:val="17"/>
      </w:rPr>
      <w:fldChar w:fldCharType="separate"/>
    </w:r>
    <w:r w:rsidR="004B1A06">
      <w:rPr>
        <w:rFonts w:ascii="Arial" w:hAnsi="Arial"/>
        <w:noProof/>
        <w:color w:val="4B5563"/>
        <w:sz w:val="17"/>
      </w:rPr>
      <w:t>1</w:t>
    </w:r>
    <w:r>
      <w:rPr>
        <w:rFonts w:ascii="Arial" w:hAnsi="Arial"/>
        <w:color w:val="4B5563"/>
        <w:sz w:val="17"/>
      </w:rPr>
      <w:fldChar w:fldCharType="end"/>
    </w:r>
    <w:r>
      <w:rPr>
        <w:rFonts w:ascii="Arial" w:hAnsi="Arial"/>
        <w:color w:val="4B5563"/>
        <w:sz w:val="17"/>
      </w:rPr>
      <w:t xml:space="preserve"> of </w:t>
    </w:r>
    <w:r>
      <w:rPr>
        <w:rFonts w:ascii="Arial" w:hAnsi="Arial"/>
        <w:color w:val="4B5563"/>
        <w:sz w:val="17"/>
      </w:rPr>
      <w:fldChar w:fldCharType="begin"/>
    </w:r>
    <w:r>
      <w:rPr>
        <w:rFonts w:ascii="Arial" w:hAnsi="Arial"/>
        <w:color w:val="4B5563"/>
        <w:sz w:val="17"/>
      </w:rPr>
      <w:instrText>NUMPAGES</w:instrText>
    </w:r>
    <w:r>
      <w:rPr>
        <w:rFonts w:ascii="Arial" w:hAnsi="Arial"/>
        <w:color w:val="4B5563"/>
        <w:sz w:val="17"/>
      </w:rPr>
      <w:fldChar w:fldCharType="separate"/>
    </w:r>
    <w:r w:rsidR="004B1A06">
      <w:rPr>
        <w:rFonts w:ascii="Arial" w:hAnsi="Arial"/>
        <w:noProof/>
        <w:color w:val="4B5563"/>
        <w:sz w:val="17"/>
      </w:rPr>
      <w:t>2</w:t>
    </w:r>
    <w:r>
      <w:rPr>
        <w:rFonts w:ascii="Arial" w:hAnsi="Arial"/>
        <w:color w:val="4B5563"/>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3AEB3" w14:textId="77777777" w:rsidR="00C93A9C" w:rsidRDefault="00C93A9C">
      <w:pPr>
        <w:spacing w:after="0" w:line="240" w:lineRule="auto"/>
      </w:pPr>
      <w:r>
        <w:separator/>
      </w:r>
    </w:p>
  </w:footnote>
  <w:footnote w:type="continuationSeparator" w:id="0">
    <w:p w14:paraId="05577ADF" w14:textId="77777777" w:rsidR="00C93A9C" w:rsidRDefault="00C93A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38383945">
    <w:abstractNumId w:val="8"/>
  </w:num>
  <w:num w:numId="2" w16cid:durableId="124130699">
    <w:abstractNumId w:val="6"/>
  </w:num>
  <w:num w:numId="3" w16cid:durableId="1111823238">
    <w:abstractNumId w:val="5"/>
  </w:num>
  <w:num w:numId="4" w16cid:durableId="941912611">
    <w:abstractNumId w:val="4"/>
  </w:num>
  <w:num w:numId="5" w16cid:durableId="1662614090">
    <w:abstractNumId w:val="7"/>
  </w:num>
  <w:num w:numId="6" w16cid:durableId="1409960833">
    <w:abstractNumId w:val="3"/>
  </w:num>
  <w:num w:numId="7" w16cid:durableId="223881156">
    <w:abstractNumId w:val="2"/>
  </w:num>
  <w:num w:numId="8" w16cid:durableId="519590339">
    <w:abstractNumId w:val="1"/>
  </w:num>
  <w:num w:numId="9" w16cid:durableId="61022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B1A06"/>
    <w:rsid w:val="00AA1D8D"/>
    <w:rsid w:val="00B27083"/>
    <w:rsid w:val="00B47730"/>
    <w:rsid w:val="00C93A9C"/>
    <w:rsid w:val="00CB0664"/>
    <w:rsid w:val="00FC693F"/>
    <w:rsid w:val="00FE61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5BD498"/>
  <w14:defaultImageDpi w14:val="300"/>
  <w15:docId w15:val="{59781F3A-830B-48B6-9340-857B17E29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2494</Words>
  <Characters>14216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Atanu Dutta</cp:lastModifiedBy>
  <cp:revision>2</cp:revision>
  <cp:lastPrinted>2026-10-20T13:23:00Z</cp:lastPrinted>
  <dcterms:created xsi:type="dcterms:W3CDTF">2013-12-23T23:15:00Z</dcterms:created>
  <dcterms:modified xsi:type="dcterms:W3CDTF">2026-10-20T13:23:00Z</dcterms:modified>
  <cp:category/>
</cp:coreProperties>
</file>