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8C0BDA" w14:textId="55F1FED5" w:rsidR="00071809" w:rsidRDefault="001F7D06">
      <w:r w:rsidRPr="001F7D06">
        <w:rPr>
          <w:noProof/>
        </w:rPr>
        <w:drawing>
          <wp:inline distT="0" distB="0" distL="0" distR="0" wp14:anchorId="07E271D4" wp14:editId="1B003880">
            <wp:extent cx="5400040" cy="3909060"/>
            <wp:effectExtent l="0" t="0" r="0" b="2540"/>
            <wp:docPr id="1" name="図 1" descr="ダイアグラム&#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図 1" descr="ダイアグラム&#10;&#10;自動的に生成された説明"/>
                    <pic:cNvPicPr/>
                  </pic:nvPicPr>
                  <pic:blipFill>
                    <a:blip r:embed="rId6"/>
                    <a:stretch>
                      <a:fillRect/>
                    </a:stretch>
                  </pic:blipFill>
                  <pic:spPr>
                    <a:xfrm>
                      <a:off x="0" y="0"/>
                      <a:ext cx="5400040" cy="3909060"/>
                    </a:xfrm>
                    <a:prstGeom prst="rect">
                      <a:avLst/>
                    </a:prstGeom>
                  </pic:spPr>
                </pic:pic>
              </a:graphicData>
            </a:graphic>
          </wp:inline>
        </w:drawing>
      </w:r>
    </w:p>
    <w:p w14:paraId="3FCA1A21" w14:textId="37F7A65B" w:rsidR="001F7D06" w:rsidRDefault="001F7D06">
      <w:pPr>
        <w:rPr>
          <w:rFonts w:ascii="Times New Roman" w:hAnsi="Times New Roman" w:cs="Times New Roman"/>
          <w:sz w:val="22"/>
          <w:szCs w:val="22"/>
        </w:rPr>
      </w:pPr>
      <w:r>
        <w:rPr>
          <w:rFonts w:ascii="Times New Roman" w:hAnsi="Times New Roman" w:cs="Times New Roman"/>
          <w:b/>
          <w:bCs/>
        </w:rPr>
        <w:t>Extended Data</w:t>
      </w:r>
      <w:r w:rsidRPr="0044242B">
        <w:rPr>
          <w:rFonts w:ascii="Times New Roman" w:hAnsi="Times New Roman" w:cs="Times New Roman"/>
          <w:b/>
          <w:bCs/>
        </w:rPr>
        <w:t xml:space="preserve"> Fi</w:t>
      </w:r>
      <w:r>
        <w:rPr>
          <w:rFonts w:ascii="Times New Roman" w:hAnsi="Times New Roman" w:cs="Times New Roman"/>
          <w:b/>
          <w:bCs/>
        </w:rPr>
        <w:t xml:space="preserve">g. </w:t>
      </w:r>
      <w:r w:rsidRPr="0044242B">
        <w:rPr>
          <w:rFonts w:ascii="Times New Roman" w:hAnsi="Times New Roman" w:cs="Times New Roman"/>
          <w:b/>
          <w:bCs/>
        </w:rPr>
        <w:t>1.</w:t>
      </w:r>
      <w:r w:rsidRPr="0044242B">
        <w:rPr>
          <w:rFonts w:ascii="Times New Roman" w:hAnsi="Times New Roman" w:cs="Times New Roman"/>
        </w:rPr>
        <w:t xml:space="preserve"> </w:t>
      </w:r>
      <w:r w:rsidRPr="001F7D06">
        <w:rPr>
          <w:rFonts w:ascii="Times New Roman" w:hAnsi="Times New Roman" w:cs="Times New Roman"/>
          <w:b/>
          <w:bCs/>
        </w:rPr>
        <w:t>|</w:t>
      </w:r>
      <w:r>
        <w:rPr>
          <w:rFonts w:ascii="Times New Roman" w:hAnsi="Times New Roman" w:cs="Times New Roman"/>
        </w:rPr>
        <w:t xml:space="preserve"> </w:t>
      </w:r>
      <w:r w:rsidRPr="001F7D06">
        <w:rPr>
          <w:rFonts w:ascii="Times New Roman" w:hAnsi="Times New Roman" w:cs="Times New Roman"/>
          <w:b/>
          <w:bCs/>
        </w:rPr>
        <w:t xml:space="preserve">Reduced </w:t>
      </w:r>
      <w:r w:rsidRPr="001F7D06">
        <w:rPr>
          <w:rFonts w:ascii="Times New Roman" w:hAnsi="Times New Roman" w:cs="Times New Roman"/>
          <w:b/>
          <w:bCs/>
          <w:i/>
          <w:iCs/>
        </w:rPr>
        <w:t>ASPSCR1-TFE3</w:t>
      </w:r>
      <w:r w:rsidRPr="001F7D06">
        <w:rPr>
          <w:rFonts w:ascii="Times New Roman" w:hAnsi="Times New Roman" w:cs="Times New Roman"/>
          <w:b/>
          <w:bCs/>
        </w:rPr>
        <w:t xml:space="preserve"> expression alters gene expression profiles in murine and human ASPS cells.</w:t>
      </w:r>
      <w:r w:rsidRPr="0044242B">
        <w:rPr>
          <w:rFonts w:ascii="Times New Roman" w:hAnsi="Times New Roman" w:cs="Times New Roman"/>
        </w:rPr>
        <w:t xml:space="preserve"> </w:t>
      </w:r>
      <w:proofErr w:type="gramStart"/>
      <w:r>
        <w:rPr>
          <w:rFonts w:ascii="Times New Roman" w:hAnsi="Times New Roman" w:cs="Times New Roman"/>
          <w:b/>
          <w:bCs/>
        </w:rPr>
        <w:t>a,</w:t>
      </w:r>
      <w:proofErr w:type="gramEnd"/>
      <w:r>
        <w:rPr>
          <w:rFonts w:ascii="Times New Roman" w:hAnsi="Times New Roman" w:cs="Times New Roman"/>
        </w:rPr>
        <w:t xml:space="preserve"> Photomicrographs of ASPS17 and null cells in culture. Scale bar: 50 µm. </w:t>
      </w:r>
      <w:r>
        <w:rPr>
          <w:rFonts w:ascii="Times New Roman" w:hAnsi="Times New Roman" w:cs="Times New Roman"/>
          <w:b/>
          <w:bCs/>
        </w:rPr>
        <w:t>b</w:t>
      </w:r>
      <w:r w:rsidRPr="008C4136">
        <w:rPr>
          <w:rFonts w:ascii="Times New Roman" w:hAnsi="Times New Roman" w:cs="Times New Roman"/>
          <w:b/>
          <w:bCs/>
        </w:rPr>
        <w:t xml:space="preserve">, </w:t>
      </w:r>
      <w:r>
        <w:rPr>
          <w:rFonts w:ascii="Times New Roman" w:hAnsi="Times New Roman" w:cs="Times New Roman"/>
        </w:rPr>
        <w:t xml:space="preserve">Deletion of the DNA sequence including 5’-long terminal </w:t>
      </w:r>
      <w:proofErr w:type="gramStart"/>
      <w:r>
        <w:rPr>
          <w:rFonts w:ascii="Times New Roman" w:hAnsi="Times New Roman" w:cs="Times New Roman"/>
        </w:rPr>
        <w:t>repeat</w:t>
      </w:r>
      <w:proofErr w:type="gramEnd"/>
      <w:r>
        <w:rPr>
          <w:rFonts w:ascii="Times New Roman" w:hAnsi="Times New Roman" w:cs="Times New Roman"/>
        </w:rPr>
        <w:t xml:space="preserve"> (LTR) within the retroviral vector in ASPS null cells. The structure of pMY-ASPSCR1-TFE3-IRES-GFP (top), and genomic PCR results for the 5’-LTR (bottom left) and the ASPSCR1-TFE3 sequence (bottom right) are shown. </w:t>
      </w:r>
      <w:r>
        <w:rPr>
          <w:rFonts w:ascii="Times New Roman" w:hAnsi="Times New Roman" w:cs="Times New Roman"/>
          <w:b/>
          <w:bCs/>
        </w:rPr>
        <w:t>c</w:t>
      </w:r>
      <w:r w:rsidRPr="00A146BB">
        <w:rPr>
          <w:rFonts w:ascii="Times New Roman" w:hAnsi="Times New Roman" w:cs="Times New Roman"/>
          <w:b/>
          <w:bCs/>
        </w:rPr>
        <w:t xml:space="preserve">, </w:t>
      </w:r>
      <w:r>
        <w:rPr>
          <w:rFonts w:ascii="Times New Roman" w:hAnsi="Times New Roman" w:cs="Times New Roman"/>
        </w:rPr>
        <w:t xml:space="preserve">GSEA </w:t>
      </w:r>
      <w:r>
        <w:rPr>
          <w:rFonts w:ascii="Times New Roman" w:hAnsi="Times New Roman" w:cs="Times New Roman"/>
          <w:sz w:val="22"/>
          <w:szCs w:val="22"/>
        </w:rPr>
        <w:t xml:space="preserve">showing enrichment of PDGF and platelet alpha granule pathways between ASPS17 and ASPS null cells (left). </w:t>
      </w:r>
      <w:proofErr w:type="spellStart"/>
      <w:r>
        <w:rPr>
          <w:rFonts w:ascii="Times New Roman" w:hAnsi="Times New Roman" w:cs="Times New Roman"/>
          <w:sz w:val="22"/>
          <w:szCs w:val="22"/>
        </w:rPr>
        <w:t>qRT</w:t>
      </w:r>
      <w:proofErr w:type="spellEnd"/>
      <w:r>
        <w:rPr>
          <w:rFonts w:ascii="Times New Roman" w:hAnsi="Times New Roman" w:cs="Times New Roman"/>
          <w:sz w:val="22"/>
          <w:szCs w:val="22"/>
        </w:rPr>
        <w:t xml:space="preserve">-PCR shows downregulation of </w:t>
      </w:r>
      <w:proofErr w:type="spellStart"/>
      <w:r>
        <w:rPr>
          <w:rFonts w:ascii="Times New Roman" w:hAnsi="Times New Roman" w:cs="Times New Roman"/>
          <w:i/>
          <w:iCs/>
          <w:sz w:val="22"/>
          <w:szCs w:val="22"/>
        </w:rPr>
        <w:t>Gpnmb</w:t>
      </w:r>
      <w:proofErr w:type="spellEnd"/>
      <w:r w:rsidRPr="00793E40">
        <w:rPr>
          <w:rFonts w:ascii="Times New Roman" w:hAnsi="Times New Roman" w:cs="Times New Roman"/>
          <w:i/>
          <w:iCs/>
          <w:sz w:val="22"/>
          <w:szCs w:val="22"/>
        </w:rPr>
        <w:t xml:space="preserve"> </w:t>
      </w:r>
      <w:r>
        <w:rPr>
          <w:rFonts w:ascii="Times New Roman" w:hAnsi="Times New Roman" w:cs="Times New Roman"/>
          <w:sz w:val="22"/>
          <w:szCs w:val="22"/>
        </w:rPr>
        <w:t xml:space="preserve">in ASPS null cells while </w:t>
      </w:r>
      <w:r>
        <w:rPr>
          <w:rFonts w:ascii="Times New Roman" w:hAnsi="Times New Roman" w:cs="Times New Roman"/>
          <w:i/>
          <w:iCs/>
          <w:sz w:val="22"/>
          <w:szCs w:val="22"/>
        </w:rPr>
        <w:t>Atf4</w:t>
      </w:r>
      <w:r>
        <w:rPr>
          <w:rFonts w:ascii="Times New Roman" w:hAnsi="Times New Roman" w:cs="Times New Roman"/>
          <w:sz w:val="22"/>
          <w:szCs w:val="22"/>
        </w:rPr>
        <w:t xml:space="preserve"> expression was increased (right). * </w:t>
      </w:r>
      <w:r w:rsidRPr="00D732B9">
        <w:rPr>
          <w:rFonts w:ascii="Times New Roman" w:hAnsi="Times New Roman" w:cs="Times New Roman"/>
          <w:i/>
          <w:iCs/>
          <w:sz w:val="22"/>
          <w:szCs w:val="22"/>
        </w:rPr>
        <w:t>P</w:t>
      </w:r>
      <w:r>
        <w:rPr>
          <w:rFonts w:ascii="Times New Roman" w:hAnsi="Times New Roman" w:cs="Times New Roman"/>
          <w:sz w:val="22"/>
          <w:szCs w:val="22"/>
        </w:rPr>
        <w:t xml:space="preserve"> &lt; 0.05. </w:t>
      </w:r>
      <w:r>
        <w:rPr>
          <w:rFonts w:ascii="Times New Roman" w:hAnsi="Times New Roman" w:cs="Times New Roman"/>
          <w:b/>
          <w:bCs/>
          <w:sz w:val="22"/>
          <w:szCs w:val="22"/>
        </w:rPr>
        <w:t>d</w:t>
      </w:r>
      <w:r w:rsidRPr="00581C96">
        <w:rPr>
          <w:rFonts w:ascii="Times New Roman" w:hAnsi="Times New Roman" w:cs="Times New Roman"/>
          <w:b/>
          <w:bCs/>
          <w:sz w:val="22"/>
          <w:szCs w:val="22"/>
        </w:rPr>
        <w:t xml:space="preserve">, </w:t>
      </w:r>
      <w:r>
        <w:rPr>
          <w:rFonts w:ascii="Times New Roman" w:hAnsi="Times New Roman" w:cs="Times New Roman"/>
          <w:sz w:val="22"/>
          <w:szCs w:val="22"/>
        </w:rPr>
        <w:t xml:space="preserve">GSEA showing enrichment of the platelet alpha granule pathways by comparing human ASPS-KY cells with and without knockdown of ASPSCR1-TFE3 (left). </w:t>
      </w:r>
      <w:r>
        <w:rPr>
          <w:rFonts w:ascii="Times New Roman" w:hAnsi="Times New Roman" w:cs="Times New Roman"/>
          <w:i/>
          <w:iCs/>
          <w:sz w:val="22"/>
          <w:szCs w:val="22"/>
        </w:rPr>
        <w:t>GPNMB</w:t>
      </w:r>
      <w:r>
        <w:rPr>
          <w:rFonts w:ascii="Times New Roman" w:hAnsi="Times New Roman" w:cs="Times New Roman"/>
          <w:sz w:val="22"/>
          <w:szCs w:val="22"/>
        </w:rPr>
        <w:t xml:space="preserve"> is downregulated by the knockdown of </w:t>
      </w:r>
      <w:r w:rsidRPr="00A146BB">
        <w:rPr>
          <w:rFonts w:ascii="Times New Roman" w:hAnsi="Times New Roman" w:cs="Times New Roman"/>
          <w:i/>
          <w:iCs/>
          <w:sz w:val="22"/>
          <w:szCs w:val="22"/>
        </w:rPr>
        <w:t>ASPSCR1-TFE3</w:t>
      </w:r>
      <w:r>
        <w:rPr>
          <w:rFonts w:ascii="Times New Roman" w:hAnsi="Times New Roman" w:cs="Times New Roman"/>
          <w:sz w:val="22"/>
          <w:szCs w:val="22"/>
        </w:rPr>
        <w:t xml:space="preserve"> while </w:t>
      </w:r>
      <w:r w:rsidRPr="00A146BB">
        <w:rPr>
          <w:rFonts w:ascii="Times New Roman" w:hAnsi="Times New Roman" w:cs="Times New Roman"/>
          <w:i/>
          <w:iCs/>
          <w:sz w:val="22"/>
          <w:szCs w:val="22"/>
        </w:rPr>
        <w:t>ATF4</w:t>
      </w:r>
      <w:r>
        <w:rPr>
          <w:rFonts w:ascii="Times New Roman" w:hAnsi="Times New Roman" w:cs="Times New Roman"/>
          <w:sz w:val="22"/>
          <w:szCs w:val="22"/>
        </w:rPr>
        <w:t xml:space="preserve"> expression was unchanged (right). * </w:t>
      </w:r>
      <w:r w:rsidRPr="00D732B9">
        <w:rPr>
          <w:rFonts w:ascii="Times New Roman" w:hAnsi="Times New Roman" w:cs="Times New Roman"/>
          <w:i/>
          <w:iCs/>
          <w:sz w:val="22"/>
          <w:szCs w:val="22"/>
        </w:rPr>
        <w:t>P</w:t>
      </w:r>
      <w:r>
        <w:rPr>
          <w:rFonts w:ascii="Times New Roman" w:hAnsi="Times New Roman" w:cs="Times New Roman"/>
          <w:sz w:val="22"/>
          <w:szCs w:val="22"/>
        </w:rPr>
        <w:t xml:space="preserve"> &lt; 0.05.</w:t>
      </w:r>
    </w:p>
    <w:p w14:paraId="32B5C6B4" w14:textId="77777777" w:rsidR="001F7D06" w:rsidRDefault="001F7D06">
      <w:pPr>
        <w:widowControl/>
        <w:jc w:val="left"/>
        <w:rPr>
          <w:rFonts w:ascii="Times New Roman" w:hAnsi="Times New Roman" w:cs="Times New Roman"/>
          <w:sz w:val="22"/>
          <w:szCs w:val="22"/>
        </w:rPr>
      </w:pPr>
      <w:r>
        <w:rPr>
          <w:rFonts w:ascii="Times New Roman" w:hAnsi="Times New Roman" w:cs="Times New Roman"/>
          <w:sz w:val="22"/>
          <w:szCs w:val="22"/>
        </w:rPr>
        <w:br w:type="page"/>
      </w:r>
    </w:p>
    <w:p w14:paraId="32F68FCE" w14:textId="21B8C412" w:rsidR="001F7D06" w:rsidRDefault="001F7D06">
      <w:pPr>
        <w:rPr>
          <w:rFonts w:ascii="Times New Roman" w:hAnsi="Times New Roman" w:cs="Times New Roman"/>
          <w:sz w:val="22"/>
          <w:szCs w:val="22"/>
        </w:rPr>
      </w:pPr>
      <w:r w:rsidRPr="001F7D06">
        <w:rPr>
          <w:rFonts w:ascii="Times New Roman" w:hAnsi="Times New Roman" w:cs="Times New Roman"/>
          <w:noProof/>
          <w:sz w:val="22"/>
          <w:szCs w:val="22"/>
        </w:rPr>
        <w:lastRenderedPageBreak/>
        <w:drawing>
          <wp:inline distT="0" distB="0" distL="0" distR="0" wp14:anchorId="16D3D578" wp14:editId="6F621B28">
            <wp:extent cx="5400040" cy="5400040"/>
            <wp:effectExtent l="0" t="0" r="0" b="0"/>
            <wp:docPr id="2" name="図 2" descr="ダイアグラム&#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図 2" descr="ダイアグラム&#10;&#10;自動的に生成された説明"/>
                    <pic:cNvPicPr/>
                  </pic:nvPicPr>
                  <pic:blipFill>
                    <a:blip r:embed="rId7"/>
                    <a:stretch>
                      <a:fillRect/>
                    </a:stretch>
                  </pic:blipFill>
                  <pic:spPr>
                    <a:xfrm>
                      <a:off x="0" y="0"/>
                      <a:ext cx="5400040" cy="5400040"/>
                    </a:xfrm>
                    <a:prstGeom prst="rect">
                      <a:avLst/>
                    </a:prstGeom>
                  </pic:spPr>
                </pic:pic>
              </a:graphicData>
            </a:graphic>
          </wp:inline>
        </w:drawing>
      </w:r>
    </w:p>
    <w:p w14:paraId="4846A7CD" w14:textId="49DFE361" w:rsidR="00232E2C" w:rsidRDefault="001F7D06">
      <w:pPr>
        <w:rPr>
          <w:rFonts w:ascii="Times New Roman" w:hAnsi="Times New Roman" w:cs="Times New Roman"/>
        </w:rPr>
      </w:pPr>
      <w:r>
        <w:rPr>
          <w:rFonts w:ascii="Times New Roman" w:hAnsi="Times New Roman" w:cs="Times New Roman"/>
          <w:b/>
          <w:bCs/>
        </w:rPr>
        <w:t>Extended Data</w:t>
      </w:r>
      <w:r w:rsidRPr="00E454AE">
        <w:rPr>
          <w:rFonts w:ascii="Times New Roman" w:hAnsi="Times New Roman" w:cs="Times New Roman"/>
          <w:b/>
          <w:bCs/>
        </w:rPr>
        <w:t xml:space="preserve"> Fi</w:t>
      </w:r>
      <w:r>
        <w:rPr>
          <w:rFonts w:ascii="Times New Roman" w:hAnsi="Times New Roman" w:cs="Times New Roman"/>
          <w:b/>
          <w:bCs/>
        </w:rPr>
        <w:t>g.</w:t>
      </w:r>
      <w:r w:rsidRPr="00E454AE">
        <w:rPr>
          <w:rFonts w:ascii="Times New Roman" w:hAnsi="Times New Roman" w:cs="Times New Roman"/>
          <w:b/>
          <w:bCs/>
        </w:rPr>
        <w:t xml:space="preserve"> 2.</w:t>
      </w:r>
      <w:r>
        <w:rPr>
          <w:rFonts w:ascii="Times New Roman" w:hAnsi="Times New Roman" w:cs="Times New Roman"/>
          <w:b/>
          <w:bCs/>
        </w:rPr>
        <w:t xml:space="preserve"> </w:t>
      </w:r>
      <w:r w:rsidRPr="001F7D06">
        <w:rPr>
          <w:rFonts w:ascii="Times New Roman" w:hAnsi="Times New Roman" w:cs="Times New Roman"/>
          <w:b/>
          <w:bCs/>
        </w:rPr>
        <w:t xml:space="preserve">| </w:t>
      </w:r>
      <w:r w:rsidRPr="001F7D06">
        <w:rPr>
          <w:rFonts w:ascii="Times New Roman" w:hAnsi="Times New Roman" w:cs="Times New Roman"/>
          <w:b/>
          <w:bCs/>
          <w:sz w:val="22"/>
          <w:szCs w:val="22"/>
        </w:rPr>
        <w:t xml:space="preserve">The loss of </w:t>
      </w:r>
      <w:r w:rsidRPr="001F7D06">
        <w:rPr>
          <w:rFonts w:ascii="Times New Roman" w:hAnsi="Times New Roman" w:cs="Times New Roman"/>
          <w:b/>
          <w:bCs/>
          <w:i/>
          <w:iCs/>
          <w:sz w:val="22"/>
          <w:szCs w:val="22"/>
        </w:rPr>
        <w:t>ASPSCR1-TFE3</w:t>
      </w:r>
      <w:r w:rsidRPr="001F7D06">
        <w:rPr>
          <w:rFonts w:ascii="Times New Roman" w:hAnsi="Times New Roman" w:cs="Times New Roman"/>
          <w:b/>
          <w:bCs/>
          <w:sz w:val="22"/>
          <w:szCs w:val="22"/>
        </w:rPr>
        <w:t xml:space="preserve"> expression modulates distribution of super-enhancers. </w:t>
      </w:r>
      <w:r>
        <w:rPr>
          <w:rFonts w:ascii="Times New Roman" w:hAnsi="Times New Roman" w:cs="Times New Roman"/>
          <w:b/>
          <w:bCs/>
          <w:sz w:val="22"/>
          <w:szCs w:val="22"/>
        </w:rPr>
        <w:t>a</w:t>
      </w:r>
      <w:r w:rsidRPr="00E454AE">
        <w:rPr>
          <w:rFonts w:ascii="Times New Roman" w:hAnsi="Times New Roman" w:cs="Times New Roman"/>
          <w:b/>
          <w:bCs/>
          <w:sz w:val="22"/>
          <w:szCs w:val="22"/>
        </w:rPr>
        <w:t>,</w:t>
      </w:r>
      <w:r>
        <w:rPr>
          <w:rFonts w:ascii="Times New Roman" w:hAnsi="Times New Roman" w:cs="Times New Roman"/>
          <w:sz w:val="22"/>
          <w:szCs w:val="22"/>
        </w:rPr>
        <w:t xml:space="preserve"> The GREAT pathway analysis for ASPSCR1-TFE3 binding peaks in ASPS17 cells (left two graphs) and ASPS-KY cells (right two graphs). </w:t>
      </w:r>
      <w:r>
        <w:rPr>
          <w:rFonts w:ascii="Times New Roman" w:hAnsi="Times New Roman" w:cs="Times New Roman"/>
          <w:b/>
          <w:bCs/>
          <w:sz w:val="22"/>
          <w:szCs w:val="22"/>
        </w:rPr>
        <w:t>b</w:t>
      </w:r>
      <w:r w:rsidRPr="001E375A">
        <w:rPr>
          <w:rFonts w:ascii="Times New Roman" w:hAnsi="Times New Roman" w:cs="Times New Roman"/>
          <w:b/>
          <w:bCs/>
          <w:sz w:val="22"/>
          <w:szCs w:val="22"/>
        </w:rPr>
        <w:t xml:space="preserve">, </w:t>
      </w:r>
      <w:r>
        <w:rPr>
          <w:rFonts w:ascii="Times New Roman" w:hAnsi="Times New Roman" w:cs="Times New Roman"/>
          <w:sz w:val="22"/>
          <w:szCs w:val="22"/>
        </w:rPr>
        <w:t xml:space="preserve">Venn diagram showing the number and overlapping of H3K27ac in ASPS17 and null cells, and ASPSCR1-TFE3 (FLAG) in ASPS17 cells. </w:t>
      </w:r>
      <w:r>
        <w:rPr>
          <w:rFonts w:ascii="Times New Roman" w:hAnsi="Times New Roman" w:cs="Times New Roman"/>
          <w:b/>
          <w:bCs/>
          <w:sz w:val="22"/>
          <w:szCs w:val="22"/>
        </w:rPr>
        <w:t>c</w:t>
      </w:r>
      <w:r w:rsidRPr="001E375A">
        <w:rPr>
          <w:rFonts w:ascii="Times New Roman" w:hAnsi="Times New Roman" w:cs="Times New Roman"/>
          <w:b/>
          <w:bCs/>
          <w:sz w:val="22"/>
          <w:szCs w:val="22"/>
        </w:rPr>
        <w:t xml:space="preserve">, </w:t>
      </w:r>
      <w:r>
        <w:rPr>
          <w:rFonts w:ascii="Times New Roman" w:hAnsi="Times New Roman" w:cs="Times New Roman"/>
          <w:sz w:val="22"/>
          <w:szCs w:val="22"/>
        </w:rPr>
        <w:t xml:space="preserve">The GREAT pathway analysis for 269 overlapping in both ASPS17 and null cells, and 187 null-specific super-enhancers appeared in Fig. 2f. </w:t>
      </w:r>
      <w:r>
        <w:rPr>
          <w:rFonts w:ascii="Times New Roman" w:hAnsi="Times New Roman" w:cs="Times New Roman"/>
          <w:b/>
          <w:bCs/>
          <w:sz w:val="22"/>
          <w:szCs w:val="22"/>
        </w:rPr>
        <w:t>d</w:t>
      </w:r>
      <w:r w:rsidRPr="001E375A">
        <w:rPr>
          <w:rFonts w:ascii="Times New Roman" w:hAnsi="Times New Roman" w:cs="Times New Roman"/>
          <w:b/>
          <w:bCs/>
          <w:sz w:val="22"/>
          <w:szCs w:val="22"/>
        </w:rPr>
        <w:t xml:space="preserve">, </w:t>
      </w:r>
      <w:r>
        <w:rPr>
          <w:rFonts w:ascii="Times New Roman" w:hAnsi="Times New Roman" w:cs="Times New Roman"/>
          <w:sz w:val="22"/>
          <w:szCs w:val="22"/>
        </w:rPr>
        <w:t xml:space="preserve">Enhancers are ranked by increasing H3K27ac signals in ASPS-KY cells introduced with control siRNA and siTFE3. Using the ROSE algorithm, 1019 and 952 enhancers were defined as super-enhancers in ASPS-KY cells with control siRNA and siTFE3, respectively. </w:t>
      </w:r>
      <w:r w:rsidR="00232E2C">
        <w:rPr>
          <w:rFonts w:ascii="Times New Roman" w:hAnsi="Times New Roman" w:cs="Times New Roman"/>
          <w:b/>
          <w:bCs/>
          <w:sz w:val="22"/>
          <w:szCs w:val="22"/>
        </w:rPr>
        <w:t>e</w:t>
      </w:r>
      <w:r w:rsidRPr="001E375A">
        <w:rPr>
          <w:rFonts w:ascii="Times New Roman" w:hAnsi="Times New Roman" w:cs="Times New Roman"/>
          <w:b/>
          <w:bCs/>
          <w:sz w:val="22"/>
          <w:szCs w:val="22"/>
        </w:rPr>
        <w:t xml:space="preserve">, </w:t>
      </w:r>
      <w:r>
        <w:rPr>
          <w:rFonts w:ascii="Times New Roman" w:hAnsi="Times New Roman" w:cs="Times New Roman"/>
          <w:sz w:val="22"/>
          <w:szCs w:val="22"/>
        </w:rPr>
        <w:t xml:space="preserve">Venn diagram showing overlapping and distinct super-enhancers (left). Enrichment of Gene Ontology biological process for 577 </w:t>
      </w:r>
      <w:r w:rsidRPr="001E375A">
        <w:rPr>
          <w:rFonts w:ascii="Times New Roman" w:hAnsi="Times New Roman" w:cs="Times New Roman"/>
          <w:i/>
          <w:iCs/>
          <w:sz w:val="22"/>
          <w:szCs w:val="22"/>
        </w:rPr>
        <w:t>ASPSCR1-TFE3</w:t>
      </w:r>
      <w:r>
        <w:rPr>
          <w:rFonts w:ascii="Times New Roman" w:hAnsi="Times New Roman" w:cs="Times New Roman"/>
          <w:sz w:val="22"/>
          <w:szCs w:val="22"/>
        </w:rPr>
        <w:t xml:space="preserve">-positive ASPS-KY specific super-enhancers (right). </w:t>
      </w:r>
      <w:r w:rsidR="00232E2C">
        <w:rPr>
          <w:rFonts w:ascii="Times New Roman" w:hAnsi="Times New Roman" w:cs="Times New Roman"/>
          <w:b/>
          <w:bCs/>
          <w:sz w:val="22"/>
          <w:szCs w:val="22"/>
        </w:rPr>
        <w:t>f</w:t>
      </w:r>
      <w:r w:rsidRPr="009B4C2B">
        <w:rPr>
          <w:rFonts w:ascii="Times New Roman" w:hAnsi="Times New Roman" w:cs="Times New Roman"/>
          <w:b/>
          <w:bCs/>
          <w:sz w:val="22"/>
          <w:szCs w:val="22"/>
        </w:rPr>
        <w:t>,</w:t>
      </w:r>
      <w:r>
        <w:rPr>
          <w:rFonts w:ascii="Times New Roman" w:hAnsi="Times New Roman" w:cs="Times New Roman"/>
          <w:sz w:val="22"/>
          <w:szCs w:val="22"/>
        </w:rPr>
        <w:t xml:space="preserve"> </w:t>
      </w:r>
      <w:proofErr w:type="spellStart"/>
      <w:r>
        <w:rPr>
          <w:rFonts w:ascii="Times New Roman" w:hAnsi="Times New Roman" w:cs="Times New Roman"/>
          <w:sz w:val="22"/>
          <w:szCs w:val="22"/>
        </w:rPr>
        <w:t>ChIP</w:t>
      </w:r>
      <w:proofErr w:type="spellEnd"/>
      <w:r>
        <w:rPr>
          <w:rFonts w:ascii="Times New Roman" w:hAnsi="Times New Roman" w:cs="Times New Roman"/>
          <w:sz w:val="22"/>
          <w:szCs w:val="22"/>
        </w:rPr>
        <w:t xml:space="preserve">-seq track at </w:t>
      </w:r>
      <w:r w:rsidRPr="006671EC">
        <w:rPr>
          <w:rFonts w:ascii="Times New Roman" w:hAnsi="Times New Roman" w:cs="Times New Roman"/>
          <w:i/>
          <w:iCs/>
          <w:sz w:val="22"/>
          <w:szCs w:val="22"/>
        </w:rPr>
        <w:t>P</w:t>
      </w:r>
      <w:r>
        <w:rPr>
          <w:rFonts w:ascii="Times New Roman" w:hAnsi="Times New Roman" w:cs="Times New Roman"/>
          <w:i/>
          <w:iCs/>
          <w:sz w:val="22"/>
          <w:szCs w:val="22"/>
        </w:rPr>
        <w:t>DGFB</w:t>
      </w:r>
      <w:r w:rsidRPr="006671EC">
        <w:rPr>
          <w:rFonts w:ascii="Times New Roman" w:hAnsi="Times New Roman" w:cs="Times New Roman"/>
          <w:i/>
          <w:iCs/>
          <w:sz w:val="22"/>
          <w:szCs w:val="22"/>
        </w:rPr>
        <w:t>, V</w:t>
      </w:r>
      <w:r>
        <w:rPr>
          <w:rFonts w:ascii="Times New Roman" w:hAnsi="Times New Roman" w:cs="Times New Roman"/>
          <w:i/>
          <w:iCs/>
          <w:sz w:val="22"/>
          <w:szCs w:val="22"/>
        </w:rPr>
        <w:t>WF</w:t>
      </w:r>
      <w:r w:rsidRPr="006671EC">
        <w:rPr>
          <w:rFonts w:ascii="Times New Roman" w:hAnsi="Times New Roman" w:cs="Times New Roman"/>
          <w:i/>
          <w:iCs/>
          <w:sz w:val="22"/>
          <w:szCs w:val="22"/>
        </w:rPr>
        <w:t>, R</w:t>
      </w:r>
      <w:r>
        <w:rPr>
          <w:rFonts w:ascii="Times New Roman" w:hAnsi="Times New Roman" w:cs="Times New Roman"/>
          <w:i/>
          <w:iCs/>
          <w:sz w:val="22"/>
          <w:szCs w:val="22"/>
        </w:rPr>
        <w:t>AB</w:t>
      </w:r>
      <w:r w:rsidRPr="006671EC">
        <w:rPr>
          <w:rFonts w:ascii="Times New Roman" w:hAnsi="Times New Roman" w:cs="Times New Roman"/>
          <w:i/>
          <w:iCs/>
          <w:sz w:val="22"/>
          <w:szCs w:val="22"/>
        </w:rPr>
        <w:t>27</w:t>
      </w:r>
      <w:r>
        <w:rPr>
          <w:rFonts w:ascii="Times New Roman" w:hAnsi="Times New Roman" w:cs="Times New Roman"/>
          <w:i/>
          <w:iCs/>
          <w:sz w:val="22"/>
          <w:szCs w:val="22"/>
        </w:rPr>
        <w:t>A</w:t>
      </w:r>
      <w:r w:rsidRPr="006671EC">
        <w:rPr>
          <w:rFonts w:ascii="Times New Roman" w:hAnsi="Times New Roman" w:cs="Times New Roman"/>
          <w:i/>
          <w:iCs/>
          <w:sz w:val="22"/>
          <w:szCs w:val="22"/>
        </w:rPr>
        <w:t>, S</w:t>
      </w:r>
      <w:r>
        <w:rPr>
          <w:rFonts w:ascii="Times New Roman" w:hAnsi="Times New Roman" w:cs="Times New Roman"/>
          <w:i/>
          <w:iCs/>
          <w:sz w:val="22"/>
          <w:szCs w:val="22"/>
        </w:rPr>
        <w:t>YTL</w:t>
      </w:r>
      <w:r w:rsidRPr="006671EC">
        <w:rPr>
          <w:rFonts w:ascii="Times New Roman" w:hAnsi="Times New Roman" w:cs="Times New Roman"/>
          <w:i/>
          <w:iCs/>
          <w:sz w:val="22"/>
          <w:szCs w:val="22"/>
        </w:rPr>
        <w:t>2,</w:t>
      </w:r>
      <w:r>
        <w:rPr>
          <w:rFonts w:ascii="Times New Roman" w:hAnsi="Times New Roman" w:cs="Times New Roman"/>
          <w:sz w:val="22"/>
          <w:szCs w:val="22"/>
        </w:rPr>
        <w:t xml:space="preserve"> and </w:t>
      </w:r>
      <w:r w:rsidRPr="006671EC">
        <w:rPr>
          <w:rFonts w:ascii="Times New Roman" w:hAnsi="Times New Roman" w:cs="Times New Roman"/>
          <w:i/>
          <w:iCs/>
          <w:sz w:val="22"/>
          <w:szCs w:val="22"/>
        </w:rPr>
        <w:t>M</w:t>
      </w:r>
      <w:r>
        <w:rPr>
          <w:rFonts w:ascii="Times New Roman" w:hAnsi="Times New Roman" w:cs="Times New Roman"/>
          <w:i/>
          <w:iCs/>
          <w:sz w:val="22"/>
          <w:szCs w:val="22"/>
        </w:rPr>
        <w:t>YH</w:t>
      </w:r>
      <w:r w:rsidRPr="006671EC">
        <w:rPr>
          <w:rFonts w:ascii="Times New Roman" w:hAnsi="Times New Roman" w:cs="Times New Roman"/>
          <w:i/>
          <w:iCs/>
          <w:sz w:val="22"/>
          <w:szCs w:val="22"/>
        </w:rPr>
        <w:t>9</w:t>
      </w:r>
      <w:r>
        <w:rPr>
          <w:rFonts w:ascii="Times New Roman" w:hAnsi="Times New Roman" w:cs="Times New Roman"/>
          <w:sz w:val="22"/>
          <w:szCs w:val="22"/>
        </w:rPr>
        <w:t xml:space="preserve"> genomic loci, showing association between ASPSCR1-TFE3 and H3K27ac </w:t>
      </w:r>
      <w:r>
        <w:rPr>
          <w:rFonts w:ascii="Times New Roman" w:hAnsi="Times New Roman" w:cs="Times New Roman"/>
          <w:sz w:val="22"/>
          <w:szCs w:val="22"/>
        </w:rPr>
        <w:lastRenderedPageBreak/>
        <w:t xml:space="preserve">binding in ASPS-KY cells. Significant loss of H3K27ac signals and/or super-enhancer by </w:t>
      </w:r>
      <w:r w:rsidRPr="00581C96">
        <w:rPr>
          <w:rFonts w:ascii="Times New Roman" w:hAnsi="Times New Roman" w:cs="Times New Roman"/>
          <w:i/>
          <w:iCs/>
          <w:sz w:val="22"/>
          <w:szCs w:val="22"/>
        </w:rPr>
        <w:t>TFE3</w:t>
      </w:r>
      <w:r>
        <w:rPr>
          <w:rFonts w:ascii="Times New Roman" w:hAnsi="Times New Roman" w:cs="Times New Roman"/>
          <w:sz w:val="22"/>
          <w:szCs w:val="22"/>
        </w:rPr>
        <w:t xml:space="preserve"> knockdown are exhibited. The </w:t>
      </w:r>
      <w:r w:rsidRPr="006671EC">
        <w:rPr>
          <w:rFonts w:ascii="Times New Roman" w:hAnsi="Times New Roman" w:cs="Times New Roman"/>
          <w:i/>
          <w:iCs/>
          <w:sz w:val="22"/>
          <w:szCs w:val="22"/>
        </w:rPr>
        <w:t>M</w:t>
      </w:r>
      <w:r>
        <w:rPr>
          <w:rFonts w:ascii="Times New Roman" w:hAnsi="Times New Roman" w:cs="Times New Roman"/>
          <w:i/>
          <w:iCs/>
          <w:sz w:val="22"/>
          <w:szCs w:val="22"/>
        </w:rPr>
        <w:t>YH</w:t>
      </w:r>
      <w:r w:rsidRPr="006671EC">
        <w:rPr>
          <w:rFonts w:ascii="Times New Roman" w:hAnsi="Times New Roman" w:cs="Times New Roman"/>
          <w:i/>
          <w:iCs/>
          <w:sz w:val="22"/>
          <w:szCs w:val="22"/>
        </w:rPr>
        <w:t xml:space="preserve">9 </w:t>
      </w:r>
      <w:r>
        <w:rPr>
          <w:rFonts w:ascii="Times New Roman" w:hAnsi="Times New Roman" w:cs="Times New Roman"/>
          <w:sz w:val="22"/>
          <w:szCs w:val="22"/>
        </w:rPr>
        <w:t xml:space="preserve">genomic locus is shown as an example of un-affected super-enhancers by </w:t>
      </w:r>
      <w:r w:rsidRPr="00581C96">
        <w:rPr>
          <w:rFonts w:ascii="Times New Roman" w:hAnsi="Times New Roman" w:cs="Times New Roman"/>
          <w:i/>
          <w:iCs/>
          <w:sz w:val="22"/>
          <w:szCs w:val="22"/>
        </w:rPr>
        <w:t>ASPSCR1-TFE3</w:t>
      </w:r>
      <w:r>
        <w:rPr>
          <w:rFonts w:ascii="Times New Roman" w:hAnsi="Times New Roman" w:cs="Times New Roman"/>
          <w:sz w:val="22"/>
          <w:szCs w:val="22"/>
        </w:rPr>
        <w:t xml:space="preserve"> knockdown.</w:t>
      </w:r>
    </w:p>
    <w:p w14:paraId="2D22D74F" w14:textId="77777777" w:rsidR="00232E2C" w:rsidRDefault="00232E2C">
      <w:pPr>
        <w:widowControl/>
        <w:jc w:val="left"/>
        <w:rPr>
          <w:rFonts w:ascii="Times New Roman" w:hAnsi="Times New Roman" w:cs="Times New Roman"/>
        </w:rPr>
      </w:pPr>
      <w:r>
        <w:rPr>
          <w:rFonts w:ascii="Times New Roman" w:hAnsi="Times New Roman" w:cs="Times New Roman"/>
        </w:rPr>
        <w:br w:type="page"/>
      </w:r>
    </w:p>
    <w:p w14:paraId="034A0649" w14:textId="379AF93A" w:rsidR="001F7D06" w:rsidRDefault="00232E2C">
      <w:pPr>
        <w:rPr>
          <w:rFonts w:ascii="Times New Roman" w:hAnsi="Times New Roman" w:cs="Times New Roman"/>
        </w:rPr>
      </w:pPr>
      <w:r w:rsidRPr="00232E2C">
        <w:rPr>
          <w:rFonts w:ascii="Times New Roman" w:hAnsi="Times New Roman" w:cs="Times New Roman"/>
          <w:noProof/>
        </w:rPr>
        <w:lastRenderedPageBreak/>
        <w:drawing>
          <wp:inline distT="0" distB="0" distL="0" distR="0" wp14:anchorId="541DB6C9" wp14:editId="5DFA401B">
            <wp:extent cx="5400040" cy="3907155"/>
            <wp:effectExtent l="0" t="0" r="0" b="4445"/>
            <wp:docPr id="3" name="図 3" descr="ダイアグラム&#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図 3" descr="ダイアグラム&#10;&#10;自動的に生成された説明"/>
                    <pic:cNvPicPr/>
                  </pic:nvPicPr>
                  <pic:blipFill>
                    <a:blip r:embed="rId8"/>
                    <a:stretch>
                      <a:fillRect/>
                    </a:stretch>
                  </pic:blipFill>
                  <pic:spPr>
                    <a:xfrm>
                      <a:off x="0" y="0"/>
                      <a:ext cx="5400040" cy="3907155"/>
                    </a:xfrm>
                    <a:prstGeom prst="rect">
                      <a:avLst/>
                    </a:prstGeom>
                  </pic:spPr>
                </pic:pic>
              </a:graphicData>
            </a:graphic>
          </wp:inline>
        </w:drawing>
      </w:r>
    </w:p>
    <w:p w14:paraId="4F5802AE" w14:textId="5CA07A6F" w:rsidR="00232E2C" w:rsidRDefault="00232E2C">
      <w:pPr>
        <w:rPr>
          <w:rFonts w:ascii="Times New Roman" w:hAnsi="Times New Roman" w:cs="Times New Roman"/>
          <w:sz w:val="22"/>
          <w:szCs w:val="22"/>
        </w:rPr>
      </w:pPr>
      <w:r>
        <w:rPr>
          <w:rFonts w:ascii="Times New Roman" w:hAnsi="Times New Roman" w:cs="Times New Roman"/>
          <w:b/>
          <w:bCs/>
          <w:sz w:val="22"/>
          <w:szCs w:val="22"/>
        </w:rPr>
        <w:t xml:space="preserve">Extended Data </w:t>
      </w:r>
      <w:r w:rsidRPr="00E34DDA">
        <w:rPr>
          <w:rFonts w:ascii="Times New Roman" w:hAnsi="Times New Roman" w:cs="Times New Roman"/>
          <w:b/>
          <w:bCs/>
          <w:sz w:val="22"/>
          <w:szCs w:val="22"/>
        </w:rPr>
        <w:t>Fig</w:t>
      </w:r>
      <w:r>
        <w:rPr>
          <w:rFonts w:ascii="Times New Roman" w:hAnsi="Times New Roman" w:cs="Times New Roman"/>
          <w:b/>
          <w:bCs/>
          <w:sz w:val="22"/>
          <w:szCs w:val="22"/>
        </w:rPr>
        <w:t>.</w:t>
      </w:r>
      <w:r w:rsidRPr="00E34DDA">
        <w:rPr>
          <w:rFonts w:ascii="Times New Roman" w:hAnsi="Times New Roman" w:cs="Times New Roman"/>
          <w:b/>
          <w:bCs/>
          <w:sz w:val="22"/>
          <w:szCs w:val="22"/>
        </w:rPr>
        <w:t xml:space="preserve"> 3.</w:t>
      </w:r>
      <w:r>
        <w:rPr>
          <w:rFonts w:ascii="Times New Roman" w:hAnsi="Times New Roman" w:cs="Times New Roman"/>
          <w:b/>
          <w:bCs/>
          <w:sz w:val="22"/>
          <w:szCs w:val="22"/>
        </w:rPr>
        <w:t xml:space="preserve"> </w:t>
      </w:r>
      <w:r w:rsidRPr="00232E2C">
        <w:rPr>
          <w:rFonts w:ascii="Times New Roman" w:hAnsi="Times New Roman" w:cs="Times New Roman"/>
          <w:b/>
          <w:bCs/>
          <w:sz w:val="22"/>
          <w:szCs w:val="22"/>
        </w:rPr>
        <w:t xml:space="preserve">| JQ1 suppresses angiogenesis-associated gene expression via suppression of Brd4 binding whereas THZ1 does not affect angiogenesis and tumor development of ASPS. </w:t>
      </w:r>
      <w:r>
        <w:rPr>
          <w:rFonts w:ascii="Times New Roman" w:hAnsi="Times New Roman" w:cs="Times New Roman"/>
          <w:b/>
          <w:bCs/>
          <w:sz w:val="22"/>
          <w:szCs w:val="22"/>
        </w:rPr>
        <w:t>a</w:t>
      </w:r>
      <w:r w:rsidRPr="000C181E">
        <w:rPr>
          <w:rFonts w:ascii="Times New Roman" w:hAnsi="Times New Roman" w:cs="Times New Roman"/>
          <w:b/>
          <w:bCs/>
          <w:sz w:val="22"/>
          <w:szCs w:val="22"/>
        </w:rPr>
        <w:t>,</w:t>
      </w:r>
      <w:r>
        <w:rPr>
          <w:rFonts w:ascii="Times New Roman" w:hAnsi="Times New Roman" w:cs="Times New Roman"/>
          <w:sz w:val="22"/>
          <w:szCs w:val="22"/>
        </w:rPr>
        <w:t xml:space="preserve"> GSEA results on the comparison between ASPS treated with vehicle and JQ1 gene expression signatures. Top 10 pathways for normalized enrichment scores are indicated. </w:t>
      </w:r>
      <w:r>
        <w:rPr>
          <w:rFonts w:ascii="Times New Roman" w:hAnsi="Times New Roman" w:cs="Times New Roman"/>
          <w:b/>
          <w:bCs/>
          <w:sz w:val="22"/>
          <w:szCs w:val="22"/>
        </w:rPr>
        <w:t>b</w:t>
      </w:r>
      <w:r w:rsidRPr="000C181E">
        <w:rPr>
          <w:rFonts w:ascii="Times New Roman" w:hAnsi="Times New Roman" w:cs="Times New Roman"/>
          <w:b/>
          <w:bCs/>
          <w:sz w:val="22"/>
          <w:szCs w:val="22"/>
        </w:rPr>
        <w:t>,</w:t>
      </w:r>
      <w:r>
        <w:rPr>
          <w:rFonts w:ascii="Times New Roman" w:hAnsi="Times New Roman" w:cs="Times New Roman"/>
          <w:sz w:val="22"/>
          <w:szCs w:val="22"/>
        </w:rPr>
        <w:t xml:space="preserve"> Venn diagram showing overlapping and distinct </w:t>
      </w:r>
      <w:r>
        <w:rPr>
          <w:rFonts w:ascii="Times New Roman" w:hAnsi="Times New Roman" w:cs="Times New Roman" w:hint="eastAsia"/>
          <w:sz w:val="22"/>
          <w:szCs w:val="22"/>
        </w:rPr>
        <w:t>d</w:t>
      </w:r>
      <w:r>
        <w:rPr>
          <w:rFonts w:ascii="Times New Roman" w:hAnsi="Times New Roman" w:cs="Times New Roman"/>
          <w:sz w:val="22"/>
          <w:szCs w:val="22"/>
        </w:rPr>
        <w:t xml:space="preserve">own-regulated genes in </w:t>
      </w:r>
      <w:proofErr w:type="gramStart"/>
      <w:r>
        <w:rPr>
          <w:rFonts w:ascii="Times New Roman" w:hAnsi="Times New Roman" w:cs="Times New Roman"/>
          <w:sz w:val="22"/>
          <w:szCs w:val="22"/>
        </w:rPr>
        <w:t>ASPS17</w:t>
      </w:r>
      <w:proofErr w:type="gramEnd"/>
      <w:r>
        <w:rPr>
          <w:rFonts w:ascii="Times New Roman" w:hAnsi="Times New Roman" w:cs="Times New Roman"/>
          <w:sz w:val="22"/>
          <w:szCs w:val="22"/>
        </w:rPr>
        <w:t xml:space="preserve"> and null cells treated with JQ1 and vehicle (top). The DAVID analysis for 205 downregulated genes unique in ASPS17 cells showing enrichment of angiogenesis-associated pathways (bottom, indicated in red). </w:t>
      </w:r>
      <w:r>
        <w:rPr>
          <w:rFonts w:ascii="Times New Roman" w:hAnsi="Times New Roman" w:cs="Times New Roman"/>
          <w:b/>
          <w:bCs/>
          <w:sz w:val="22"/>
          <w:szCs w:val="22"/>
        </w:rPr>
        <w:t>c</w:t>
      </w:r>
      <w:r w:rsidRPr="00EC1E32">
        <w:rPr>
          <w:rFonts w:ascii="Times New Roman" w:hAnsi="Times New Roman" w:cs="Times New Roman"/>
          <w:b/>
          <w:bCs/>
          <w:sz w:val="22"/>
          <w:szCs w:val="22"/>
        </w:rPr>
        <w:t>,</w:t>
      </w:r>
      <w:r>
        <w:rPr>
          <w:rFonts w:ascii="Times New Roman" w:hAnsi="Times New Roman" w:cs="Times New Roman"/>
          <w:sz w:val="22"/>
          <w:szCs w:val="22"/>
        </w:rPr>
        <w:t xml:space="preserve"> Composite plots showing the significant reduction of Brd4 binding signals around 527 SEs of ASPS17 cells by JQ1 treatment. </w:t>
      </w:r>
      <w:r>
        <w:rPr>
          <w:rFonts w:ascii="Times New Roman" w:hAnsi="Times New Roman" w:cs="Times New Roman"/>
          <w:b/>
          <w:bCs/>
          <w:sz w:val="22"/>
          <w:szCs w:val="22"/>
        </w:rPr>
        <w:t>d</w:t>
      </w:r>
      <w:r w:rsidRPr="009201E5">
        <w:rPr>
          <w:rFonts w:ascii="Times New Roman" w:hAnsi="Times New Roman" w:cs="Times New Roman"/>
          <w:b/>
          <w:bCs/>
          <w:sz w:val="22"/>
          <w:szCs w:val="22"/>
        </w:rPr>
        <w:t>,</w:t>
      </w:r>
      <w:r>
        <w:rPr>
          <w:rFonts w:ascii="Times New Roman" w:hAnsi="Times New Roman" w:cs="Times New Roman"/>
          <w:sz w:val="22"/>
          <w:szCs w:val="22"/>
        </w:rPr>
        <w:t xml:space="preserve"> Effects of THZ1 treatment on the </w:t>
      </w:r>
      <w:r w:rsidRPr="009201E5">
        <w:rPr>
          <w:rFonts w:ascii="Times New Roman" w:hAnsi="Times New Roman" w:cs="Times New Roman"/>
          <w:i/>
          <w:iCs/>
          <w:sz w:val="22"/>
          <w:szCs w:val="22"/>
        </w:rPr>
        <w:t>in vivo</w:t>
      </w:r>
      <w:r>
        <w:rPr>
          <w:rFonts w:ascii="Times New Roman" w:hAnsi="Times New Roman" w:cs="Times New Roman"/>
          <w:sz w:val="22"/>
          <w:szCs w:val="22"/>
        </w:rPr>
        <w:t xml:space="preserve"> growth of ASPS17 cells. No significant growth inhibition is observed. </w:t>
      </w:r>
      <w:r>
        <w:rPr>
          <w:rFonts w:ascii="Times New Roman" w:hAnsi="Times New Roman" w:cs="Times New Roman"/>
          <w:b/>
          <w:bCs/>
          <w:sz w:val="22"/>
          <w:szCs w:val="22"/>
        </w:rPr>
        <w:t>e</w:t>
      </w:r>
      <w:r w:rsidRPr="009201E5">
        <w:rPr>
          <w:rFonts w:ascii="Times New Roman" w:hAnsi="Times New Roman" w:cs="Times New Roman"/>
          <w:b/>
          <w:bCs/>
          <w:sz w:val="22"/>
          <w:szCs w:val="22"/>
        </w:rPr>
        <w:t xml:space="preserve">, </w:t>
      </w:r>
      <w:r>
        <w:rPr>
          <w:rFonts w:ascii="Times New Roman" w:hAnsi="Times New Roman" w:cs="Times New Roman"/>
          <w:sz w:val="22"/>
          <w:szCs w:val="22"/>
        </w:rPr>
        <w:t xml:space="preserve">Expression of </w:t>
      </w:r>
      <w:r w:rsidRPr="009201E5">
        <w:rPr>
          <w:rFonts w:ascii="Times New Roman" w:hAnsi="Times New Roman" w:cs="Times New Roman"/>
          <w:i/>
          <w:iCs/>
          <w:sz w:val="22"/>
          <w:szCs w:val="22"/>
        </w:rPr>
        <w:t xml:space="preserve">Rab27a, Sytl2, </w:t>
      </w:r>
      <w:proofErr w:type="spellStart"/>
      <w:r w:rsidRPr="009201E5">
        <w:rPr>
          <w:rFonts w:ascii="Times New Roman" w:hAnsi="Times New Roman" w:cs="Times New Roman"/>
          <w:i/>
          <w:iCs/>
          <w:sz w:val="22"/>
          <w:szCs w:val="22"/>
        </w:rPr>
        <w:t>Pdgfb</w:t>
      </w:r>
      <w:proofErr w:type="spellEnd"/>
      <w:r w:rsidRPr="009201E5">
        <w:rPr>
          <w:rFonts w:ascii="Times New Roman" w:hAnsi="Times New Roman" w:cs="Times New Roman"/>
          <w:i/>
          <w:iCs/>
          <w:sz w:val="22"/>
          <w:szCs w:val="22"/>
        </w:rPr>
        <w:t xml:space="preserve">, </w:t>
      </w:r>
      <w:proofErr w:type="spellStart"/>
      <w:r w:rsidRPr="009201E5">
        <w:rPr>
          <w:rFonts w:ascii="Times New Roman" w:hAnsi="Times New Roman" w:cs="Times New Roman"/>
          <w:i/>
          <w:iCs/>
          <w:sz w:val="22"/>
          <w:szCs w:val="22"/>
        </w:rPr>
        <w:t>Vwf</w:t>
      </w:r>
      <w:proofErr w:type="spellEnd"/>
      <w:r w:rsidRPr="009201E5">
        <w:rPr>
          <w:rFonts w:ascii="Times New Roman" w:hAnsi="Times New Roman" w:cs="Times New Roman"/>
          <w:i/>
          <w:iCs/>
          <w:sz w:val="22"/>
          <w:szCs w:val="22"/>
        </w:rPr>
        <w:t>, Myh9, Neat1,</w:t>
      </w:r>
      <w:r>
        <w:rPr>
          <w:rFonts w:ascii="Times New Roman" w:hAnsi="Times New Roman" w:cs="Times New Roman"/>
          <w:sz w:val="22"/>
          <w:szCs w:val="22"/>
        </w:rPr>
        <w:t xml:space="preserve"> and </w:t>
      </w:r>
      <w:r w:rsidRPr="009201E5">
        <w:rPr>
          <w:rFonts w:ascii="Times New Roman" w:hAnsi="Times New Roman" w:cs="Times New Roman"/>
          <w:i/>
          <w:iCs/>
          <w:sz w:val="22"/>
          <w:szCs w:val="22"/>
        </w:rPr>
        <w:t>Atf4</w:t>
      </w:r>
      <w:r>
        <w:rPr>
          <w:rFonts w:ascii="Times New Roman" w:hAnsi="Times New Roman" w:cs="Times New Roman"/>
          <w:sz w:val="22"/>
          <w:szCs w:val="22"/>
        </w:rPr>
        <w:t xml:space="preserve"> in ASPS17 treated with JQ1. None of genes show downregulated expression. * </w:t>
      </w:r>
      <w:r w:rsidRPr="00D732B9">
        <w:rPr>
          <w:rFonts w:ascii="Times New Roman" w:hAnsi="Times New Roman" w:cs="Times New Roman"/>
          <w:i/>
          <w:iCs/>
          <w:sz w:val="22"/>
          <w:szCs w:val="22"/>
        </w:rPr>
        <w:t>P</w:t>
      </w:r>
      <w:r>
        <w:rPr>
          <w:rFonts w:ascii="Times New Roman" w:hAnsi="Times New Roman" w:cs="Times New Roman"/>
          <w:sz w:val="22"/>
          <w:szCs w:val="22"/>
        </w:rPr>
        <w:t xml:space="preserve"> &lt; 0.05.</w:t>
      </w:r>
    </w:p>
    <w:p w14:paraId="1385E6D1" w14:textId="77777777" w:rsidR="00232E2C" w:rsidRDefault="00232E2C">
      <w:pPr>
        <w:widowControl/>
        <w:jc w:val="left"/>
        <w:rPr>
          <w:rFonts w:ascii="Times New Roman" w:hAnsi="Times New Roman" w:cs="Times New Roman"/>
          <w:sz w:val="22"/>
          <w:szCs w:val="22"/>
        </w:rPr>
      </w:pPr>
      <w:r>
        <w:rPr>
          <w:rFonts w:ascii="Times New Roman" w:hAnsi="Times New Roman" w:cs="Times New Roman"/>
          <w:sz w:val="22"/>
          <w:szCs w:val="22"/>
        </w:rPr>
        <w:br w:type="page"/>
      </w:r>
    </w:p>
    <w:p w14:paraId="4B462258" w14:textId="2B4A6D42" w:rsidR="00232E2C" w:rsidRDefault="00232E2C">
      <w:pPr>
        <w:rPr>
          <w:rFonts w:ascii="Times New Roman" w:hAnsi="Times New Roman" w:cs="Times New Roman"/>
          <w:sz w:val="22"/>
          <w:szCs w:val="22"/>
        </w:rPr>
      </w:pPr>
      <w:r w:rsidRPr="00232E2C">
        <w:rPr>
          <w:rFonts w:ascii="Times New Roman" w:hAnsi="Times New Roman" w:cs="Times New Roman"/>
          <w:noProof/>
          <w:sz w:val="22"/>
          <w:szCs w:val="22"/>
        </w:rPr>
        <w:lastRenderedPageBreak/>
        <w:drawing>
          <wp:inline distT="0" distB="0" distL="0" distR="0" wp14:anchorId="2D223053" wp14:editId="34834713">
            <wp:extent cx="5400040" cy="6657340"/>
            <wp:effectExtent l="0" t="0" r="0" b="0"/>
            <wp:docPr id="4" name="図 4" descr="ダイアグラム, カレンダー&#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図 4" descr="ダイアグラム, カレンダー&#10;&#10;自動的に生成された説明"/>
                    <pic:cNvPicPr/>
                  </pic:nvPicPr>
                  <pic:blipFill>
                    <a:blip r:embed="rId9"/>
                    <a:stretch>
                      <a:fillRect/>
                    </a:stretch>
                  </pic:blipFill>
                  <pic:spPr>
                    <a:xfrm>
                      <a:off x="0" y="0"/>
                      <a:ext cx="5400040" cy="6657340"/>
                    </a:xfrm>
                    <a:prstGeom prst="rect">
                      <a:avLst/>
                    </a:prstGeom>
                  </pic:spPr>
                </pic:pic>
              </a:graphicData>
            </a:graphic>
          </wp:inline>
        </w:drawing>
      </w:r>
    </w:p>
    <w:p w14:paraId="614E5025" w14:textId="6FE1A308" w:rsidR="00232E2C" w:rsidRDefault="00232E2C">
      <w:pPr>
        <w:rPr>
          <w:rFonts w:ascii="Times New Roman" w:hAnsi="Times New Roman" w:cs="Times New Roman"/>
          <w:sz w:val="22"/>
          <w:szCs w:val="22"/>
        </w:rPr>
      </w:pPr>
      <w:r>
        <w:rPr>
          <w:rFonts w:ascii="Times New Roman" w:hAnsi="Times New Roman" w:cs="Times New Roman"/>
          <w:b/>
          <w:bCs/>
          <w:sz w:val="22"/>
          <w:szCs w:val="22"/>
        </w:rPr>
        <w:t>Extended Data</w:t>
      </w:r>
      <w:r w:rsidRPr="00AD7E61">
        <w:rPr>
          <w:rFonts w:ascii="Times New Roman" w:hAnsi="Times New Roman" w:cs="Times New Roman"/>
          <w:b/>
          <w:bCs/>
          <w:sz w:val="22"/>
          <w:szCs w:val="22"/>
        </w:rPr>
        <w:t xml:space="preserve"> Fig</w:t>
      </w:r>
      <w:r>
        <w:rPr>
          <w:rFonts w:ascii="Times New Roman" w:hAnsi="Times New Roman" w:cs="Times New Roman"/>
          <w:b/>
          <w:bCs/>
          <w:sz w:val="22"/>
          <w:szCs w:val="22"/>
        </w:rPr>
        <w:t xml:space="preserve">. </w:t>
      </w:r>
      <w:r w:rsidRPr="00AD7E61">
        <w:rPr>
          <w:rFonts w:ascii="Times New Roman" w:hAnsi="Times New Roman" w:cs="Times New Roman"/>
          <w:b/>
          <w:bCs/>
          <w:sz w:val="22"/>
          <w:szCs w:val="22"/>
        </w:rPr>
        <w:t>4.</w:t>
      </w:r>
      <w:r>
        <w:rPr>
          <w:rFonts w:ascii="Times New Roman" w:hAnsi="Times New Roman" w:cs="Times New Roman"/>
          <w:b/>
          <w:bCs/>
          <w:sz w:val="22"/>
          <w:szCs w:val="22"/>
        </w:rPr>
        <w:t xml:space="preserve"> </w:t>
      </w:r>
      <w:r w:rsidRPr="00232E2C">
        <w:rPr>
          <w:rFonts w:ascii="Times New Roman" w:hAnsi="Times New Roman" w:cs="Times New Roman"/>
          <w:b/>
          <w:bCs/>
          <w:sz w:val="22"/>
          <w:szCs w:val="22"/>
        </w:rPr>
        <w:t xml:space="preserve">| Identification of ASPSCR1-TFE3 targets by epigenomic CRISPR/dCas9 screening. </w:t>
      </w:r>
      <w:r>
        <w:rPr>
          <w:rFonts w:ascii="Times New Roman" w:hAnsi="Times New Roman" w:cs="Times New Roman"/>
          <w:b/>
          <w:bCs/>
          <w:sz w:val="22"/>
          <w:szCs w:val="22"/>
        </w:rPr>
        <w:t>a</w:t>
      </w:r>
      <w:r w:rsidRPr="00F312DB">
        <w:rPr>
          <w:rFonts w:ascii="Times New Roman" w:hAnsi="Times New Roman" w:cs="Times New Roman"/>
          <w:b/>
          <w:bCs/>
          <w:sz w:val="22"/>
          <w:szCs w:val="22"/>
        </w:rPr>
        <w:t>,</w:t>
      </w:r>
      <w:r>
        <w:rPr>
          <w:rFonts w:ascii="Times New Roman" w:hAnsi="Times New Roman" w:cs="Times New Roman"/>
          <w:b/>
          <w:bCs/>
          <w:sz w:val="22"/>
          <w:szCs w:val="22"/>
        </w:rPr>
        <w:t xml:space="preserve"> </w:t>
      </w:r>
      <w:r w:rsidRPr="00AD7E61">
        <w:rPr>
          <w:rFonts w:ascii="Times New Roman" w:hAnsi="Times New Roman" w:cs="Times New Roman"/>
          <w:sz w:val="22"/>
          <w:szCs w:val="22"/>
        </w:rPr>
        <w:t>E</w:t>
      </w:r>
      <w:r>
        <w:rPr>
          <w:rFonts w:ascii="Times New Roman" w:hAnsi="Times New Roman" w:cs="Times New Roman"/>
          <w:sz w:val="22"/>
          <w:szCs w:val="22"/>
        </w:rPr>
        <w:t>xogenous e</w:t>
      </w:r>
      <w:r w:rsidRPr="00AD7E61">
        <w:rPr>
          <w:rFonts w:ascii="Times New Roman" w:hAnsi="Times New Roman" w:cs="Times New Roman"/>
          <w:sz w:val="22"/>
          <w:szCs w:val="22"/>
        </w:rPr>
        <w:t xml:space="preserve">xpression of dCas9-KRAB protein </w:t>
      </w:r>
      <w:r>
        <w:rPr>
          <w:rFonts w:ascii="Times New Roman" w:hAnsi="Times New Roman" w:cs="Times New Roman"/>
          <w:sz w:val="22"/>
          <w:szCs w:val="22"/>
        </w:rPr>
        <w:t xml:space="preserve">in ASPS17 cells detected with the anti-Cas9 antibody. The clone #1 was used for the subsequent screening. </w:t>
      </w:r>
      <w:r>
        <w:rPr>
          <w:rFonts w:ascii="Times New Roman" w:hAnsi="Times New Roman" w:cs="Times New Roman"/>
          <w:b/>
          <w:bCs/>
          <w:sz w:val="22"/>
          <w:szCs w:val="22"/>
        </w:rPr>
        <w:t>b</w:t>
      </w:r>
      <w:r w:rsidRPr="00AD7E61">
        <w:rPr>
          <w:rFonts w:ascii="Times New Roman" w:hAnsi="Times New Roman" w:cs="Times New Roman"/>
          <w:b/>
          <w:bCs/>
          <w:sz w:val="22"/>
          <w:szCs w:val="22"/>
        </w:rPr>
        <w:t xml:space="preserve">, </w:t>
      </w:r>
      <w:r>
        <w:rPr>
          <w:rFonts w:ascii="Times New Roman" w:hAnsi="Times New Roman" w:cs="Times New Roman"/>
          <w:sz w:val="22"/>
          <w:szCs w:val="22"/>
        </w:rPr>
        <w:t xml:space="preserve">Efficiencies of downregulated expression by introducing individual gRNA for </w:t>
      </w:r>
      <w:proofErr w:type="spellStart"/>
      <w:r w:rsidRPr="00AD7E61">
        <w:rPr>
          <w:rFonts w:ascii="Times New Roman" w:hAnsi="Times New Roman" w:cs="Times New Roman"/>
          <w:i/>
          <w:iCs/>
          <w:sz w:val="22"/>
          <w:szCs w:val="22"/>
        </w:rPr>
        <w:t>Gpnmb</w:t>
      </w:r>
      <w:proofErr w:type="spellEnd"/>
      <w:r>
        <w:rPr>
          <w:rFonts w:ascii="Times New Roman" w:hAnsi="Times New Roman" w:cs="Times New Roman"/>
          <w:sz w:val="22"/>
          <w:szCs w:val="22"/>
        </w:rPr>
        <w:t xml:space="preserve"> and </w:t>
      </w:r>
      <w:proofErr w:type="spellStart"/>
      <w:r w:rsidRPr="00AD7E61">
        <w:rPr>
          <w:rFonts w:ascii="Times New Roman" w:hAnsi="Times New Roman" w:cs="Times New Roman"/>
          <w:i/>
          <w:iCs/>
          <w:sz w:val="22"/>
          <w:szCs w:val="22"/>
        </w:rPr>
        <w:t>Pdgfb</w:t>
      </w:r>
      <w:proofErr w:type="spellEnd"/>
      <w:r>
        <w:rPr>
          <w:rFonts w:ascii="Times New Roman" w:hAnsi="Times New Roman" w:cs="Times New Roman"/>
          <w:sz w:val="22"/>
          <w:szCs w:val="22"/>
        </w:rPr>
        <w:t xml:space="preserve"> in dCas9-KRAB-expressing ASPS cells. * </w:t>
      </w:r>
      <w:r w:rsidRPr="00D732B9">
        <w:rPr>
          <w:rFonts w:ascii="Times New Roman" w:hAnsi="Times New Roman" w:cs="Times New Roman"/>
          <w:i/>
          <w:iCs/>
          <w:sz w:val="22"/>
          <w:szCs w:val="22"/>
        </w:rPr>
        <w:t>P</w:t>
      </w:r>
      <w:r>
        <w:rPr>
          <w:rFonts w:ascii="Times New Roman" w:hAnsi="Times New Roman" w:cs="Times New Roman"/>
          <w:sz w:val="22"/>
          <w:szCs w:val="22"/>
        </w:rPr>
        <w:t xml:space="preserve"> &lt; 0.05, ** </w:t>
      </w:r>
      <w:r w:rsidRPr="00D732B9">
        <w:rPr>
          <w:rFonts w:ascii="Times New Roman" w:hAnsi="Times New Roman" w:cs="Times New Roman"/>
          <w:i/>
          <w:iCs/>
          <w:sz w:val="22"/>
          <w:szCs w:val="22"/>
        </w:rPr>
        <w:t>P</w:t>
      </w:r>
      <w:r>
        <w:rPr>
          <w:rFonts w:ascii="Times New Roman" w:hAnsi="Times New Roman" w:cs="Times New Roman"/>
          <w:sz w:val="22"/>
          <w:szCs w:val="22"/>
        </w:rPr>
        <w:t xml:space="preserve"> &lt; 0.01. </w:t>
      </w:r>
      <w:r>
        <w:rPr>
          <w:rFonts w:ascii="Times New Roman" w:hAnsi="Times New Roman" w:cs="Times New Roman"/>
          <w:b/>
          <w:bCs/>
          <w:sz w:val="22"/>
          <w:szCs w:val="22"/>
        </w:rPr>
        <w:t>c</w:t>
      </w:r>
      <w:r w:rsidRPr="00AD7E61">
        <w:rPr>
          <w:rFonts w:ascii="Times New Roman" w:hAnsi="Times New Roman" w:cs="Times New Roman"/>
          <w:b/>
          <w:bCs/>
          <w:sz w:val="22"/>
          <w:szCs w:val="22"/>
        </w:rPr>
        <w:t>,</w:t>
      </w:r>
      <w:r>
        <w:rPr>
          <w:rFonts w:ascii="Times New Roman" w:hAnsi="Times New Roman" w:cs="Times New Roman"/>
          <w:sz w:val="22"/>
          <w:szCs w:val="22"/>
        </w:rPr>
        <w:t xml:space="preserve"> A detailed view of the region around </w:t>
      </w:r>
      <w:proofErr w:type="spellStart"/>
      <w:r>
        <w:rPr>
          <w:rFonts w:ascii="Times New Roman" w:hAnsi="Times New Roman" w:cs="Times New Roman"/>
          <w:i/>
          <w:iCs/>
          <w:sz w:val="22"/>
          <w:szCs w:val="22"/>
        </w:rPr>
        <w:t>Vwf</w:t>
      </w:r>
      <w:proofErr w:type="spellEnd"/>
      <w:r>
        <w:rPr>
          <w:rFonts w:ascii="Times New Roman" w:hAnsi="Times New Roman" w:cs="Times New Roman"/>
          <w:sz w:val="22"/>
          <w:szCs w:val="22"/>
        </w:rPr>
        <w:t xml:space="preserve"> for the dCas9-KRAB screen. Log</w:t>
      </w:r>
      <w:r w:rsidRPr="001202D1">
        <w:rPr>
          <w:rFonts w:ascii="Times New Roman" w:hAnsi="Times New Roman" w:cs="Times New Roman"/>
          <w:sz w:val="22"/>
          <w:szCs w:val="22"/>
          <w:vertAlign w:val="subscript"/>
        </w:rPr>
        <w:t>2</w:t>
      </w:r>
      <w:r>
        <w:rPr>
          <w:rFonts w:ascii="Times New Roman" w:hAnsi="Times New Roman" w:cs="Times New Roman"/>
          <w:sz w:val="22"/>
          <w:szCs w:val="22"/>
        </w:rPr>
        <w:t xml:space="preserve"> fold change of the gRNA abundance is shown. </w:t>
      </w:r>
      <w:r>
        <w:rPr>
          <w:rFonts w:ascii="Times New Roman" w:hAnsi="Times New Roman" w:cs="Times New Roman"/>
          <w:b/>
          <w:bCs/>
          <w:sz w:val="22"/>
          <w:szCs w:val="22"/>
        </w:rPr>
        <w:t>d</w:t>
      </w:r>
      <w:r w:rsidRPr="00F02B99">
        <w:rPr>
          <w:rFonts w:ascii="Times New Roman" w:hAnsi="Times New Roman" w:cs="Times New Roman"/>
          <w:b/>
          <w:bCs/>
          <w:sz w:val="22"/>
          <w:szCs w:val="22"/>
        </w:rPr>
        <w:t xml:space="preserve">, </w:t>
      </w:r>
      <w:r>
        <w:rPr>
          <w:rFonts w:ascii="Times New Roman" w:hAnsi="Times New Roman" w:cs="Times New Roman"/>
          <w:sz w:val="22"/>
          <w:szCs w:val="22"/>
        </w:rPr>
        <w:lastRenderedPageBreak/>
        <w:t xml:space="preserve">The schematic diagram of the screening procedure. A total of 494 SE and active enhancers (AE) were selected as primary targets. </w:t>
      </w:r>
      <w:r>
        <w:rPr>
          <w:rFonts w:ascii="Times New Roman" w:hAnsi="Times New Roman" w:cs="Times New Roman"/>
          <w:b/>
          <w:bCs/>
          <w:sz w:val="22"/>
          <w:szCs w:val="22"/>
        </w:rPr>
        <w:t>e</w:t>
      </w:r>
      <w:r w:rsidRPr="00F02B99">
        <w:rPr>
          <w:rFonts w:ascii="Times New Roman" w:hAnsi="Times New Roman" w:cs="Times New Roman"/>
          <w:b/>
          <w:bCs/>
          <w:sz w:val="22"/>
          <w:szCs w:val="22"/>
        </w:rPr>
        <w:t xml:space="preserve">, </w:t>
      </w:r>
      <w:r>
        <w:rPr>
          <w:rFonts w:ascii="Times New Roman" w:hAnsi="Times New Roman" w:cs="Times New Roman"/>
          <w:sz w:val="22"/>
          <w:szCs w:val="22"/>
        </w:rPr>
        <w:t xml:space="preserve">Validation of gene knockout confirmed by </w:t>
      </w:r>
      <w:proofErr w:type="spellStart"/>
      <w:r>
        <w:rPr>
          <w:rFonts w:ascii="Times New Roman" w:hAnsi="Times New Roman" w:cs="Times New Roman"/>
          <w:sz w:val="22"/>
          <w:szCs w:val="22"/>
        </w:rPr>
        <w:t>qRT</w:t>
      </w:r>
      <w:proofErr w:type="spellEnd"/>
      <w:r>
        <w:rPr>
          <w:rFonts w:ascii="Times New Roman" w:hAnsi="Times New Roman" w:cs="Times New Roman"/>
          <w:sz w:val="22"/>
          <w:szCs w:val="22"/>
        </w:rPr>
        <w:t xml:space="preserve">-PCR. * </w:t>
      </w:r>
      <w:r w:rsidRPr="00D732B9">
        <w:rPr>
          <w:rFonts w:ascii="Times New Roman" w:hAnsi="Times New Roman" w:cs="Times New Roman"/>
          <w:i/>
          <w:iCs/>
          <w:sz w:val="22"/>
          <w:szCs w:val="22"/>
        </w:rPr>
        <w:t>P</w:t>
      </w:r>
      <w:r>
        <w:rPr>
          <w:rFonts w:ascii="Times New Roman" w:hAnsi="Times New Roman" w:cs="Times New Roman"/>
          <w:sz w:val="22"/>
          <w:szCs w:val="22"/>
        </w:rPr>
        <w:t xml:space="preserve"> &lt; 0.05. </w:t>
      </w:r>
      <w:r>
        <w:rPr>
          <w:rFonts w:ascii="Times New Roman" w:hAnsi="Times New Roman" w:cs="Times New Roman"/>
          <w:b/>
          <w:bCs/>
          <w:sz w:val="22"/>
          <w:szCs w:val="22"/>
        </w:rPr>
        <w:t>f</w:t>
      </w:r>
      <w:r w:rsidRPr="00F02B99">
        <w:rPr>
          <w:rFonts w:ascii="Times New Roman" w:hAnsi="Times New Roman" w:cs="Times New Roman"/>
          <w:b/>
          <w:bCs/>
          <w:sz w:val="22"/>
          <w:szCs w:val="22"/>
        </w:rPr>
        <w:t xml:space="preserve">, </w:t>
      </w:r>
      <w:r>
        <w:rPr>
          <w:rFonts w:ascii="Times New Roman" w:hAnsi="Times New Roman" w:cs="Times New Roman"/>
          <w:sz w:val="22"/>
          <w:szCs w:val="22"/>
        </w:rPr>
        <w:t xml:space="preserve">Knockout of </w:t>
      </w:r>
      <w:r w:rsidRPr="00F02B99">
        <w:rPr>
          <w:rFonts w:ascii="Times New Roman" w:hAnsi="Times New Roman" w:cs="Times New Roman"/>
          <w:i/>
          <w:iCs/>
          <w:sz w:val="22"/>
          <w:szCs w:val="22"/>
        </w:rPr>
        <w:t xml:space="preserve">Rab27a, Sytl2, </w:t>
      </w:r>
      <w:proofErr w:type="spellStart"/>
      <w:r w:rsidRPr="00F02B99">
        <w:rPr>
          <w:rFonts w:ascii="Times New Roman" w:hAnsi="Times New Roman" w:cs="Times New Roman"/>
          <w:i/>
          <w:iCs/>
          <w:sz w:val="22"/>
          <w:szCs w:val="22"/>
        </w:rPr>
        <w:t>Pdgfb</w:t>
      </w:r>
      <w:proofErr w:type="spellEnd"/>
      <w:r w:rsidRPr="00F02B99">
        <w:rPr>
          <w:rFonts w:ascii="Times New Roman" w:hAnsi="Times New Roman" w:cs="Times New Roman"/>
          <w:i/>
          <w:iCs/>
          <w:sz w:val="22"/>
          <w:szCs w:val="22"/>
        </w:rPr>
        <w:t>,</w:t>
      </w:r>
      <w:r>
        <w:rPr>
          <w:rFonts w:ascii="Times New Roman" w:hAnsi="Times New Roman" w:cs="Times New Roman"/>
          <w:sz w:val="22"/>
          <w:szCs w:val="22"/>
        </w:rPr>
        <w:t xml:space="preserve"> or </w:t>
      </w:r>
      <w:proofErr w:type="spellStart"/>
      <w:r w:rsidRPr="00F02B99">
        <w:rPr>
          <w:rFonts w:ascii="Times New Roman" w:hAnsi="Times New Roman" w:cs="Times New Roman"/>
          <w:i/>
          <w:iCs/>
          <w:sz w:val="22"/>
          <w:szCs w:val="22"/>
        </w:rPr>
        <w:t>Vwf</w:t>
      </w:r>
      <w:proofErr w:type="spellEnd"/>
      <w:r w:rsidRPr="00F02B99">
        <w:rPr>
          <w:rFonts w:ascii="Times New Roman" w:hAnsi="Times New Roman" w:cs="Times New Roman"/>
          <w:i/>
          <w:iCs/>
          <w:sz w:val="22"/>
          <w:szCs w:val="22"/>
        </w:rPr>
        <w:t xml:space="preserve"> </w:t>
      </w:r>
      <w:r>
        <w:rPr>
          <w:rFonts w:ascii="Times New Roman" w:hAnsi="Times New Roman" w:cs="Times New Roman"/>
          <w:sz w:val="22"/>
          <w:szCs w:val="22"/>
        </w:rPr>
        <w:t xml:space="preserve">does not suppress cell proliferation </w:t>
      </w:r>
      <w:r w:rsidRPr="00F02B99">
        <w:rPr>
          <w:rFonts w:ascii="Times New Roman" w:hAnsi="Times New Roman" w:cs="Times New Roman"/>
          <w:i/>
          <w:iCs/>
          <w:sz w:val="22"/>
          <w:szCs w:val="22"/>
        </w:rPr>
        <w:t>in vitro</w:t>
      </w:r>
      <w:r>
        <w:rPr>
          <w:rFonts w:ascii="Times New Roman" w:hAnsi="Times New Roman" w:cs="Times New Roman"/>
          <w:sz w:val="22"/>
          <w:szCs w:val="22"/>
        </w:rPr>
        <w:t xml:space="preserve">. </w:t>
      </w:r>
      <w:r>
        <w:rPr>
          <w:rFonts w:ascii="Times New Roman" w:hAnsi="Times New Roman" w:cs="Times New Roman"/>
          <w:b/>
          <w:bCs/>
          <w:sz w:val="22"/>
          <w:szCs w:val="22"/>
        </w:rPr>
        <w:t>g</w:t>
      </w:r>
      <w:r w:rsidRPr="003D567B">
        <w:rPr>
          <w:rFonts w:ascii="Times New Roman" w:hAnsi="Times New Roman" w:cs="Times New Roman"/>
          <w:b/>
          <w:bCs/>
          <w:sz w:val="22"/>
          <w:szCs w:val="22"/>
        </w:rPr>
        <w:t>,</w:t>
      </w:r>
      <w:r w:rsidRPr="00F02B99">
        <w:rPr>
          <w:rFonts w:ascii="Times New Roman" w:hAnsi="Times New Roman" w:cs="Times New Roman"/>
          <w:i/>
          <w:iCs/>
          <w:sz w:val="22"/>
          <w:szCs w:val="22"/>
        </w:rPr>
        <w:t xml:space="preserve"> </w:t>
      </w:r>
      <w:r>
        <w:rPr>
          <w:rFonts w:ascii="Times New Roman" w:hAnsi="Times New Roman" w:cs="Times New Roman"/>
          <w:sz w:val="22"/>
          <w:szCs w:val="22"/>
        </w:rPr>
        <w:t xml:space="preserve">Immunostaining for CD31 and FLAG (ASPSCR1-TFE3) in recipient nude mice two weeks after </w:t>
      </w:r>
      <w:proofErr w:type="spellStart"/>
      <w:r>
        <w:rPr>
          <w:rFonts w:ascii="Times New Roman" w:hAnsi="Times New Roman" w:cs="Times New Roman"/>
          <w:sz w:val="22"/>
          <w:szCs w:val="22"/>
        </w:rPr>
        <w:t>transplantion</w:t>
      </w:r>
      <w:proofErr w:type="spellEnd"/>
      <w:r>
        <w:rPr>
          <w:rFonts w:ascii="Times New Roman" w:hAnsi="Times New Roman" w:cs="Times New Roman"/>
          <w:sz w:val="22"/>
          <w:szCs w:val="22"/>
        </w:rPr>
        <w:t xml:space="preserve"> of ASPS cells showing significant suppression of angiogenesis and tumor growth by knockout of </w:t>
      </w:r>
      <w:proofErr w:type="spellStart"/>
      <w:r w:rsidRPr="00F02B99">
        <w:rPr>
          <w:rFonts w:ascii="Times New Roman" w:hAnsi="Times New Roman" w:cs="Times New Roman"/>
          <w:i/>
          <w:iCs/>
          <w:sz w:val="22"/>
          <w:szCs w:val="22"/>
        </w:rPr>
        <w:t>Vwf</w:t>
      </w:r>
      <w:proofErr w:type="spellEnd"/>
      <w:r w:rsidRPr="00F02B99">
        <w:rPr>
          <w:rFonts w:ascii="Times New Roman" w:hAnsi="Times New Roman" w:cs="Times New Roman"/>
          <w:i/>
          <w:iCs/>
          <w:sz w:val="22"/>
          <w:szCs w:val="22"/>
        </w:rPr>
        <w:t xml:space="preserve">, </w:t>
      </w:r>
      <w:proofErr w:type="spellStart"/>
      <w:r w:rsidRPr="00F02B99">
        <w:rPr>
          <w:rFonts w:ascii="Times New Roman" w:hAnsi="Times New Roman" w:cs="Times New Roman"/>
          <w:i/>
          <w:iCs/>
          <w:sz w:val="22"/>
          <w:szCs w:val="22"/>
        </w:rPr>
        <w:t>Pdgfb</w:t>
      </w:r>
      <w:proofErr w:type="spellEnd"/>
      <w:r w:rsidRPr="00F02B99">
        <w:rPr>
          <w:rFonts w:ascii="Times New Roman" w:hAnsi="Times New Roman" w:cs="Times New Roman"/>
          <w:i/>
          <w:iCs/>
          <w:sz w:val="22"/>
          <w:szCs w:val="22"/>
        </w:rPr>
        <w:t>, Rab27a</w:t>
      </w:r>
      <w:r>
        <w:rPr>
          <w:rFonts w:ascii="Times New Roman" w:hAnsi="Times New Roman" w:cs="Times New Roman"/>
          <w:sz w:val="22"/>
          <w:szCs w:val="22"/>
        </w:rPr>
        <w:t xml:space="preserve"> and</w:t>
      </w:r>
      <w:r w:rsidRPr="00F02B99">
        <w:rPr>
          <w:rFonts w:ascii="Times New Roman" w:hAnsi="Times New Roman" w:cs="Times New Roman"/>
          <w:i/>
          <w:iCs/>
          <w:sz w:val="22"/>
          <w:szCs w:val="22"/>
        </w:rPr>
        <w:t xml:space="preserve"> Sytl2</w:t>
      </w:r>
      <w:r>
        <w:rPr>
          <w:rFonts w:ascii="Times New Roman" w:hAnsi="Times New Roman" w:cs="Times New Roman"/>
          <w:sz w:val="22"/>
          <w:szCs w:val="22"/>
        </w:rPr>
        <w:t xml:space="preserve"> as well as in the </w:t>
      </w:r>
      <w:r w:rsidRPr="00F02B99">
        <w:rPr>
          <w:rFonts w:ascii="Times New Roman" w:hAnsi="Times New Roman" w:cs="Times New Roman"/>
          <w:i/>
          <w:iCs/>
          <w:sz w:val="22"/>
          <w:szCs w:val="22"/>
        </w:rPr>
        <w:t>ASPSCR1-TFE3</w:t>
      </w:r>
      <w:r>
        <w:rPr>
          <w:rFonts w:ascii="Times New Roman" w:hAnsi="Times New Roman" w:cs="Times New Roman"/>
          <w:sz w:val="22"/>
          <w:szCs w:val="22"/>
        </w:rPr>
        <w:t xml:space="preserve"> loss (null cells). Scale bar, 100 µm. </w:t>
      </w:r>
      <w:r>
        <w:rPr>
          <w:rFonts w:ascii="Times New Roman" w:hAnsi="Times New Roman" w:cs="Times New Roman"/>
          <w:b/>
          <w:bCs/>
          <w:sz w:val="22"/>
          <w:szCs w:val="22"/>
        </w:rPr>
        <w:t>h,</w:t>
      </w:r>
      <w:r w:rsidRPr="00F312DB">
        <w:rPr>
          <w:rFonts w:ascii="Times New Roman" w:hAnsi="Times New Roman" w:cs="Times New Roman"/>
          <w:b/>
          <w:bCs/>
          <w:sz w:val="22"/>
          <w:szCs w:val="22"/>
        </w:rPr>
        <w:t xml:space="preserve"> </w:t>
      </w:r>
      <w:proofErr w:type="spellStart"/>
      <w:r>
        <w:rPr>
          <w:rFonts w:ascii="Times New Roman" w:hAnsi="Times New Roman" w:cs="Times New Roman"/>
          <w:sz w:val="22"/>
          <w:szCs w:val="22"/>
        </w:rPr>
        <w:t>qRT</w:t>
      </w:r>
      <w:proofErr w:type="spellEnd"/>
      <w:r>
        <w:rPr>
          <w:rFonts w:ascii="Times New Roman" w:hAnsi="Times New Roman" w:cs="Times New Roman"/>
          <w:sz w:val="22"/>
          <w:szCs w:val="22"/>
        </w:rPr>
        <w:t xml:space="preserve">-PCR of </w:t>
      </w:r>
      <w:r w:rsidRPr="002B4D60">
        <w:rPr>
          <w:rFonts w:ascii="Times New Roman" w:hAnsi="Times New Roman" w:cs="Times New Roman"/>
          <w:i/>
          <w:iCs/>
          <w:sz w:val="22"/>
          <w:szCs w:val="22"/>
        </w:rPr>
        <w:t>RAB27A, SYTL2, PDGFB</w:t>
      </w:r>
      <w:r>
        <w:rPr>
          <w:rFonts w:ascii="Times New Roman" w:hAnsi="Times New Roman" w:cs="Times New Roman"/>
          <w:sz w:val="22"/>
          <w:szCs w:val="22"/>
        </w:rPr>
        <w:t xml:space="preserve">, and </w:t>
      </w:r>
      <w:r w:rsidRPr="002B4D60">
        <w:rPr>
          <w:rFonts w:ascii="Times New Roman" w:hAnsi="Times New Roman" w:cs="Times New Roman"/>
          <w:i/>
          <w:iCs/>
          <w:sz w:val="22"/>
          <w:szCs w:val="22"/>
        </w:rPr>
        <w:t>VWF</w:t>
      </w:r>
      <w:r>
        <w:rPr>
          <w:rFonts w:ascii="Times New Roman" w:hAnsi="Times New Roman" w:cs="Times New Roman"/>
          <w:sz w:val="22"/>
          <w:szCs w:val="22"/>
        </w:rPr>
        <w:t xml:space="preserve"> in human sarcoma cell lines. *** </w:t>
      </w:r>
      <w:r w:rsidRPr="002B4D60">
        <w:rPr>
          <w:rFonts w:ascii="Times New Roman" w:hAnsi="Times New Roman" w:cs="Times New Roman"/>
          <w:i/>
          <w:iCs/>
          <w:sz w:val="22"/>
          <w:szCs w:val="22"/>
        </w:rPr>
        <w:t>P</w:t>
      </w:r>
      <w:r>
        <w:rPr>
          <w:rFonts w:ascii="Times New Roman" w:hAnsi="Times New Roman" w:cs="Times New Roman"/>
          <w:sz w:val="22"/>
          <w:szCs w:val="22"/>
        </w:rPr>
        <w:t xml:space="preserve"> &lt; 0.001.</w:t>
      </w:r>
    </w:p>
    <w:p w14:paraId="3E38525B" w14:textId="77777777" w:rsidR="00232E2C" w:rsidRDefault="00232E2C">
      <w:pPr>
        <w:widowControl/>
        <w:jc w:val="left"/>
        <w:rPr>
          <w:rFonts w:ascii="Times New Roman" w:hAnsi="Times New Roman" w:cs="Times New Roman"/>
          <w:sz w:val="22"/>
          <w:szCs w:val="22"/>
        </w:rPr>
      </w:pPr>
      <w:r>
        <w:rPr>
          <w:rFonts w:ascii="Times New Roman" w:hAnsi="Times New Roman" w:cs="Times New Roman"/>
          <w:sz w:val="22"/>
          <w:szCs w:val="22"/>
        </w:rPr>
        <w:br w:type="page"/>
      </w:r>
    </w:p>
    <w:p w14:paraId="5A32F4AE" w14:textId="57EE85D4" w:rsidR="00232E2C" w:rsidRDefault="00232E2C">
      <w:pPr>
        <w:rPr>
          <w:rFonts w:ascii="Times New Roman" w:hAnsi="Times New Roman" w:cs="Times New Roman"/>
          <w:sz w:val="22"/>
          <w:szCs w:val="22"/>
        </w:rPr>
      </w:pPr>
      <w:r w:rsidRPr="00232E2C">
        <w:rPr>
          <w:rFonts w:ascii="Times New Roman" w:hAnsi="Times New Roman" w:cs="Times New Roman"/>
          <w:noProof/>
          <w:sz w:val="22"/>
          <w:szCs w:val="22"/>
        </w:rPr>
        <w:lastRenderedPageBreak/>
        <w:drawing>
          <wp:inline distT="0" distB="0" distL="0" distR="0" wp14:anchorId="551C12E6" wp14:editId="2DACC42C">
            <wp:extent cx="5400040" cy="4838700"/>
            <wp:effectExtent l="0" t="0" r="0" b="0"/>
            <wp:docPr id="5" name="図 5" descr="カレンダー&#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図 5" descr="カレンダー&#10;&#10;自動的に生成された説明"/>
                    <pic:cNvPicPr/>
                  </pic:nvPicPr>
                  <pic:blipFill>
                    <a:blip r:embed="rId10"/>
                    <a:stretch>
                      <a:fillRect/>
                    </a:stretch>
                  </pic:blipFill>
                  <pic:spPr>
                    <a:xfrm>
                      <a:off x="0" y="0"/>
                      <a:ext cx="5400040" cy="4838700"/>
                    </a:xfrm>
                    <a:prstGeom prst="rect">
                      <a:avLst/>
                    </a:prstGeom>
                  </pic:spPr>
                </pic:pic>
              </a:graphicData>
            </a:graphic>
          </wp:inline>
        </w:drawing>
      </w:r>
    </w:p>
    <w:p w14:paraId="7490F88B" w14:textId="213D15A5" w:rsidR="00232E2C" w:rsidRDefault="00232E2C">
      <w:pPr>
        <w:rPr>
          <w:rFonts w:ascii="Times New Roman" w:hAnsi="Times New Roman" w:cs="Times New Roman"/>
          <w:sz w:val="22"/>
          <w:szCs w:val="22"/>
        </w:rPr>
      </w:pPr>
      <w:r w:rsidRPr="00232E2C">
        <w:rPr>
          <w:rFonts w:ascii="Times New Roman" w:hAnsi="Times New Roman" w:cs="Times New Roman"/>
          <w:b/>
          <w:bCs/>
          <w:sz w:val="22"/>
          <w:szCs w:val="22"/>
        </w:rPr>
        <w:t xml:space="preserve">Extended Data Fig. 5. | </w:t>
      </w:r>
      <w:r w:rsidRPr="00232E2C">
        <w:rPr>
          <w:rFonts w:ascii="Times New Roman" w:hAnsi="Times New Roman" w:cs="Times New Roman" w:hint="eastAsia"/>
          <w:b/>
          <w:bCs/>
          <w:sz w:val="22"/>
          <w:szCs w:val="22"/>
        </w:rPr>
        <w:t>I</w:t>
      </w:r>
      <w:r w:rsidRPr="00232E2C">
        <w:rPr>
          <w:rFonts w:ascii="Times New Roman" w:hAnsi="Times New Roman" w:cs="Times New Roman"/>
          <w:b/>
          <w:bCs/>
          <w:sz w:val="22"/>
          <w:szCs w:val="22"/>
        </w:rPr>
        <w:t>ntracellular trafficking of angiogenic factors is promoted by the Rab27a/Sytl2 axis.</w:t>
      </w:r>
      <w:r w:rsidRPr="00232E2C">
        <w:rPr>
          <w:rFonts w:ascii="Times New Roman" w:hAnsi="Times New Roman" w:cs="Times New Roman" w:hint="eastAsia"/>
          <w:b/>
          <w:bCs/>
          <w:sz w:val="22"/>
          <w:szCs w:val="22"/>
        </w:rPr>
        <w:t xml:space="preserve"> </w:t>
      </w:r>
      <w:proofErr w:type="gramStart"/>
      <w:r>
        <w:rPr>
          <w:rFonts w:ascii="Times New Roman" w:hAnsi="Times New Roman" w:cs="Times New Roman"/>
          <w:b/>
          <w:bCs/>
          <w:sz w:val="22"/>
          <w:szCs w:val="22"/>
        </w:rPr>
        <w:t>a</w:t>
      </w:r>
      <w:r w:rsidRPr="00F312DB">
        <w:rPr>
          <w:rFonts w:ascii="Times New Roman" w:hAnsi="Times New Roman" w:cs="Times New Roman"/>
          <w:b/>
          <w:bCs/>
          <w:sz w:val="22"/>
          <w:szCs w:val="22"/>
        </w:rPr>
        <w:t>,</w:t>
      </w:r>
      <w:proofErr w:type="gramEnd"/>
      <w:r>
        <w:rPr>
          <w:rFonts w:ascii="Times New Roman" w:hAnsi="Times New Roman" w:cs="Times New Roman"/>
          <w:b/>
          <w:bCs/>
          <w:sz w:val="22"/>
          <w:szCs w:val="22"/>
        </w:rPr>
        <w:t xml:space="preserve"> </w:t>
      </w:r>
      <w:r>
        <w:rPr>
          <w:rFonts w:ascii="Times New Roman" w:hAnsi="Times New Roman" w:cs="Times New Roman"/>
          <w:sz w:val="22"/>
          <w:szCs w:val="22"/>
        </w:rPr>
        <w:t xml:space="preserve">Co-immunoprecipitation showing interaction between Sytl2 and wild type Rab27a but not the W73G mutant of Rab27a. GFP-tagged Sytl2 and </w:t>
      </w:r>
      <w:proofErr w:type="spellStart"/>
      <w:r>
        <w:rPr>
          <w:rFonts w:ascii="Times New Roman" w:hAnsi="Times New Roman" w:cs="Times New Roman"/>
          <w:sz w:val="22"/>
          <w:szCs w:val="22"/>
        </w:rPr>
        <w:t>mCherry</w:t>
      </w:r>
      <w:proofErr w:type="spellEnd"/>
      <w:r>
        <w:rPr>
          <w:rFonts w:ascii="Times New Roman" w:hAnsi="Times New Roman" w:cs="Times New Roman"/>
          <w:sz w:val="22"/>
          <w:szCs w:val="22"/>
        </w:rPr>
        <w:t xml:space="preserve">-tagged Rab27a were introduced into HEK293T cells. </w:t>
      </w:r>
      <w:r>
        <w:rPr>
          <w:rFonts w:ascii="Times New Roman" w:hAnsi="Times New Roman" w:cs="Times New Roman"/>
          <w:b/>
          <w:bCs/>
          <w:sz w:val="22"/>
          <w:szCs w:val="22"/>
        </w:rPr>
        <w:t>b</w:t>
      </w:r>
      <w:r w:rsidRPr="0049448B">
        <w:rPr>
          <w:rFonts w:ascii="Times New Roman" w:hAnsi="Times New Roman" w:cs="Times New Roman"/>
          <w:b/>
          <w:bCs/>
          <w:sz w:val="22"/>
          <w:szCs w:val="22"/>
        </w:rPr>
        <w:t>,</w:t>
      </w:r>
      <w:r>
        <w:rPr>
          <w:rFonts w:ascii="Times New Roman" w:hAnsi="Times New Roman" w:cs="Times New Roman"/>
          <w:sz w:val="22"/>
          <w:szCs w:val="22"/>
        </w:rPr>
        <w:t xml:space="preserve"> Western blotting showing exogenous expression of </w:t>
      </w:r>
      <w:proofErr w:type="spellStart"/>
      <w:r>
        <w:rPr>
          <w:rFonts w:ascii="Times New Roman" w:hAnsi="Times New Roman" w:cs="Times New Roman"/>
          <w:sz w:val="22"/>
          <w:szCs w:val="22"/>
        </w:rPr>
        <w:t>myc</w:t>
      </w:r>
      <w:proofErr w:type="spellEnd"/>
      <w:r>
        <w:rPr>
          <w:rFonts w:ascii="Times New Roman" w:hAnsi="Times New Roman" w:cs="Times New Roman"/>
          <w:sz w:val="22"/>
          <w:szCs w:val="22"/>
        </w:rPr>
        <w:t>-tagged wild type and W73G Rab27a in ASPS17 cells with knockout of endogenous Rab27a. Red circles indicate clones used for ELISA and the trafficking experiment shown in Fig</w:t>
      </w:r>
      <w:r w:rsidR="00A86005">
        <w:rPr>
          <w:rFonts w:ascii="Times New Roman" w:hAnsi="Times New Roman" w:cs="Times New Roman"/>
          <w:sz w:val="22"/>
          <w:szCs w:val="22"/>
        </w:rPr>
        <w:t>.</w:t>
      </w:r>
      <w:r>
        <w:rPr>
          <w:rFonts w:ascii="Times New Roman" w:hAnsi="Times New Roman" w:cs="Times New Roman"/>
          <w:sz w:val="22"/>
          <w:szCs w:val="22"/>
        </w:rPr>
        <w:t xml:space="preserve"> 5</w:t>
      </w:r>
      <w:r w:rsidR="00A86005">
        <w:rPr>
          <w:rFonts w:ascii="Times New Roman" w:hAnsi="Times New Roman" w:cs="Times New Roman"/>
          <w:sz w:val="22"/>
          <w:szCs w:val="22"/>
        </w:rPr>
        <w:t>a</w:t>
      </w:r>
      <w:r>
        <w:rPr>
          <w:rFonts w:ascii="Times New Roman" w:hAnsi="Times New Roman" w:cs="Times New Roman"/>
          <w:sz w:val="22"/>
          <w:szCs w:val="22"/>
        </w:rPr>
        <w:t xml:space="preserve">, </w:t>
      </w:r>
      <w:r w:rsidR="00A86005">
        <w:rPr>
          <w:rFonts w:ascii="Times New Roman" w:hAnsi="Times New Roman" w:cs="Times New Roman"/>
          <w:sz w:val="22"/>
          <w:szCs w:val="22"/>
        </w:rPr>
        <w:t>b</w:t>
      </w:r>
      <w:r>
        <w:rPr>
          <w:rFonts w:ascii="Times New Roman" w:hAnsi="Times New Roman" w:cs="Times New Roman"/>
          <w:sz w:val="22"/>
          <w:szCs w:val="22"/>
        </w:rPr>
        <w:t xml:space="preserve">, </w:t>
      </w:r>
      <w:r w:rsidR="00A86005">
        <w:rPr>
          <w:rFonts w:ascii="Times New Roman" w:hAnsi="Times New Roman" w:cs="Times New Roman"/>
          <w:sz w:val="22"/>
          <w:szCs w:val="22"/>
        </w:rPr>
        <w:t>d</w:t>
      </w:r>
      <w:r>
        <w:rPr>
          <w:rFonts w:ascii="Times New Roman" w:hAnsi="Times New Roman" w:cs="Times New Roman"/>
          <w:sz w:val="22"/>
          <w:szCs w:val="22"/>
        </w:rPr>
        <w:t xml:space="preserve">, and </w:t>
      </w:r>
      <w:r w:rsidR="00A86005">
        <w:rPr>
          <w:rFonts w:ascii="Times New Roman" w:hAnsi="Times New Roman" w:cs="Times New Roman"/>
          <w:sz w:val="22"/>
          <w:szCs w:val="22"/>
        </w:rPr>
        <w:t>e</w:t>
      </w:r>
      <w:r>
        <w:rPr>
          <w:rFonts w:ascii="Times New Roman" w:hAnsi="Times New Roman" w:cs="Times New Roman"/>
          <w:sz w:val="22"/>
          <w:szCs w:val="22"/>
        </w:rPr>
        <w:t xml:space="preserve">. </w:t>
      </w:r>
      <w:r>
        <w:rPr>
          <w:rFonts w:ascii="Times New Roman" w:hAnsi="Times New Roman" w:cs="Times New Roman"/>
          <w:b/>
          <w:bCs/>
          <w:sz w:val="22"/>
          <w:szCs w:val="22"/>
        </w:rPr>
        <w:t>c</w:t>
      </w:r>
      <w:r w:rsidRPr="003F1FF5">
        <w:rPr>
          <w:rFonts w:ascii="Times New Roman" w:hAnsi="Times New Roman" w:cs="Times New Roman"/>
          <w:b/>
          <w:bCs/>
          <w:sz w:val="22"/>
          <w:szCs w:val="22"/>
        </w:rPr>
        <w:t>,</w:t>
      </w:r>
      <w:r>
        <w:rPr>
          <w:rFonts w:ascii="Times New Roman" w:hAnsi="Times New Roman" w:cs="Times New Roman"/>
          <w:sz w:val="22"/>
          <w:szCs w:val="22"/>
        </w:rPr>
        <w:t xml:space="preserve"> FRAP showing marked delay in trafficking of </w:t>
      </w:r>
      <w:proofErr w:type="spellStart"/>
      <w:r>
        <w:rPr>
          <w:rFonts w:ascii="Times New Roman" w:hAnsi="Times New Roman" w:cs="Times New Roman"/>
          <w:sz w:val="22"/>
          <w:szCs w:val="22"/>
        </w:rPr>
        <w:t>DsRed-labeld</w:t>
      </w:r>
      <w:proofErr w:type="spellEnd"/>
      <w:r>
        <w:rPr>
          <w:rFonts w:ascii="Times New Roman" w:hAnsi="Times New Roman" w:cs="Times New Roman"/>
          <w:sz w:val="22"/>
          <w:szCs w:val="22"/>
        </w:rPr>
        <w:t xml:space="preserve"> Angptl2 by </w:t>
      </w:r>
      <w:r w:rsidRPr="00B3194B">
        <w:rPr>
          <w:rFonts w:ascii="Times New Roman" w:hAnsi="Times New Roman" w:cs="Times New Roman"/>
          <w:i/>
          <w:iCs/>
          <w:sz w:val="22"/>
          <w:szCs w:val="22"/>
        </w:rPr>
        <w:t>Rab27a</w:t>
      </w:r>
      <w:r>
        <w:rPr>
          <w:rFonts w:ascii="Times New Roman" w:hAnsi="Times New Roman" w:cs="Times New Roman"/>
          <w:sz w:val="22"/>
          <w:szCs w:val="22"/>
        </w:rPr>
        <w:t xml:space="preserve"> knockout, </w:t>
      </w:r>
      <w:r w:rsidRPr="00B3194B">
        <w:rPr>
          <w:rFonts w:ascii="Times New Roman" w:hAnsi="Times New Roman" w:cs="Times New Roman"/>
          <w:i/>
          <w:iCs/>
          <w:sz w:val="22"/>
          <w:szCs w:val="22"/>
        </w:rPr>
        <w:t>Sytl2</w:t>
      </w:r>
      <w:r>
        <w:rPr>
          <w:rFonts w:ascii="Times New Roman" w:hAnsi="Times New Roman" w:cs="Times New Roman"/>
          <w:sz w:val="22"/>
          <w:szCs w:val="22"/>
        </w:rPr>
        <w:t xml:space="preserve"> knockout and ASPS null cells. Representative images of FRAP of ASPS17 cells are shown in upper panels and representative normalized traces of FRAP for each experiment are shown in lower panels. Each point represents one image acquired every 5 min. </w:t>
      </w:r>
      <w:r>
        <w:rPr>
          <w:rFonts w:ascii="Times New Roman" w:hAnsi="Times New Roman" w:cs="Times New Roman"/>
          <w:b/>
          <w:bCs/>
          <w:sz w:val="22"/>
          <w:szCs w:val="22"/>
        </w:rPr>
        <w:t>d</w:t>
      </w:r>
      <w:r w:rsidRPr="003F1FF5">
        <w:rPr>
          <w:rFonts w:ascii="Times New Roman" w:hAnsi="Times New Roman" w:cs="Times New Roman"/>
          <w:b/>
          <w:bCs/>
          <w:sz w:val="22"/>
          <w:szCs w:val="22"/>
        </w:rPr>
        <w:t>,</w:t>
      </w:r>
      <w:r>
        <w:rPr>
          <w:rFonts w:ascii="Times New Roman" w:hAnsi="Times New Roman" w:cs="Times New Roman"/>
          <w:sz w:val="22"/>
          <w:szCs w:val="22"/>
        </w:rPr>
        <w:t xml:space="preserve"> FRAP showing rescue of trafficking by wild type Rab27a but not W73G mutant in ASPS17 cells with endogenous </w:t>
      </w:r>
      <w:r w:rsidRPr="003F1FF5">
        <w:rPr>
          <w:rFonts w:ascii="Times New Roman" w:hAnsi="Times New Roman" w:cs="Times New Roman"/>
          <w:i/>
          <w:iCs/>
          <w:sz w:val="22"/>
          <w:szCs w:val="22"/>
        </w:rPr>
        <w:t>Rab27a</w:t>
      </w:r>
      <w:r>
        <w:rPr>
          <w:rFonts w:ascii="Times New Roman" w:hAnsi="Times New Roman" w:cs="Times New Roman"/>
          <w:sz w:val="22"/>
          <w:szCs w:val="22"/>
        </w:rPr>
        <w:t xml:space="preserve"> knockout. Time course of </w:t>
      </w:r>
      <w:proofErr w:type="spellStart"/>
      <w:r>
        <w:rPr>
          <w:rFonts w:ascii="Times New Roman" w:hAnsi="Times New Roman" w:cs="Times New Roman"/>
          <w:sz w:val="22"/>
          <w:szCs w:val="22"/>
        </w:rPr>
        <w:t>DsRed-labeld</w:t>
      </w:r>
      <w:proofErr w:type="spellEnd"/>
      <w:r>
        <w:rPr>
          <w:rFonts w:ascii="Times New Roman" w:hAnsi="Times New Roman" w:cs="Times New Roman"/>
          <w:sz w:val="22"/>
          <w:szCs w:val="22"/>
        </w:rPr>
        <w:t xml:space="preserve"> </w:t>
      </w:r>
      <w:proofErr w:type="spellStart"/>
      <w:r>
        <w:rPr>
          <w:rFonts w:ascii="Times New Roman" w:hAnsi="Times New Roman" w:cs="Times New Roman"/>
          <w:sz w:val="22"/>
          <w:szCs w:val="22"/>
        </w:rPr>
        <w:t>Pdgfb</w:t>
      </w:r>
      <w:proofErr w:type="spellEnd"/>
      <w:r>
        <w:rPr>
          <w:rFonts w:ascii="Times New Roman" w:hAnsi="Times New Roman" w:cs="Times New Roman"/>
          <w:sz w:val="22"/>
          <w:szCs w:val="22"/>
        </w:rPr>
        <w:t xml:space="preserve">, </w:t>
      </w:r>
      <w:proofErr w:type="spellStart"/>
      <w:r>
        <w:rPr>
          <w:rFonts w:ascii="Times New Roman" w:hAnsi="Times New Roman" w:cs="Times New Roman"/>
          <w:sz w:val="22"/>
          <w:szCs w:val="22"/>
        </w:rPr>
        <w:t>Gpnmb</w:t>
      </w:r>
      <w:proofErr w:type="spellEnd"/>
      <w:r>
        <w:rPr>
          <w:rFonts w:ascii="Times New Roman" w:hAnsi="Times New Roman" w:cs="Times New Roman"/>
          <w:sz w:val="22"/>
          <w:szCs w:val="22"/>
        </w:rPr>
        <w:t xml:space="preserve">, and Angptl2 distributions are shown. </w:t>
      </w:r>
      <w:r>
        <w:rPr>
          <w:rFonts w:ascii="Times New Roman" w:hAnsi="Times New Roman" w:cs="Times New Roman"/>
          <w:b/>
          <w:bCs/>
          <w:sz w:val="22"/>
          <w:szCs w:val="22"/>
        </w:rPr>
        <w:t>e</w:t>
      </w:r>
      <w:r w:rsidRPr="003F1FF5">
        <w:rPr>
          <w:rFonts w:ascii="Times New Roman" w:hAnsi="Times New Roman" w:cs="Times New Roman"/>
          <w:b/>
          <w:bCs/>
          <w:sz w:val="22"/>
          <w:szCs w:val="22"/>
        </w:rPr>
        <w:t xml:space="preserve">, </w:t>
      </w:r>
      <w:r>
        <w:rPr>
          <w:rFonts w:ascii="Times New Roman" w:hAnsi="Times New Roman" w:cs="Times New Roman"/>
          <w:sz w:val="22"/>
          <w:szCs w:val="22"/>
        </w:rPr>
        <w:t xml:space="preserve">Immunofluorescence showing intracellular localization of </w:t>
      </w:r>
      <w:proofErr w:type="spellStart"/>
      <w:r>
        <w:rPr>
          <w:rFonts w:ascii="Times New Roman" w:hAnsi="Times New Roman" w:cs="Times New Roman"/>
          <w:sz w:val="22"/>
          <w:szCs w:val="22"/>
        </w:rPr>
        <w:t>Vwf</w:t>
      </w:r>
      <w:proofErr w:type="spellEnd"/>
      <w:r>
        <w:rPr>
          <w:rFonts w:ascii="Times New Roman" w:hAnsi="Times New Roman" w:cs="Times New Roman"/>
          <w:sz w:val="22"/>
          <w:szCs w:val="22"/>
        </w:rPr>
        <w:t xml:space="preserve"> in Rab27a knockout cells in the presence of exogenous wild type or W73G proteins. Localization in peripheral areas in ASPS17 </w:t>
      </w:r>
      <w:r>
        <w:rPr>
          <w:rFonts w:ascii="Times New Roman" w:hAnsi="Times New Roman" w:cs="Times New Roman"/>
          <w:sz w:val="22"/>
          <w:szCs w:val="22"/>
        </w:rPr>
        <w:lastRenderedPageBreak/>
        <w:t xml:space="preserve">cells with </w:t>
      </w:r>
      <w:r w:rsidRPr="00581C96">
        <w:rPr>
          <w:rFonts w:ascii="Times New Roman" w:hAnsi="Times New Roman" w:cs="Times New Roman"/>
          <w:i/>
          <w:iCs/>
          <w:sz w:val="22"/>
          <w:szCs w:val="22"/>
        </w:rPr>
        <w:t>Rab27a</w:t>
      </w:r>
      <w:r>
        <w:rPr>
          <w:rFonts w:ascii="Times New Roman" w:hAnsi="Times New Roman" w:cs="Times New Roman"/>
          <w:sz w:val="22"/>
          <w:szCs w:val="22"/>
        </w:rPr>
        <w:t xml:space="preserve"> knockout was recovered by introduction of human wild type RAB27A but not by the W73G mutant (left). Intracellular distribution of </w:t>
      </w:r>
      <w:proofErr w:type="spellStart"/>
      <w:r>
        <w:rPr>
          <w:rFonts w:ascii="Times New Roman" w:hAnsi="Times New Roman" w:cs="Times New Roman"/>
          <w:sz w:val="22"/>
          <w:szCs w:val="22"/>
        </w:rPr>
        <w:t>Vwf</w:t>
      </w:r>
      <w:proofErr w:type="spellEnd"/>
      <w:r>
        <w:rPr>
          <w:rFonts w:ascii="Times New Roman" w:hAnsi="Times New Roman" w:cs="Times New Roman"/>
          <w:sz w:val="22"/>
          <w:szCs w:val="22"/>
        </w:rPr>
        <w:t xml:space="preserve"> in each cell type was plotted as mean intensities of fluorescence at indicated distances from nucleus (right). Scale bar, 10 µm. * </w:t>
      </w:r>
      <w:r w:rsidRPr="00D732B9">
        <w:rPr>
          <w:rFonts w:ascii="Times New Roman" w:hAnsi="Times New Roman" w:cs="Times New Roman"/>
          <w:i/>
          <w:iCs/>
          <w:sz w:val="22"/>
          <w:szCs w:val="22"/>
        </w:rPr>
        <w:t>P</w:t>
      </w:r>
      <w:r>
        <w:rPr>
          <w:rFonts w:ascii="Times New Roman" w:hAnsi="Times New Roman" w:cs="Times New Roman"/>
          <w:sz w:val="22"/>
          <w:szCs w:val="22"/>
        </w:rPr>
        <w:t xml:space="preserve"> &lt; 0.05. </w:t>
      </w:r>
      <w:r>
        <w:rPr>
          <w:rFonts w:ascii="Times New Roman" w:hAnsi="Times New Roman" w:cs="Times New Roman"/>
          <w:b/>
          <w:bCs/>
          <w:sz w:val="22"/>
          <w:szCs w:val="22"/>
        </w:rPr>
        <w:t>f</w:t>
      </w:r>
      <w:r w:rsidRPr="00F312DB">
        <w:rPr>
          <w:rFonts w:ascii="Times New Roman" w:hAnsi="Times New Roman" w:cs="Times New Roman"/>
          <w:b/>
          <w:bCs/>
          <w:sz w:val="22"/>
          <w:szCs w:val="22"/>
        </w:rPr>
        <w:t>,</w:t>
      </w:r>
      <w:r>
        <w:rPr>
          <w:rFonts w:ascii="Times New Roman" w:hAnsi="Times New Roman" w:cs="Times New Roman"/>
          <w:b/>
          <w:bCs/>
          <w:sz w:val="22"/>
          <w:szCs w:val="22"/>
        </w:rPr>
        <w:t xml:space="preserve"> </w:t>
      </w:r>
      <w:r w:rsidRPr="00BA59FD">
        <w:rPr>
          <w:rFonts w:ascii="Times New Roman" w:hAnsi="Times New Roman" w:cs="Times New Roman"/>
          <w:sz w:val="22"/>
          <w:szCs w:val="22"/>
        </w:rPr>
        <w:t>In</w:t>
      </w:r>
      <w:r>
        <w:rPr>
          <w:rFonts w:ascii="Times New Roman" w:hAnsi="Times New Roman" w:cs="Times New Roman"/>
          <w:sz w:val="22"/>
          <w:szCs w:val="22"/>
        </w:rPr>
        <w:t xml:space="preserve">hibition of Sytl2 and Rab27a interaction by </w:t>
      </w:r>
      <w:proofErr w:type="spellStart"/>
      <w:r>
        <w:rPr>
          <w:rFonts w:ascii="Times New Roman" w:hAnsi="Times New Roman" w:cs="Times New Roman"/>
          <w:sz w:val="22"/>
          <w:szCs w:val="22"/>
        </w:rPr>
        <w:t>Nexinhib</w:t>
      </w:r>
      <w:proofErr w:type="spellEnd"/>
      <w:r>
        <w:rPr>
          <w:rFonts w:ascii="Times New Roman" w:hAnsi="Times New Roman" w:cs="Times New Roman"/>
          <w:sz w:val="22"/>
          <w:szCs w:val="22"/>
        </w:rPr>
        <w:t xml:space="preserve"> 20 shown by co-immunoprecipitation. HEK293T cells were introduced with </w:t>
      </w:r>
      <w:proofErr w:type="spellStart"/>
      <w:r>
        <w:rPr>
          <w:rFonts w:ascii="Times New Roman" w:hAnsi="Times New Roman" w:cs="Times New Roman"/>
          <w:sz w:val="22"/>
          <w:szCs w:val="22"/>
        </w:rPr>
        <w:t>mCherry</w:t>
      </w:r>
      <w:proofErr w:type="spellEnd"/>
      <w:r>
        <w:rPr>
          <w:rFonts w:ascii="Times New Roman" w:hAnsi="Times New Roman" w:cs="Times New Roman"/>
          <w:sz w:val="22"/>
          <w:szCs w:val="22"/>
        </w:rPr>
        <w:t xml:space="preserve">-tagged Rab27a and GFP-tagged Sytl2. Cells were treated with 10 µM of </w:t>
      </w:r>
      <w:proofErr w:type="spellStart"/>
      <w:r>
        <w:rPr>
          <w:rFonts w:ascii="Times New Roman" w:hAnsi="Times New Roman" w:cs="Times New Roman"/>
          <w:sz w:val="22"/>
          <w:szCs w:val="22"/>
        </w:rPr>
        <w:t>Nexinhib</w:t>
      </w:r>
      <w:proofErr w:type="spellEnd"/>
      <w:r>
        <w:rPr>
          <w:rFonts w:ascii="Times New Roman" w:hAnsi="Times New Roman" w:cs="Times New Roman"/>
          <w:sz w:val="22"/>
          <w:szCs w:val="22"/>
        </w:rPr>
        <w:t xml:space="preserve"> 20 and were subjected to immunoprecipitation at indicated time points. Significant immunoprecipitated signals for GFP-Sytl2 are shown at 15 and 30 min after treatment. </w:t>
      </w:r>
      <w:r>
        <w:rPr>
          <w:rFonts w:ascii="Times New Roman" w:hAnsi="Times New Roman" w:cs="Times New Roman"/>
          <w:b/>
          <w:bCs/>
          <w:sz w:val="22"/>
          <w:szCs w:val="22"/>
        </w:rPr>
        <w:t>g</w:t>
      </w:r>
      <w:r w:rsidRPr="00BA59FD">
        <w:rPr>
          <w:rFonts w:ascii="Times New Roman" w:hAnsi="Times New Roman" w:cs="Times New Roman"/>
          <w:b/>
          <w:bCs/>
          <w:sz w:val="22"/>
          <w:szCs w:val="22"/>
        </w:rPr>
        <w:t>,</w:t>
      </w:r>
      <w:r>
        <w:rPr>
          <w:rFonts w:ascii="Times New Roman" w:hAnsi="Times New Roman" w:cs="Times New Roman"/>
          <w:sz w:val="22"/>
          <w:szCs w:val="22"/>
        </w:rPr>
        <w:t xml:space="preserve"> FRAP showing significant delay in Angptl2 trafficking by </w:t>
      </w:r>
      <w:proofErr w:type="spellStart"/>
      <w:r>
        <w:rPr>
          <w:rFonts w:ascii="Times New Roman" w:hAnsi="Times New Roman" w:cs="Times New Roman"/>
          <w:sz w:val="22"/>
          <w:szCs w:val="22"/>
        </w:rPr>
        <w:t>Nexinhib</w:t>
      </w:r>
      <w:proofErr w:type="spellEnd"/>
      <w:r>
        <w:rPr>
          <w:rFonts w:ascii="Times New Roman" w:hAnsi="Times New Roman" w:cs="Times New Roman"/>
          <w:sz w:val="22"/>
          <w:szCs w:val="22"/>
        </w:rPr>
        <w:t xml:space="preserve"> 20 treatment.</w:t>
      </w:r>
    </w:p>
    <w:p w14:paraId="3B271EC3" w14:textId="77777777" w:rsidR="00232E2C" w:rsidRDefault="00232E2C">
      <w:pPr>
        <w:widowControl/>
        <w:jc w:val="left"/>
        <w:rPr>
          <w:rFonts w:ascii="Times New Roman" w:hAnsi="Times New Roman" w:cs="Times New Roman"/>
          <w:sz w:val="22"/>
          <w:szCs w:val="22"/>
        </w:rPr>
      </w:pPr>
      <w:r>
        <w:rPr>
          <w:rFonts w:ascii="Times New Roman" w:hAnsi="Times New Roman" w:cs="Times New Roman"/>
          <w:sz w:val="22"/>
          <w:szCs w:val="22"/>
        </w:rPr>
        <w:br w:type="page"/>
      </w:r>
    </w:p>
    <w:p w14:paraId="4303CBB3" w14:textId="4D2B0125" w:rsidR="00232E2C" w:rsidRDefault="00232E2C">
      <w:pPr>
        <w:rPr>
          <w:rFonts w:ascii="Times New Roman" w:hAnsi="Times New Roman" w:cs="Times New Roman"/>
          <w:sz w:val="22"/>
          <w:szCs w:val="22"/>
        </w:rPr>
      </w:pPr>
      <w:r w:rsidRPr="00232E2C">
        <w:rPr>
          <w:rFonts w:ascii="Times New Roman" w:hAnsi="Times New Roman" w:cs="Times New Roman"/>
          <w:noProof/>
          <w:sz w:val="22"/>
          <w:szCs w:val="22"/>
        </w:rPr>
        <w:lastRenderedPageBreak/>
        <w:drawing>
          <wp:inline distT="0" distB="0" distL="0" distR="0" wp14:anchorId="4F8C03E3" wp14:editId="2FE70802">
            <wp:extent cx="5400040" cy="5235575"/>
            <wp:effectExtent l="0" t="0" r="0" b="0"/>
            <wp:docPr id="6" name="図 6" descr="グラフィカル ユーザー インターフェイス&#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図 6" descr="グラフィカル ユーザー インターフェイス&#10;&#10;自動的に生成された説明"/>
                    <pic:cNvPicPr/>
                  </pic:nvPicPr>
                  <pic:blipFill>
                    <a:blip r:embed="rId11"/>
                    <a:stretch>
                      <a:fillRect/>
                    </a:stretch>
                  </pic:blipFill>
                  <pic:spPr>
                    <a:xfrm>
                      <a:off x="0" y="0"/>
                      <a:ext cx="5400040" cy="5235575"/>
                    </a:xfrm>
                    <a:prstGeom prst="rect">
                      <a:avLst/>
                    </a:prstGeom>
                  </pic:spPr>
                </pic:pic>
              </a:graphicData>
            </a:graphic>
          </wp:inline>
        </w:drawing>
      </w:r>
    </w:p>
    <w:p w14:paraId="2F4EB604" w14:textId="7AD794FA" w:rsidR="00232E2C" w:rsidRDefault="00232E2C" w:rsidP="00232E2C">
      <w:pPr>
        <w:rPr>
          <w:rFonts w:ascii="Times New Roman" w:hAnsi="Times New Roman" w:cs="Times New Roman"/>
          <w:color w:val="000000" w:themeColor="text1"/>
          <w:sz w:val="22"/>
          <w:szCs w:val="22"/>
        </w:rPr>
      </w:pPr>
      <w:r w:rsidRPr="00232E2C">
        <w:rPr>
          <w:rFonts w:ascii="Times New Roman" w:hAnsi="Times New Roman" w:cs="Times New Roman"/>
          <w:b/>
          <w:bCs/>
          <w:sz w:val="22"/>
          <w:szCs w:val="22"/>
        </w:rPr>
        <w:t xml:space="preserve">Extended Data Fig. 6. | Induction of vascular network by co-culture of tumor spheroids, pericytes and HUVEC cells in the microfluidic device. </w:t>
      </w:r>
      <w:proofErr w:type="gramStart"/>
      <w:r>
        <w:rPr>
          <w:rFonts w:ascii="Times New Roman" w:hAnsi="Times New Roman" w:cs="Times New Roman"/>
          <w:b/>
          <w:bCs/>
          <w:sz w:val="22"/>
          <w:szCs w:val="22"/>
        </w:rPr>
        <w:t>a</w:t>
      </w:r>
      <w:r w:rsidRPr="00F312DB">
        <w:rPr>
          <w:rFonts w:ascii="Times New Roman" w:hAnsi="Times New Roman" w:cs="Times New Roman"/>
          <w:b/>
          <w:bCs/>
          <w:sz w:val="22"/>
          <w:szCs w:val="22"/>
        </w:rPr>
        <w:t>,</w:t>
      </w:r>
      <w:proofErr w:type="gramEnd"/>
      <w:r>
        <w:rPr>
          <w:rFonts w:ascii="Times New Roman" w:hAnsi="Times New Roman" w:cs="Times New Roman"/>
          <w:b/>
          <w:bCs/>
          <w:sz w:val="22"/>
          <w:szCs w:val="22"/>
        </w:rPr>
        <w:t xml:space="preserve"> </w:t>
      </w:r>
      <w:r w:rsidRPr="00390B19">
        <w:rPr>
          <w:rFonts w:ascii="Times New Roman" w:hAnsi="Times New Roman" w:cs="Times New Roman"/>
          <w:color w:val="000000" w:themeColor="text1"/>
          <w:sz w:val="22"/>
          <w:szCs w:val="22"/>
        </w:rPr>
        <w:t>Core</w:t>
      </w:r>
      <w:r>
        <w:rPr>
          <w:rFonts w:ascii="Times New Roman" w:hAnsi="Times New Roman" w:cs="Times New Roman"/>
          <w:color w:val="000000" w:themeColor="text1"/>
          <w:sz w:val="22"/>
          <w:szCs w:val="22"/>
        </w:rPr>
        <w:t xml:space="preserve"> </w:t>
      </w:r>
      <w:r w:rsidRPr="00390B19">
        <w:rPr>
          <w:rFonts w:ascii="Times New Roman" w:hAnsi="Times New Roman" w:cs="Times New Roman"/>
          <w:color w:val="000000" w:themeColor="text1"/>
          <w:sz w:val="22"/>
          <w:szCs w:val="22"/>
        </w:rPr>
        <w:t>shell spheroid</w:t>
      </w:r>
      <w:r>
        <w:rPr>
          <w:rFonts w:ascii="Times New Roman" w:hAnsi="Times New Roman" w:cs="Times New Roman"/>
          <w:color w:val="000000" w:themeColor="text1"/>
          <w:sz w:val="22"/>
          <w:szCs w:val="22"/>
        </w:rPr>
        <w:t xml:space="preserve"> structure.</w:t>
      </w:r>
      <w:r w:rsidRPr="00E32482">
        <w:rPr>
          <w:rFonts w:ascii="Times New Roman" w:hAnsi="Times New Roman" w:cs="Times New Roman"/>
          <w:color w:val="000000" w:themeColor="text1"/>
          <w:sz w:val="22"/>
          <w:szCs w:val="22"/>
        </w:rPr>
        <w:t xml:space="preserve"> The bright field, green fluorescence channel, and red fluorescence channel images of the co-culture core</w:t>
      </w:r>
      <w:r>
        <w:rPr>
          <w:rFonts w:ascii="Times New Roman" w:hAnsi="Times New Roman" w:cs="Times New Roman"/>
          <w:color w:val="000000" w:themeColor="text1"/>
          <w:sz w:val="22"/>
          <w:szCs w:val="22"/>
        </w:rPr>
        <w:t xml:space="preserve"> </w:t>
      </w:r>
      <w:r w:rsidRPr="00E32482">
        <w:rPr>
          <w:rFonts w:ascii="Times New Roman" w:hAnsi="Times New Roman" w:cs="Times New Roman"/>
          <w:color w:val="000000" w:themeColor="text1"/>
          <w:sz w:val="22"/>
          <w:szCs w:val="22"/>
        </w:rPr>
        <w:t>shell spheroids after three days in suspension culture</w:t>
      </w:r>
      <w:r>
        <w:rPr>
          <w:rFonts w:ascii="Times New Roman" w:hAnsi="Times New Roman" w:cs="Times New Roman"/>
          <w:color w:val="000000" w:themeColor="text1"/>
          <w:sz w:val="22"/>
          <w:szCs w:val="22"/>
        </w:rPr>
        <w:t xml:space="preserve"> (left).</w:t>
      </w:r>
      <w:r w:rsidRPr="00E32482">
        <w:rPr>
          <w:rFonts w:ascii="Times New Roman" w:hAnsi="Times New Roman" w:cs="Times New Roman"/>
          <w:color w:val="000000" w:themeColor="text1"/>
          <w:sz w:val="22"/>
          <w:szCs w:val="22"/>
        </w:rPr>
        <w:t xml:space="preserve"> The size in diameter of core and core</w:t>
      </w:r>
      <w:r>
        <w:rPr>
          <w:rFonts w:ascii="Times New Roman" w:hAnsi="Times New Roman" w:cs="Times New Roman"/>
          <w:color w:val="000000" w:themeColor="text1"/>
          <w:sz w:val="22"/>
          <w:szCs w:val="22"/>
        </w:rPr>
        <w:t xml:space="preserve"> </w:t>
      </w:r>
      <w:r w:rsidRPr="00E32482">
        <w:rPr>
          <w:rFonts w:ascii="Times New Roman" w:hAnsi="Times New Roman" w:cs="Times New Roman"/>
          <w:color w:val="000000" w:themeColor="text1"/>
          <w:sz w:val="22"/>
          <w:szCs w:val="22"/>
        </w:rPr>
        <w:t>shell spheroids was measured (n = 20)</w:t>
      </w:r>
      <w:r>
        <w:rPr>
          <w:rFonts w:ascii="Times New Roman" w:hAnsi="Times New Roman" w:cs="Times New Roman"/>
          <w:color w:val="000000" w:themeColor="text1"/>
          <w:sz w:val="22"/>
          <w:szCs w:val="22"/>
        </w:rPr>
        <w:t xml:space="preserve"> (right)</w:t>
      </w:r>
      <w:r w:rsidRPr="00E32482">
        <w:rPr>
          <w:rFonts w:ascii="Times New Roman" w:hAnsi="Times New Roman" w:cs="Times New Roman"/>
          <w:color w:val="000000" w:themeColor="text1"/>
          <w:sz w:val="22"/>
          <w:szCs w:val="22"/>
        </w:rPr>
        <w:t>.</w:t>
      </w:r>
      <w:r>
        <w:rPr>
          <w:rFonts w:ascii="Times New Roman" w:hAnsi="Times New Roman" w:cs="Times New Roman"/>
          <w:color w:val="000000" w:themeColor="text1"/>
          <w:sz w:val="22"/>
          <w:szCs w:val="22"/>
        </w:rPr>
        <w:t xml:space="preserve"> Scale bar, 200 µm.</w:t>
      </w:r>
      <w:r>
        <w:rPr>
          <w:rFonts w:ascii="Times New Roman" w:hAnsi="Times New Roman" w:cs="Times New Roman" w:hint="eastAsia"/>
          <w:color w:val="000000" w:themeColor="text1"/>
          <w:sz w:val="22"/>
          <w:szCs w:val="22"/>
        </w:rPr>
        <w:t xml:space="preserve"> </w:t>
      </w:r>
      <w:r>
        <w:rPr>
          <w:rFonts w:ascii="Times New Roman" w:hAnsi="Times New Roman" w:cs="Times New Roman"/>
          <w:b/>
          <w:bCs/>
          <w:color w:val="000000" w:themeColor="text1"/>
          <w:sz w:val="22"/>
          <w:szCs w:val="22"/>
        </w:rPr>
        <w:t>b</w:t>
      </w:r>
      <w:r w:rsidRPr="007371C7">
        <w:rPr>
          <w:rFonts w:ascii="Times New Roman" w:hAnsi="Times New Roman" w:cs="Times New Roman"/>
          <w:b/>
          <w:bCs/>
          <w:color w:val="000000" w:themeColor="text1"/>
          <w:sz w:val="22"/>
          <w:szCs w:val="22"/>
        </w:rPr>
        <w:t xml:space="preserve">, </w:t>
      </w:r>
      <w:r w:rsidRPr="007371C7">
        <w:rPr>
          <w:rFonts w:ascii="Times New Roman" w:hAnsi="Times New Roman" w:cs="Times New Roman"/>
          <w:color w:val="000000" w:themeColor="text1"/>
          <w:sz w:val="22"/>
          <w:szCs w:val="22"/>
        </w:rPr>
        <w:t xml:space="preserve">The time-course fluorescent images of the </w:t>
      </w:r>
      <w:r w:rsidRPr="007371C7">
        <w:rPr>
          <w:rFonts w:ascii="Times New Roman" w:hAnsi="Times New Roman" w:cs="Times New Roman"/>
          <w:i/>
          <w:iCs/>
          <w:color w:val="000000" w:themeColor="text1"/>
          <w:sz w:val="22"/>
          <w:szCs w:val="22"/>
        </w:rPr>
        <w:t>in vitro</w:t>
      </w:r>
      <w:r w:rsidRPr="007371C7">
        <w:rPr>
          <w:rFonts w:ascii="Times New Roman" w:hAnsi="Times New Roman" w:cs="Times New Roman"/>
          <w:color w:val="000000" w:themeColor="text1"/>
          <w:sz w:val="22"/>
          <w:szCs w:val="22"/>
        </w:rPr>
        <w:t xml:space="preserve"> angiogenesis using the core</w:t>
      </w:r>
      <w:r>
        <w:rPr>
          <w:rFonts w:ascii="Times New Roman" w:hAnsi="Times New Roman" w:cs="Times New Roman"/>
          <w:color w:val="000000" w:themeColor="text1"/>
          <w:sz w:val="22"/>
          <w:szCs w:val="22"/>
        </w:rPr>
        <w:t xml:space="preserve"> </w:t>
      </w:r>
      <w:r w:rsidRPr="007371C7">
        <w:rPr>
          <w:rFonts w:ascii="Times New Roman" w:hAnsi="Times New Roman" w:cs="Times New Roman"/>
          <w:color w:val="000000" w:themeColor="text1"/>
          <w:sz w:val="22"/>
          <w:szCs w:val="22"/>
        </w:rPr>
        <w:t>shell AS</w:t>
      </w:r>
      <w:r>
        <w:rPr>
          <w:rFonts w:ascii="Times New Roman" w:hAnsi="Times New Roman" w:cs="Times New Roman"/>
          <w:color w:val="000000" w:themeColor="text1"/>
          <w:sz w:val="22"/>
          <w:szCs w:val="22"/>
        </w:rPr>
        <w:t>PS</w:t>
      </w:r>
      <w:r w:rsidRPr="007371C7">
        <w:rPr>
          <w:rFonts w:ascii="Times New Roman" w:hAnsi="Times New Roman" w:cs="Times New Roman"/>
          <w:color w:val="000000" w:themeColor="text1"/>
          <w:sz w:val="22"/>
          <w:szCs w:val="22"/>
        </w:rPr>
        <w:t xml:space="preserve">17 </w:t>
      </w:r>
      <w:r>
        <w:rPr>
          <w:rFonts w:ascii="Times New Roman" w:hAnsi="Times New Roman" w:cs="Times New Roman"/>
          <w:color w:val="000000" w:themeColor="text1"/>
          <w:sz w:val="22"/>
          <w:szCs w:val="22"/>
        </w:rPr>
        <w:t xml:space="preserve">cells </w:t>
      </w:r>
      <w:r w:rsidRPr="007371C7">
        <w:rPr>
          <w:rFonts w:ascii="Times New Roman" w:hAnsi="Times New Roman" w:cs="Times New Roman"/>
          <w:color w:val="000000" w:themeColor="text1"/>
          <w:sz w:val="22"/>
          <w:szCs w:val="22"/>
        </w:rPr>
        <w:t>and the immunofluorescence-based characterization o</w:t>
      </w:r>
      <w:r>
        <w:rPr>
          <w:rFonts w:ascii="Times New Roman" w:hAnsi="Times New Roman" w:cs="Times New Roman"/>
          <w:color w:val="000000" w:themeColor="text1"/>
          <w:sz w:val="22"/>
          <w:szCs w:val="22"/>
        </w:rPr>
        <w:t>n</w:t>
      </w:r>
      <w:r w:rsidRPr="007371C7">
        <w:rPr>
          <w:rFonts w:ascii="Times New Roman" w:hAnsi="Times New Roman" w:cs="Times New Roman"/>
          <w:color w:val="000000" w:themeColor="text1"/>
          <w:sz w:val="22"/>
          <w:szCs w:val="22"/>
        </w:rPr>
        <w:t xml:space="preserve"> day 5</w:t>
      </w:r>
      <w:r>
        <w:rPr>
          <w:rFonts w:ascii="Times New Roman" w:hAnsi="Times New Roman" w:cs="Times New Roman"/>
          <w:color w:val="000000" w:themeColor="text1"/>
          <w:sz w:val="22"/>
          <w:szCs w:val="22"/>
        </w:rPr>
        <w:t>. Scale bar, 200 µm.</w:t>
      </w:r>
    </w:p>
    <w:p w14:paraId="05D7BD87" w14:textId="77777777" w:rsidR="00232E2C" w:rsidRPr="00232E2C" w:rsidRDefault="00232E2C">
      <w:pPr>
        <w:rPr>
          <w:rFonts w:ascii="Times New Roman" w:hAnsi="Times New Roman" w:cs="Times New Roman"/>
          <w:sz w:val="22"/>
          <w:szCs w:val="22"/>
        </w:rPr>
      </w:pPr>
    </w:p>
    <w:sectPr w:rsidR="00232E2C" w:rsidRPr="00232E2C">
      <w:footerReference w:type="even" r:id="rId12"/>
      <w:footerReference w:type="default" r:id="rId13"/>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63F17DE" w14:textId="77777777" w:rsidR="00B631A9" w:rsidRDefault="00B631A9" w:rsidP="001F7D06">
      <w:r>
        <w:separator/>
      </w:r>
    </w:p>
  </w:endnote>
  <w:endnote w:type="continuationSeparator" w:id="0">
    <w:p w14:paraId="3662D2E5" w14:textId="77777777" w:rsidR="00B631A9" w:rsidRDefault="00B631A9" w:rsidP="001F7D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swiss"/>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a5"/>
      </w:rPr>
      <w:id w:val="-1392956364"/>
      <w:docPartObj>
        <w:docPartGallery w:val="Page Numbers (Bottom of Page)"/>
        <w:docPartUnique/>
      </w:docPartObj>
    </w:sdtPr>
    <w:sdtEndPr>
      <w:rPr>
        <w:rStyle w:val="a5"/>
      </w:rPr>
    </w:sdtEndPr>
    <w:sdtContent>
      <w:p w14:paraId="42B6AD8E" w14:textId="56F51746" w:rsidR="001F7D06" w:rsidRDefault="001F7D06" w:rsidP="00941D8F">
        <w:pPr>
          <w:pStyle w:val="a3"/>
          <w:framePr w:wrap="none" w:vAnchor="text" w:hAnchor="margin" w:xAlign="center" w:y="1"/>
          <w:rPr>
            <w:rStyle w:val="a5"/>
          </w:rPr>
        </w:pPr>
        <w:r>
          <w:rPr>
            <w:rStyle w:val="a5"/>
          </w:rPr>
          <w:fldChar w:fldCharType="begin"/>
        </w:r>
        <w:r>
          <w:rPr>
            <w:rStyle w:val="a5"/>
          </w:rPr>
          <w:instrText xml:space="preserve"> PAGE </w:instrText>
        </w:r>
        <w:r>
          <w:rPr>
            <w:rStyle w:val="a5"/>
          </w:rPr>
          <w:fldChar w:fldCharType="end"/>
        </w:r>
      </w:p>
    </w:sdtContent>
  </w:sdt>
  <w:p w14:paraId="14FCD651" w14:textId="77777777" w:rsidR="001F7D06" w:rsidRDefault="001F7D06">
    <w:pPr>
      <w:pStyle w:val="a3"/>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a5"/>
      </w:rPr>
      <w:id w:val="-2108877813"/>
      <w:docPartObj>
        <w:docPartGallery w:val="Page Numbers (Bottom of Page)"/>
        <w:docPartUnique/>
      </w:docPartObj>
    </w:sdtPr>
    <w:sdtEndPr>
      <w:rPr>
        <w:rStyle w:val="a5"/>
      </w:rPr>
    </w:sdtEndPr>
    <w:sdtContent>
      <w:p w14:paraId="36744870" w14:textId="170703EF" w:rsidR="001F7D06" w:rsidRDefault="001F7D06" w:rsidP="00941D8F">
        <w:pPr>
          <w:pStyle w:val="a3"/>
          <w:framePr w:wrap="none" w:vAnchor="text" w:hAnchor="margin" w:xAlign="center" w:y="1"/>
          <w:rPr>
            <w:rStyle w:val="a5"/>
          </w:rPr>
        </w:pPr>
        <w:r>
          <w:rPr>
            <w:rStyle w:val="a5"/>
          </w:rPr>
          <w:fldChar w:fldCharType="begin"/>
        </w:r>
        <w:r>
          <w:rPr>
            <w:rStyle w:val="a5"/>
          </w:rPr>
          <w:instrText xml:space="preserve"> PAGE </w:instrText>
        </w:r>
        <w:r>
          <w:rPr>
            <w:rStyle w:val="a5"/>
          </w:rPr>
          <w:fldChar w:fldCharType="separate"/>
        </w:r>
        <w:r>
          <w:rPr>
            <w:rStyle w:val="a5"/>
            <w:noProof/>
          </w:rPr>
          <w:t>1</w:t>
        </w:r>
        <w:r>
          <w:rPr>
            <w:rStyle w:val="a5"/>
          </w:rPr>
          <w:fldChar w:fldCharType="end"/>
        </w:r>
      </w:p>
    </w:sdtContent>
  </w:sdt>
  <w:p w14:paraId="3AA065F5" w14:textId="77777777" w:rsidR="001F7D06" w:rsidRDefault="001F7D06">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1B3F773" w14:textId="77777777" w:rsidR="00B631A9" w:rsidRDefault="00B631A9" w:rsidP="001F7D06">
      <w:r>
        <w:separator/>
      </w:r>
    </w:p>
  </w:footnote>
  <w:footnote w:type="continuationSeparator" w:id="0">
    <w:p w14:paraId="4C02AA9A" w14:textId="77777777" w:rsidR="00B631A9" w:rsidRDefault="00B631A9" w:rsidP="001F7D0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bordersDoNotSurroundHeader/>
  <w:bordersDoNotSurroundFooter/>
  <w:proofState w:spelling="clean" w:grammar="clean"/>
  <w:defaultTabStop w:val="840"/>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7D06"/>
    <w:rsid w:val="00071809"/>
    <w:rsid w:val="001F7D06"/>
    <w:rsid w:val="00232E2C"/>
    <w:rsid w:val="005C7C81"/>
    <w:rsid w:val="00A13142"/>
    <w:rsid w:val="00A86005"/>
    <w:rsid w:val="00B631A9"/>
    <w:rsid w:val="00DE7A4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74F0BB64"/>
  <w15:chartTrackingRefBased/>
  <w15:docId w15:val="{1B158F27-395A-E847-B5EE-9A138C862A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rsid w:val="001F7D06"/>
    <w:pPr>
      <w:tabs>
        <w:tab w:val="center" w:pos="4252"/>
        <w:tab w:val="right" w:pos="8504"/>
      </w:tabs>
      <w:snapToGrid w:val="0"/>
    </w:pPr>
  </w:style>
  <w:style w:type="character" w:customStyle="1" w:styleId="a4">
    <w:name w:val="フッター (文字)"/>
    <w:basedOn w:val="a0"/>
    <w:link w:val="a3"/>
    <w:uiPriority w:val="99"/>
    <w:rsid w:val="001F7D06"/>
  </w:style>
  <w:style w:type="character" w:styleId="a5">
    <w:name w:val="page number"/>
    <w:basedOn w:val="a0"/>
    <w:uiPriority w:val="99"/>
    <w:semiHidden/>
    <w:unhideWhenUsed/>
    <w:rsid w:val="001F7D0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image" Target="media/image5.png"/><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9</Pages>
  <Words>1073</Words>
  <Characters>6117</Characters>
  <Application>Microsoft Office Word</Application>
  <DocSecurity>0</DocSecurity>
  <Lines>50</Lines>
  <Paragraphs>14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7176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中村 卓郎</dc:creator>
  <cp:keywords/>
  <dc:description/>
  <cp:lastModifiedBy>中村 卓郎</cp:lastModifiedBy>
  <cp:revision>2</cp:revision>
  <dcterms:created xsi:type="dcterms:W3CDTF">2021-12-06T04:55:00Z</dcterms:created>
  <dcterms:modified xsi:type="dcterms:W3CDTF">2021-12-06T04:55:00Z</dcterms:modified>
</cp:coreProperties>
</file>