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C791" w14:textId="46ADD6CA" w:rsidR="00B83E82" w:rsidRDefault="00B72D17" w:rsidP="0000632E">
      <w:pPr>
        <w:jc w:val="center"/>
        <w:rPr>
          <w:rFonts w:ascii="Arial" w:hAnsi="Arial" w:cs="Arial"/>
          <w:b/>
          <w:bCs/>
        </w:rPr>
      </w:pPr>
      <w:bookmarkStart w:id="0" w:name="OLE_LINK38"/>
      <w:r w:rsidRPr="00B72D17">
        <w:rPr>
          <w:rFonts w:ascii="Arial" w:hAnsi="Arial" w:cs="Arial"/>
          <w:b/>
          <w:bCs/>
        </w:rPr>
        <w:t>Supplementary materials</w:t>
      </w:r>
    </w:p>
    <w:p w14:paraId="58A48805" w14:textId="448410C0" w:rsidR="00225B81" w:rsidRDefault="00FF0953" w:rsidP="00FF0953">
      <w:pPr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A36A2FB" wp14:editId="273D7076">
            <wp:simplePos x="0" y="0"/>
            <wp:positionH relativeFrom="column">
              <wp:posOffset>0</wp:posOffset>
            </wp:positionH>
            <wp:positionV relativeFrom="paragraph">
              <wp:posOffset>-181</wp:posOffset>
            </wp:positionV>
            <wp:extent cx="5274310" cy="3314065"/>
            <wp:effectExtent l="0" t="0" r="2540" b="635"/>
            <wp:wrapTopAndBottom/>
            <wp:docPr id="1386226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E4FC6" w:rsidRPr="00AE4FC6">
        <w:rPr>
          <w:rFonts w:ascii="Arial" w:hAnsi="Arial" w:cs="Arial" w:hint="eastAsia"/>
          <w:b/>
          <w:bCs/>
        </w:rPr>
        <w:t xml:space="preserve">Supplementary Figure 1. </w:t>
      </w:r>
      <w:r w:rsidR="00127280">
        <w:rPr>
          <w:rFonts w:ascii="Arial" w:hAnsi="Arial" w:cs="Arial" w:hint="eastAsia"/>
          <w:b/>
          <w:bCs/>
        </w:rPr>
        <w:t>The</w:t>
      </w:r>
      <w:r w:rsidR="00AE4FC6" w:rsidRPr="00AE4FC6">
        <w:rPr>
          <w:rFonts w:ascii="Arial" w:hAnsi="Arial" w:cs="Arial" w:hint="eastAsia"/>
          <w:b/>
          <w:bCs/>
        </w:rPr>
        <w:t xml:space="preserve"> mediati</w:t>
      </w:r>
      <w:r w:rsidR="00127280">
        <w:rPr>
          <w:rFonts w:ascii="Arial" w:hAnsi="Arial" w:cs="Arial" w:hint="eastAsia"/>
          <w:b/>
          <w:bCs/>
        </w:rPr>
        <w:t>ng</w:t>
      </w:r>
      <w:r w:rsidR="00AE4FC6" w:rsidRPr="00AE4FC6">
        <w:rPr>
          <w:rFonts w:ascii="Arial" w:hAnsi="Arial" w:cs="Arial" w:hint="eastAsia"/>
          <w:b/>
          <w:bCs/>
        </w:rPr>
        <w:t xml:space="preserve"> </w:t>
      </w:r>
      <w:r w:rsidR="00D50B5F">
        <w:rPr>
          <w:rFonts w:ascii="Arial" w:hAnsi="Arial" w:cs="Arial" w:hint="eastAsia"/>
          <w:b/>
          <w:bCs/>
        </w:rPr>
        <w:t>roles</w:t>
      </w:r>
      <w:r w:rsidR="00AE4FC6" w:rsidRPr="00AE4FC6">
        <w:rPr>
          <w:rFonts w:ascii="Arial" w:hAnsi="Arial" w:cs="Arial" w:hint="eastAsia"/>
          <w:b/>
          <w:bCs/>
        </w:rPr>
        <w:t xml:space="preserve"> of white matter </w:t>
      </w:r>
      <w:r w:rsidR="00AE4FC6" w:rsidRPr="00491AD3">
        <w:rPr>
          <w:rFonts w:ascii="Arial" w:hAnsi="Arial" w:cs="Arial"/>
          <w:b/>
          <w:bCs/>
        </w:rPr>
        <w:t xml:space="preserve">microstructural traits </w:t>
      </w:r>
      <w:r w:rsidR="00D50B5F">
        <w:rPr>
          <w:rFonts w:ascii="Arial" w:hAnsi="Arial" w:cs="Arial" w:hint="eastAsia"/>
          <w:b/>
          <w:bCs/>
        </w:rPr>
        <w:t xml:space="preserve">in the associations </w:t>
      </w:r>
      <w:r w:rsidR="00D50B5F">
        <w:rPr>
          <w:rFonts w:ascii="Arial" w:hAnsi="Arial" w:cs="Arial"/>
          <w:b/>
          <w:bCs/>
        </w:rPr>
        <w:t>between</w:t>
      </w:r>
      <w:r w:rsidR="00AE4FC6" w:rsidRPr="00491AD3">
        <w:rPr>
          <w:rFonts w:ascii="Arial" w:hAnsi="Arial" w:cs="Arial"/>
          <w:b/>
          <w:bCs/>
        </w:rPr>
        <w:t xml:space="preserve"> </w:t>
      </w:r>
      <w:r w:rsidR="00AE4FC6" w:rsidRPr="00491AD3">
        <w:rPr>
          <w:rFonts w:ascii="Arial" w:hAnsi="Arial" w:cs="Arial"/>
          <w:b/>
          <w:bCs/>
          <w:i/>
          <w:iCs/>
        </w:rPr>
        <w:t>APOE4</w:t>
      </w:r>
      <w:r w:rsidR="00AE4FC6" w:rsidRPr="00491AD3">
        <w:rPr>
          <w:rFonts w:ascii="Arial" w:hAnsi="Arial" w:cs="Arial"/>
          <w:b/>
          <w:bCs/>
        </w:rPr>
        <w:t xml:space="preserve"> </w:t>
      </w:r>
      <w:r w:rsidR="00D50B5F">
        <w:rPr>
          <w:rFonts w:ascii="Arial" w:hAnsi="Arial" w:cs="Arial" w:hint="eastAsia"/>
          <w:b/>
          <w:bCs/>
        </w:rPr>
        <w:t>and</w:t>
      </w:r>
      <w:r w:rsidR="00AE4FC6" w:rsidRPr="00491AD3">
        <w:rPr>
          <w:rFonts w:ascii="Arial" w:hAnsi="Arial" w:cs="Arial"/>
          <w:b/>
          <w:bCs/>
        </w:rPr>
        <w:t xml:space="preserve"> </w:t>
      </w:r>
      <w:proofErr w:type="spellStart"/>
      <w:r w:rsidR="00AE4FC6" w:rsidRPr="00491AD3">
        <w:rPr>
          <w:rFonts w:ascii="Arial" w:hAnsi="Arial" w:cs="Arial"/>
          <w:b/>
          <w:bCs/>
        </w:rPr>
        <w:t>VaD</w:t>
      </w:r>
      <w:proofErr w:type="spellEnd"/>
      <w:r w:rsidR="00AE4FC6" w:rsidRPr="00491AD3">
        <w:rPr>
          <w:rFonts w:ascii="Arial" w:hAnsi="Arial" w:cs="Arial"/>
          <w:b/>
          <w:bCs/>
        </w:rPr>
        <w:t xml:space="preserve"> risk.</w:t>
      </w:r>
      <w:r w:rsidR="00AE4FC6" w:rsidRPr="00491AD3">
        <w:rPr>
          <w:rFonts w:ascii="Arial" w:hAnsi="Arial" w:cs="Arial"/>
        </w:rPr>
        <w:t xml:space="preserve"> Panels A and B display </w:t>
      </w:r>
      <w:r w:rsidR="00D03CF9">
        <w:rPr>
          <w:rFonts w:ascii="Arial" w:hAnsi="Arial" w:cs="Arial" w:hint="eastAsia"/>
        </w:rPr>
        <w:t>mediation</w:t>
      </w:r>
      <w:r w:rsidR="00AE4FC6" w:rsidRPr="00491AD3">
        <w:rPr>
          <w:rFonts w:ascii="Arial" w:hAnsi="Arial" w:cs="Arial"/>
        </w:rPr>
        <w:t xml:space="preserve"> estimates for individual white matter </w:t>
      </w:r>
      <w:r w:rsidR="00FF42FC" w:rsidRPr="00491AD3">
        <w:rPr>
          <w:rFonts w:ascii="Arial" w:hAnsi="Arial" w:cs="Arial"/>
        </w:rPr>
        <w:t>trait (Panel A: tract-level FA; Panel B: tract-level MD)</w:t>
      </w:r>
      <w:r w:rsidR="00AE4FC6" w:rsidRPr="00491AD3">
        <w:rPr>
          <w:rFonts w:ascii="Arial" w:hAnsi="Arial" w:cs="Arial"/>
        </w:rPr>
        <w:t xml:space="preserve"> mediating the </w:t>
      </w:r>
      <w:r w:rsidR="00AE4FC6" w:rsidRPr="00491AD3">
        <w:rPr>
          <w:rFonts w:ascii="Arial" w:hAnsi="Arial" w:cs="Arial"/>
          <w:i/>
          <w:iCs/>
        </w:rPr>
        <w:t>APOE4</w:t>
      </w:r>
      <w:r w:rsidR="00AE4FC6" w:rsidRPr="00491AD3">
        <w:rPr>
          <w:rFonts w:ascii="Arial" w:hAnsi="Arial" w:cs="Arial"/>
        </w:rPr>
        <w:t>–</w:t>
      </w:r>
      <w:proofErr w:type="spellStart"/>
      <w:r w:rsidR="00AE4FC6" w:rsidRPr="00491AD3">
        <w:rPr>
          <w:rFonts w:ascii="Arial" w:hAnsi="Arial" w:cs="Arial"/>
        </w:rPr>
        <w:t>VaD</w:t>
      </w:r>
      <w:proofErr w:type="spellEnd"/>
      <w:r w:rsidR="00AE4FC6" w:rsidRPr="00491AD3">
        <w:rPr>
          <w:rFonts w:ascii="Arial" w:hAnsi="Arial" w:cs="Arial"/>
        </w:rPr>
        <w:t xml:space="preserve"> association. </w:t>
      </w:r>
      <w:r w:rsidR="006F7A33" w:rsidRPr="00491AD3">
        <w:rPr>
          <w:rFonts w:ascii="Arial" w:hAnsi="Arial" w:cs="Arial"/>
        </w:rPr>
        <w:t>S</w:t>
      </w:r>
      <w:r w:rsidR="00AE4FC6" w:rsidRPr="00491AD3">
        <w:rPr>
          <w:rFonts w:ascii="Arial" w:hAnsi="Arial" w:cs="Arial"/>
        </w:rPr>
        <w:t xml:space="preserve">ignificance asterisks </w:t>
      </w:r>
      <w:r w:rsidR="006F7A33" w:rsidRPr="00491AD3">
        <w:rPr>
          <w:rFonts w:ascii="Arial" w:hAnsi="Arial" w:cs="Arial"/>
        </w:rPr>
        <w:t>denote</w:t>
      </w:r>
      <w:r w:rsidR="00AE4FC6" w:rsidRPr="00491AD3">
        <w:rPr>
          <w:rFonts w:ascii="Arial" w:hAnsi="Arial" w:cs="Arial"/>
        </w:rPr>
        <w:t xml:space="preserve"> Bonferroni-adjusted statistical significance: *</w:t>
      </w:r>
      <w:r w:rsidR="00AE4FC6" w:rsidRPr="00491AD3">
        <w:rPr>
          <w:rFonts w:ascii="Arial" w:hAnsi="Arial" w:cs="Arial"/>
          <w:i/>
          <w:iCs/>
        </w:rPr>
        <w:t>P</w:t>
      </w:r>
      <w:r w:rsidR="00AE4FC6" w:rsidRPr="00491AD3">
        <w:rPr>
          <w:rFonts w:ascii="Arial" w:hAnsi="Arial" w:cs="Arial"/>
        </w:rPr>
        <w:t xml:space="preserve"> &lt; 0.05, **</w:t>
      </w:r>
      <w:r w:rsidR="00AE4FC6" w:rsidRPr="00491AD3">
        <w:rPr>
          <w:rFonts w:ascii="Arial" w:hAnsi="Arial" w:cs="Arial"/>
          <w:i/>
          <w:iCs/>
        </w:rPr>
        <w:t>P</w:t>
      </w:r>
      <w:r w:rsidR="00AE4FC6" w:rsidRPr="00491AD3">
        <w:rPr>
          <w:rFonts w:ascii="Arial" w:hAnsi="Arial" w:cs="Arial"/>
        </w:rPr>
        <w:t xml:space="preserve"> &lt; 0.01, ***</w:t>
      </w:r>
      <w:r w:rsidR="00AE4FC6" w:rsidRPr="00491AD3">
        <w:rPr>
          <w:rFonts w:ascii="Arial" w:hAnsi="Arial" w:cs="Arial"/>
          <w:i/>
          <w:iCs/>
        </w:rPr>
        <w:t>P</w:t>
      </w:r>
      <w:r w:rsidR="00AE4FC6" w:rsidRPr="00491AD3">
        <w:rPr>
          <w:rFonts w:ascii="Arial" w:hAnsi="Arial" w:cs="Arial"/>
        </w:rPr>
        <w:t xml:space="preserve"> &lt; 0.001, ****</w:t>
      </w:r>
      <w:r w:rsidR="00AE4FC6" w:rsidRPr="00491AD3">
        <w:rPr>
          <w:rFonts w:ascii="Arial" w:hAnsi="Arial" w:cs="Arial"/>
          <w:i/>
          <w:iCs/>
        </w:rPr>
        <w:t>P</w:t>
      </w:r>
      <w:r w:rsidR="00AE4FC6" w:rsidRPr="00491AD3">
        <w:rPr>
          <w:rFonts w:ascii="Arial" w:hAnsi="Arial" w:cs="Arial"/>
        </w:rPr>
        <w:t xml:space="preserve"> &lt; 0.0001. </w:t>
      </w:r>
      <w:r w:rsidR="00D53A0E">
        <w:rPr>
          <w:rFonts w:ascii="Arial" w:hAnsi="Arial" w:cs="Arial" w:hint="eastAsia"/>
        </w:rPr>
        <w:t xml:space="preserve">The white matter </w:t>
      </w:r>
      <w:r w:rsidR="00D53A0E" w:rsidRPr="0079575E">
        <w:rPr>
          <w:rFonts w:ascii="Arial" w:hAnsi="Arial" w:cs="Arial"/>
        </w:rPr>
        <w:t>traits with significant m</w:t>
      </w:r>
      <w:r w:rsidR="00D53A0E">
        <w:rPr>
          <w:rFonts w:ascii="Arial" w:hAnsi="Arial" w:cs="Arial" w:hint="eastAsia"/>
        </w:rPr>
        <w:t>ediating effects</w:t>
      </w:r>
      <w:r w:rsidR="00D53A0E" w:rsidRPr="0079575E">
        <w:rPr>
          <w:rFonts w:ascii="Arial" w:hAnsi="Arial" w:cs="Arial"/>
        </w:rPr>
        <w:t xml:space="preserve"> were visualized via the ggseg3d package in R.</w:t>
      </w:r>
      <w:r w:rsidR="00D53A0E">
        <w:rPr>
          <w:rFonts w:ascii="Arial" w:hAnsi="Arial" w:cs="Arial" w:hint="eastAsia"/>
        </w:rPr>
        <w:t xml:space="preserve"> </w:t>
      </w:r>
      <w:r w:rsidR="00AE4FC6" w:rsidRPr="00491AD3">
        <w:rPr>
          <w:rFonts w:ascii="Arial" w:hAnsi="Arial" w:cs="Arial"/>
        </w:rPr>
        <w:t xml:space="preserve">Abbreviations: </w:t>
      </w:r>
      <w:r w:rsidR="00AE4FC6" w:rsidRPr="004D776C">
        <w:rPr>
          <w:rFonts w:ascii="Arial" w:hAnsi="Arial" w:cs="Arial"/>
          <w:i/>
          <w:iCs/>
        </w:rPr>
        <w:t>APOE4</w:t>
      </w:r>
      <w:r w:rsidR="00AE4FC6" w:rsidRPr="00491AD3">
        <w:rPr>
          <w:rFonts w:ascii="Arial" w:hAnsi="Arial" w:cs="Arial"/>
        </w:rPr>
        <w:t xml:space="preserve">, </w:t>
      </w:r>
      <w:r w:rsidR="006F7A33" w:rsidRPr="00491AD3">
        <w:rPr>
          <w:rFonts w:ascii="Arial" w:hAnsi="Arial" w:cs="Arial"/>
        </w:rPr>
        <w:t>A</w:t>
      </w:r>
      <w:r w:rsidR="00AE4FC6" w:rsidRPr="00491AD3">
        <w:rPr>
          <w:rFonts w:ascii="Arial" w:hAnsi="Arial" w:cs="Arial"/>
        </w:rPr>
        <w:t>polipoprotein E ε4; ACME, average causal mediation effect; CC, corpus callosum; MCP, middle cerebellar peduncle; PTR, posterior thalamic radiation; SCR, superior co</w:t>
      </w:r>
      <w:r w:rsidR="00AE4FC6" w:rsidRPr="00AE4FC6">
        <w:rPr>
          <w:rFonts w:ascii="Arial" w:hAnsi="Arial" w:cs="Arial" w:hint="eastAsia"/>
        </w:rPr>
        <w:t xml:space="preserve">rona radiata; SS, sagittal stratum; </w:t>
      </w:r>
      <w:proofErr w:type="spellStart"/>
      <w:r w:rsidR="00AE4FC6" w:rsidRPr="00AE4FC6">
        <w:rPr>
          <w:rFonts w:ascii="Arial" w:hAnsi="Arial" w:cs="Arial" w:hint="eastAsia"/>
        </w:rPr>
        <w:t>VaD</w:t>
      </w:r>
      <w:proofErr w:type="spellEnd"/>
      <w:r w:rsidR="00AE4FC6" w:rsidRPr="00AE4FC6">
        <w:rPr>
          <w:rFonts w:ascii="Arial" w:hAnsi="Arial" w:cs="Arial" w:hint="eastAsia"/>
        </w:rPr>
        <w:t>, vascular dementia.</w:t>
      </w:r>
    </w:p>
    <w:p w14:paraId="747F6231" w14:textId="77777777" w:rsidR="00DF113D" w:rsidRDefault="00DF113D" w:rsidP="00AE4FC6">
      <w:pPr>
        <w:jc w:val="both"/>
        <w:rPr>
          <w:rFonts w:ascii="Arial" w:hAnsi="Arial" w:cs="Arial"/>
        </w:rPr>
      </w:pPr>
    </w:p>
    <w:p w14:paraId="164C7438" w14:textId="77777777" w:rsidR="00DF113D" w:rsidRDefault="00DF113D" w:rsidP="00AE4FC6">
      <w:pPr>
        <w:jc w:val="both"/>
        <w:rPr>
          <w:rFonts w:ascii="Arial" w:hAnsi="Arial" w:cs="Arial"/>
        </w:rPr>
      </w:pPr>
    </w:p>
    <w:p w14:paraId="141E4B20" w14:textId="77777777" w:rsidR="00DF113D" w:rsidRDefault="00DF113D" w:rsidP="00AE4FC6">
      <w:pPr>
        <w:jc w:val="both"/>
        <w:rPr>
          <w:rFonts w:ascii="Arial" w:hAnsi="Arial" w:cs="Arial"/>
        </w:rPr>
      </w:pPr>
    </w:p>
    <w:p w14:paraId="2A44FC66" w14:textId="77777777" w:rsidR="00DF113D" w:rsidRDefault="00DF113D" w:rsidP="00AE4FC6">
      <w:pPr>
        <w:jc w:val="both"/>
        <w:rPr>
          <w:rFonts w:ascii="Arial" w:hAnsi="Arial" w:cs="Arial"/>
        </w:rPr>
      </w:pPr>
    </w:p>
    <w:p w14:paraId="42928568" w14:textId="77777777" w:rsidR="00DF113D" w:rsidRDefault="00DF113D" w:rsidP="00AE4FC6">
      <w:pPr>
        <w:jc w:val="both"/>
        <w:rPr>
          <w:rFonts w:ascii="Arial" w:hAnsi="Arial" w:cs="Arial"/>
        </w:rPr>
      </w:pPr>
    </w:p>
    <w:p w14:paraId="5B872A67" w14:textId="77777777" w:rsidR="00DF113D" w:rsidRDefault="00DF113D" w:rsidP="00AE4FC6">
      <w:pPr>
        <w:jc w:val="both"/>
        <w:rPr>
          <w:rFonts w:ascii="Arial" w:hAnsi="Arial" w:cs="Arial"/>
        </w:rPr>
      </w:pPr>
    </w:p>
    <w:p w14:paraId="276BB116" w14:textId="77777777" w:rsidR="00DF113D" w:rsidRDefault="00DF113D" w:rsidP="00AE4FC6">
      <w:pPr>
        <w:jc w:val="both"/>
        <w:rPr>
          <w:rFonts w:ascii="Arial" w:hAnsi="Arial" w:cs="Arial"/>
        </w:rPr>
      </w:pPr>
    </w:p>
    <w:p w14:paraId="56988B85" w14:textId="77777777" w:rsidR="00DF113D" w:rsidRDefault="00DF113D" w:rsidP="00AE4FC6">
      <w:pPr>
        <w:jc w:val="both"/>
        <w:rPr>
          <w:rFonts w:ascii="Arial" w:hAnsi="Arial" w:cs="Arial"/>
        </w:rPr>
      </w:pPr>
    </w:p>
    <w:p w14:paraId="6DE33091" w14:textId="3A9321C6" w:rsidR="00DF113D" w:rsidRPr="00D44037" w:rsidRDefault="00AE6410" w:rsidP="00DF113D">
      <w:pPr>
        <w:jc w:val="both"/>
        <w:rPr>
          <w:rFonts w:ascii="Arial" w:hAnsi="Arial" w:cs="Arial"/>
        </w:rPr>
      </w:pPr>
      <w:bookmarkStart w:id="1" w:name="OLE_LINK136"/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AED4B21" wp14:editId="1983743D">
            <wp:simplePos x="0" y="0"/>
            <wp:positionH relativeFrom="column">
              <wp:posOffset>-1053</wp:posOffset>
            </wp:positionH>
            <wp:positionV relativeFrom="paragraph">
              <wp:posOffset>0</wp:posOffset>
            </wp:positionV>
            <wp:extent cx="5274310" cy="3893185"/>
            <wp:effectExtent l="0" t="0" r="2540" b="0"/>
            <wp:wrapTopAndBottom/>
            <wp:docPr id="4404188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13D" w:rsidRPr="00AE4FC6">
        <w:rPr>
          <w:rFonts w:ascii="Arial" w:hAnsi="Arial" w:cs="Arial" w:hint="eastAsia"/>
          <w:b/>
          <w:bCs/>
        </w:rPr>
        <w:t xml:space="preserve">Supplementary Figure </w:t>
      </w:r>
      <w:r w:rsidR="00DF113D">
        <w:rPr>
          <w:rFonts w:ascii="Arial" w:hAnsi="Arial" w:cs="Arial" w:hint="eastAsia"/>
          <w:b/>
          <w:bCs/>
        </w:rPr>
        <w:t>2</w:t>
      </w:r>
      <w:bookmarkEnd w:id="1"/>
      <w:r w:rsidR="00DF113D" w:rsidRPr="00AE4FC6">
        <w:rPr>
          <w:rFonts w:ascii="Arial" w:hAnsi="Arial" w:cs="Arial" w:hint="eastAsia"/>
          <w:b/>
          <w:bCs/>
        </w:rPr>
        <w:t xml:space="preserve">. </w:t>
      </w:r>
      <w:r w:rsidR="00B226FA">
        <w:rPr>
          <w:rFonts w:ascii="Arial" w:hAnsi="Arial" w:cs="Arial" w:hint="eastAsia"/>
          <w:b/>
          <w:bCs/>
        </w:rPr>
        <w:t>M</w:t>
      </w:r>
      <w:r w:rsidR="00015C81">
        <w:rPr>
          <w:rFonts w:ascii="Arial" w:hAnsi="Arial" w:cs="Arial" w:hint="eastAsia"/>
          <w:b/>
          <w:bCs/>
        </w:rPr>
        <w:t xml:space="preserve">etabolite-based </w:t>
      </w:r>
      <w:r w:rsidR="00B226FA">
        <w:rPr>
          <w:rFonts w:ascii="Arial" w:hAnsi="Arial" w:cs="Arial" w:hint="eastAsia"/>
          <w:b/>
          <w:bCs/>
        </w:rPr>
        <w:t xml:space="preserve">predictive </w:t>
      </w:r>
      <w:r w:rsidR="00DF113D" w:rsidRPr="001035BE">
        <w:rPr>
          <w:rFonts w:ascii="Arial" w:hAnsi="Arial" w:cs="Arial" w:hint="eastAsia"/>
          <w:b/>
          <w:bCs/>
        </w:rPr>
        <w:t xml:space="preserve">models for incident ACD, AD and </w:t>
      </w:r>
      <w:proofErr w:type="spellStart"/>
      <w:r w:rsidR="00DF113D" w:rsidRPr="001035BE">
        <w:rPr>
          <w:rFonts w:ascii="Arial" w:hAnsi="Arial" w:cs="Arial" w:hint="eastAsia"/>
          <w:b/>
          <w:bCs/>
        </w:rPr>
        <w:t>VaD</w:t>
      </w:r>
      <w:proofErr w:type="spellEnd"/>
      <w:r w:rsidR="00DF113D" w:rsidRPr="001035BE">
        <w:rPr>
          <w:rFonts w:ascii="Arial" w:hAnsi="Arial" w:cs="Arial" w:hint="eastAsia"/>
          <w:b/>
          <w:bCs/>
        </w:rPr>
        <w:t xml:space="preserve"> in </w:t>
      </w:r>
      <w:r w:rsidR="00DF113D" w:rsidRPr="001035BE">
        <w:rPr>
          <w:rFonts w:ascii="Arial" w:hAnsi="Arial" w:cs="Arial" w:hint="eastAsia"/>
          <w:b/>
          <w:bCs/>
          <w:i/>
          <w:iCs/>
        </w:rPr>
        <w:t>APOE4</w:t>
      </w:r>
      <w:r w:rsidR="00DF113D" w:rsidRPr="001035BE">
        <w:rPr>
          <w:rFonts w:ascii="Arial" w:hAnsi="Arial" w:cs="Arial" w:hint="eastAsia"/>
          <w:b/>
          <w:bCs/>
        </w:rPr>
        <w:t xml:space="preserve"> heterozygotes and homozygotes.</w:t>
      </w:r>
      <w:r w:rsidR="00DF113D" w:rsidRPr="00D44037">
        <w:rPr>
          <w:rFonts w:ascii="Arial" w:hAnsi="Arial" w:cs="Arial" w:hint="eastAsia"/>
        </w:rPr>
        <w:t xml:space="preserve"> </w:t>
      </w:r>
      <w:r w:rsidR="004D04C9">
        <w:rPr>
          <w:rFonts w:ascii="Arial" w:hAnsi="Arial" w:cs="Arial" w:hint="eastAsia"/>
        </w:rPr>
        <w:t>Metabolite</w:t>
      </w:r>
      <w:r w:rsidR="00DF113D" w:rsidRPr="00377070">
        <w:rPr>
          <w:rFonts w:ascii="Arial" w:hAnsi="Arial" w:cs="Arial"/>
        </w:rPr>
        <w:t xml:space="preserve"> signatures were selected from top </w:t>
      </w:r>
      <w:r w:rsidR="00E111D5">
        <w:rPr>
          <w:rFonts w:ascii="Arial" w:hAnsi="Arial" w:cs="Arial" w:hint="eastAsia"/>
        </w:rPr>
        <w:t>outcome</w:t>
      </w:r>
      <w:r w:rsidR="00DF113D" w:rsidRPr="00377070">
        <w:rPr>
          <w:rFonts w:ascii="Arial" w:hAnsi="Arial" w:cs="Arial"/>
        </w:rPr>
        <w:t>-specific mediators: five markers for ACD (</w:t>
      </w:r>
      <w:r w:rsidR="004D04C9" w:rsidRPr="00756B19">
        <w:rPr>
          <w:rFonts w:ascii="Arial" w:hAnsi="Arial" w:cs="Arial"/>
        </w:rPr>
        <w:t>M-LDL-PL, M-LDL-FC, S-LDL-C, S-LDL-FC, S-LDL-TL</w:t>
      </w:r>
      <w:r w:rsidR="00DF113D" w:rsidRPr="00377070">
        <w:rPr>
          <w:rFonts w:ascii="Arial" w:hAnsi="Arial" w:cs="Arial"/>
        </w:rPr>
        <w:t xml:space="preserve">), </w:t>
      </w:r>
      <w:r w:rsidR="004D04C9">
        <w:rPr>
          <w:rFonts w:ascii="Arial" w:hAnsi="Arial" w:cs="Arial" w:hint="eastAsia"/>
        </w:rPr>
        <w:t>two</w:t>
      </w:r>
      <w:r w:rsidR="00DF113D" w:rsidRPr="00377070">
        <w:rPr>
          <w:rFonts w:ascii="Arial" w:hAnsi="Arial" w:cs="Arial"/>
        </w:rPr>
        <w:t xml:space="preserve"> for AD (</w:t>
      </w:r>
      <w:r w:rsidR="004D04C9" w:rsidRPr="00756B19">
        <w:rPr>
          <w:rFonts w:ascii="Arial" w:hAnsi="Arial" w:cs="Arial"/>
        </w:rPr>
        <w:t>Avg Diam of VLDL-Pts and L-LDL-CE%</w:t>
      </w:r>
      <w:r w:rsidR="00DF113D" w:rsidRPr="00377070">
        <w:rPr>
          <w:rFonts w:ascii="Arial" w:hAnsi="Arial" w:cs="Arial"/>
        </w:rPr>
        <w:t>), f</w:t>
      </w:r>
      <w:r w:rsidR="00F153F3">
        <w:rPr>
          <w:rFonts w:ascii="Arial" w:hAnsi="Arial" w:cs="Arial" w:hint="eastAsia"/>
        </w:rPr>
        <w:t>ive</w:t>
      </w:r>
      <w:r w:rsidR="00DF113D" w:rsidRPr="00377070">
        <w:rPr>
          <w:rFonts w:ascii="Arial" w:hAnsi="Arial" w:cs="Arial"/>
        </w:rPr>
        <w:t xml:space="preserve"> for </w:t>
      </w:r>
      <w:proofErr w:type="spellStart"/>
      <w:r w:rsidR="00DF113D" w:rsidRPr="00377070">
        <w:rPr>
          <w:rFonts w:ascii="Arial" w:hAnsi="Arial" w:cs="Arial"/>
        </w:rPr>
        <w:t>VaD</w:t>
      </w:r>
      <w:proofErr w:type="spellEnd"/>
      <w:r w:rsidR="00DF113D" w:rsidRPr="00377070">
        <w:rPr>
          <w:rFonts w:ascii="Arial" w:hAnsi="Arial" w:cs="Arial"/>
        </w:rPr>
        <w:t xml:space="preserve"> (</w:t>
      </w:r>
      <w:r w:rsidR="00F153F3" w:rsidRPr="00756B19">
        <w:rPr>
          <w:rFonts w:ascii="Arial" w:hAnsi="Arial" w:cs="Arial"/>
        </w:rPr>
        <w:t>M-LDL-FC, LDL-FC, L-LDL-FC, C-LDL-C, M-LDL-PL</w:t>
      </w:r>
      <w:r w:rsidR="00DF113D" w:rsidRPr="00377070">
        <w:rPr>
          <w:rFonts w:ascii="Arial" w:hAnsi="Arial" w:cs="Arial"/>
        </w:rPr>
        <w:t xml:space="preserve">). </w:t>
      </w:r>
      <w:r w:rsidR="007648FA" w:rsidRPr="00F560D0">
        <w:rPr>
          <w:rFonts w:ascii="Arial" w:hAnsi="Arial" w:cs="Arial"/>
        </w:rPr>
        <w:t>ROC curve analysis was used to assess the performance of the constructed prediction models</w:t>
      </w:r>
      <w:r w:rsidR="007648FA">
        <w:rPr>
          <w:rFonts w:ascii="Arial" w:hAnsi="Arial" w:cs="Arial" w:hint="eastAsia"/>
        </w:rPr>
        <w:t xml:space="preserve"> in </w:t>
      </w:r>
      <w:r w:rsidR="007648FA" w:rsidRPr="00076944">
        <w:rPr>
          <w:rFonts w:ascii="Arial" w:hAnsi="Arial" w:cs="Arial" w:hint="eastAsia"/>
          <w:i/>
          <w:iCs/>
        </w:rPr>
        <w:t>APOE4</w:t>
      </w:r>
      <w:r w:rsidR="007648FA">
        <w:rPr>
          <w:rFonts w:ascii="Arial" w:hAnsi="Arial" w:cs="Arial" w:hint="eastAsia"/>
        </w:rPr>
        <w:t xml:space="preserve"> </w:t>
      </w:r>
      <w:r w:rsidR="007648FA" w:rsidRPr="00076944">
        <w:rPr>
          <w:rFonts w:ascii="Arial" w:hAnsi="Arial" w:cs="Arial"/>
        </w:rPr>
        <w:t>heterozygotes</w:t>
      </w:r>
      <w:r w:rsidR="007648FA">
        <w:rPr>
          <w:rFonts w:ascii="Arial" w:hAnsi="Arial" w:cs="Arial" w:hint="eastAsia"/>
        </w:rPr>
        <w:t xml:space="preserve"> </w:t>
      </w:r>
      <w:bookmarkStart w:id="2" w:name="OLE_LINK6"/>
      <w:r w:rsidR="007648FA">
        <w:rPr>
          <w:rFonts w:ascii="Arial" w:hAnsi="Arial" w:cs="Arial" w:hint="eastAsia"/>
        </w:rPr>
        <w:t>(A)</w:t>
      </w:r>
      <w:bookmarkEnd w:id="2"/>
      <w:r w:rsidR="007648FA" w:rsidRPr="00076944">
        <w:rPr>
          <w:rFonts w:ascii="Arial" w:hAnsi="Arial" w:cs="Arial"/>
        </w:rPr>
        <w:t xml:space="preserve"> and homozygotes</w:t>
      </w:r>
      <w:r w:rsidR="007648FA">
        <w:rPr>
          <w:rFonts w:ascii="Arial" w:hAnsi="Arial" w:cs="Arial" w:hint="eastAsia"/>
        </w:rPr>
        <w:t xml:space="preserve"> (B)</w:t>
      </w:r>
      <w:r w:rsidR="007648FA" w:rsidRPr="00F560D0">
        <w:rPr>
          <w:rFonts w:ascii="Arial" w:hAnsi="Arial" w:cs="Arial"/>
        </w:rPr>
        <w:t>.</w:t>
      </w:r>
      <w:r w:rsidR="006976C4">
        <w:rPr>
          <w:rFonts w:ascii="Arial" w:hAnsi="Arial" w:cs="Arial" w:hint="eastAsia"/>
        </w:rPr>
        <w:t xml:space="preserve"> </w:t>
      </w:r>
      <w:r w:rsidR="00DF113D" w:rsidRPr="00D44037">
        <w:rPr>
          <w:rFonts w:ascii="Arial" w:hAnsi="Arial" w:cs="Arial" w:hint="eastAsia"/>
        </w:rPr>
        <w:t>Corresponding AUC values are labelled for each curve. Abbreviations: ACD, all-cause dementia; AD, Alzheimer</w:t>
      </w:r>
      <w:r w:rsidR="00DF113D" w:rsidRPr="00D44037">
        <w:rPr>
          <w:rFonts w:ascii="Arial" w:hAnsi="Arial" w:cs="Arial" w:hint="eastAsia"/>
        </w:rPr>
        <w:t>’</w:t>
      </w:r>
      <w:r w:rsidR="00DF113D" w:rsidRPr="00D44037">
        <w:rPr>
          <w:rFonts w:ascii="Arial" w:hAnsi="Arial" w:cs="Arial" w:hint="eastAsia"/>
        </w:rPr>
        <w:t xml:space="preserve">s disease; </w:t>
      </w:r>
      <w:proofErr w:type="spellStart"/>
      <w:r w:rsidR="00DF113D" w:rsidRPr="00D44037">
        <w:rPr>
          <w:rFonts w:ascii="Arial" w:hAnsi="Arial" w:cs="Arial" w:hint="eastAsia"/>
        </w:rPr>
        <w:t>VaD</w:t>
      </w:r>
      <w:proofErr w:type="spellEnd"/>
      <w:r w:rsidR="00DF113D" w:rsidRPr="00D44037">
        <w:rPr>
          <w:rFonts w:ascii="Arial" w:hAnsi="Arial" w:cs="Arial" w:hint="eastAsia"/>
        </w:rPr>
        <w:t>, vascular dementia; AUC, area under curve; ROC, receiver operating characteristic.</w:t>
      </w:r>
    </w:p>
    <w:p w14:paraId="5149C425" w14:textId="610FBD64" w:rsidR="00DF113D" w:rsidRDefault="00DF113D" w:rsidP="00AE4FC6">
      <w:pPr>
        <w:jc w:val="both"/>
        <w:rPr>
          <w:rFonts w:ascii="Arial" w:hAnsi="Arial" w:cs="Arial"/>
        </w:rPr>
      </w:pPr>
    </w:p>
    <w:p w14:paraId="332C10C2" w14:textId="77777777" w:rsidR="00DF113D" w:rsidRDefault="00DF113D" w:rsidP="00AE4FC6">
      <w:pPr>
        <w:jc w:val="both"/>
        <w:rPr>
          <w:rFonts w:ascii="Arial" w:hAnsi="Arial" w:cs="Arial"/>
        </w:rPr>
      </w:pPr>
    </w:p>
    <w:p w14:paraId="54042C4B" w14:textId="77777777" w:rsidR="00DF113D" w:rsidRPr="00DF113D" w:rsidRDefault="00DF113D" w:rsidP="00AE4FC6">
      <w:pPr>
        <w:jc w:val="both"/>
        <w:rPr>
          <w:rFonts w:ascii="Arial" w:hAnsi="Arial" w:cs="Arial"/>
        </w:rPr>
      </w:pPr>
    </w:p>
    <w:sectPr w:rsidR="00DF113D" w:rsidRPr="00DF11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17"/>
    <w:rsid w:val="0000632E"/>
    <w:rsid w:val="000108B4"/>
    <w:rsid w:val="00015C81"/>
    <w:rsid w:val="0005308D"/>
    <w:rsid w:val="00077268"/>
    <w:rsid w:val="0009797D"/>
    <w:rsid w:val="00127280"/>
    <w:rsid w:val="001B71D5"/>
    <w:rsid w:val="002049A7"/>
    <w:rsid w:val="0020711E"/>
    <w:rsid w:val="00225B81"/>
    <w:rsid w:val="00256E1D"/>
    <w:rsid w:val="002624D4"/>
    <w:rsid w:val="002B4E78"/>
    <w:rsid w:val="002F7D98"/>
    <w:rsid w:val="00343008"/>
    <w:rsid w:val="003816B9"/>
    <w:rsid w:val="003E5ED3"/>
    <w:rsid w:val="003F2241"/>
    <w:rsid w:val="003F4181"/>
    <w:rsid w:val="004219F8"/>
    <w:rsid w:val="00463708"/>
    <w:rsid w:val="00491AD3"/>
    <w:rsid w:val="00497D56"/>
    <w:rsid w:val="004D04C9"/>
    <w:rsid w:val="004D776C"/>
    <w:rsid w:val="00512663"/>
    <w:rsid w:val="00531AC7"/>
    <w:rsid w:val="00537AEC"/>
    <w:rsid w:val="005608BF"/>
    <w:rsid w:val="0058009C"/>
    <w:rsid w:val="005B042C"/>
    <w:rsid w:val="005E051F"/>
    <w:rsid w:val="00632249"/>
    <w:rsid w:val="006976C4"/>
    <w:rsid w:val="006F7A33"/>
    <w:rsid w:val="00742F30"/>
    <w:rsid w:val="007648FA"/>
    <w:rsid w:val="007C3AF6"/>
    <w:rsid w:val="00827D7D"/>
    <w:rsid w:val="008553E1"/>
    <w:rsid w:val="008718E6"/>
    <w:rsid w:val="00876A43"/>
    <w:rsid w:val="008971E1"/>
    <w:rsid w:val="008B3EAA"/>
    <w:rsid w:val="008D13FB"/>
    <w:rsid w:val="008D642B"/>
    <w:rsid w:val="00906513"/>
    <w:rsid w:val="00930EDB"/>
    <w:rsid w:val="00956866"/>
    <w:rsid w:val="00A81FF6"/>
    <w:rsid w:val="00AE4FC6"/>
    <w:rsid w:val="00AE6410"/>
    <w:rsid w:val="00AF03F3"/>
    <w:rsid w:val="00B226FA"/>
    <w:rsid w:val="00B72D17"/>
    <w:rsid w:val="00B83E82"/>
    <w:rsid w:val="00BB717E"/>
    <w:rsid w:val="00BC0FE1"/>
    <w:rsid w:val="00C660BB"/>
    <w:rsid w:val="00C83E40"/>
    <w:rsid w:val="00C844EC"/>
    <w:rsid w:val="00CF34C7"/>
    <w:rsid w:val="00D03CF9"/>
    <w:rsid w:val="00D410D9"/>
    <w:rsid w:val="00D50B5F"/>
    <w:rsid w:val="00D53A0E"/>
    <w:rsid w:val="00D72E45"/>
    <w:rsid w:val="00DA2F12"/>
    <w:rsid w:val="00DB2635"/>
    <w:rsid w:val="00DF113D"/>
    <w:rsid w:val="00E111D5"/>
    <w:rsid w:val="00E17783"/>
    <w:rsid w:val="00EB6519"/>
    <w:rsid w:val="00EC685D"/>
    <w:rsid w:val="00EE2B3A"/>
    <w:rsid w:val="00EF788C"/>
    <w:rsid w:val="00F153F3"/>
    <w:rsid w:val="00FC08B8"/>
    <w:rsid w:val="00FF0953"/>
    <w:rsid w:val="00FF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578EB7"/>
  <w14:discardImageEditingData/>
  <w14:defaultImageDpi w14:val="32767"/>
  <w15:chartTrackingRefBased/>
  <w15:docId w15:val="{CFC2062E-9BE5-440F-93B5-D148F5D2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2D1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72D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D1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D1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D1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D1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D1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D1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2D1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2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B72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2D1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2D1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72D1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2D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2D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2D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2D1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2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D1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2D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2D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D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2D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2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2D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2D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Zhichun Chen</dc:creator>
  <cp:keywords/>
  <dc:description/>
  <cp:lastModifiedBy>Zhichun Chen</cp:lastModifiedBy>
  <cp:revision>20</cp:revision>
  <dcterms:created xsi:type="dcterms:W3CDTF">2026-06-07T06:40:00Z</dcterms:created>
  <dcterms:modified xsi:type="dcterms:W3CDTF">2026-09-28T15:53:00Z</dcterms:modified>
</cp:coreProperties>
</file>