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5D13F3" w14:textId="0CB5C4B2" w:rsidR="0037095E" w:rsidRDefault="00C60545" w:rsidP="00C60545">
      <w:pPr>
        <w:jc w:val="center"/>
      </w:pPr>
      <w:r>
        <w:drawing>
          <wp:inline distT="0" distB="0" distL="0" distR="0" wp14:anchorId="3037D842" wp14:editId="1B932604">
            <wp:extent cx="6661150" cy="4203700"/>
            <wp:effectExtent l="0" t="0" r="635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420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799D6" w14:textId="4B5313EF" w:rsidR="00C60545" w:rsidRDefault="00C60545" w:rsidP="003B4F5E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167B83">
        <w:rPr>
          <w:rFonts w:ascii="Times New Roman" w:hAnsi="Times New Roman" w:cs="Times New Roman"/>
          <w:sz w:val="24"/>
          <w:szCs w:val="24"/>
        </w:rPr>
        <w:t>Fig</w:t>
      </w:r>
      <w:r w:rsidR="00CC098B">
        <w:rPr>
          <w:rFonts w:ascii="Times New Roman" w:hAnsi="Times New Roman" w:cs="Times New Roman"/>
          <w:sz w:val="24"/>
          <w:szCs w:val="24"/>
        </w:rPr>
        <w:t>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7B83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167B83">
        <w:rPr>
          <w:rFonts w:ascii="Times New Roman" w:hAnsi="Times New Roman" w:cs="Times New Roman"/>
          <w:sz w:val="24"/>
          <w:szCs w:val="24"/>
        </w:rPr>
        <w:t>.</w:t>
      </w:r>
      <w:r w:rsidRPr="00167B83">
        <w:rPr>
          <w:rFonts w:ascii="Times New Roman" w:hAnsi="Times New Roman" w:cs="Times New Roman" w:hint="eastAsia"/>
          <w:sz w:val="24"/>
          <w:szCs w:val="24"/>
        </w:rPr>
        <w:t xml:space="preserve"> Comparison </w:t>
      </w:r>
      <w:r w:rsidRPr="00167B83">
        <w:rPr>
          <w:rFonts w:ascii="Times New Roman" w:hAnsi="Times New Roman" w:cs="Times New Roman"/>
          <w:sz w:val="24"/>
          <w:szCs w:val="24"/>
        </w:rPr>
        <w:t xml:space="preserve">of </w:t>
      </w:r>
      <w:r w:rsidRPr="00167B83">
        <w:rPr>
          <w:rFonts w:ascii="Times New Roman" w:hAnsi="Times New Roman" w:cs="Times New Roman" w:hint="eastAsia"/>
          <w:sz w:val="24"/>
          <w:szCs w:val="24"/>
        </w:rPr>
        <w:t>multi-sequence alignments between original annotation</w:t>
      </w:r>
      <w:r w:rsidRPr="00167B83">
        <w:rPr>
          <w:rFonts w:ascii="Times New Roman" w:hAnsi="Times New Roman" w:cs="Times New Roman"/>
          <w:sz w:val="24"/>
          <w:szCs w:val="24"/>
        </w:rPr>
        <w:t xml:space="preserve"> sequences</w:t>
      </w:r>
      <w:r w:rsidRPr="00167B83">
        <w:rPr>
          <w:rFonts w:ascii="Times New Roman" w:hAnsi="Times New Roman" w:cs="Times New Roman" w:hint="eastAsia"/>
          <w:sz w:val="24"/>
          <w:szCs w:val="24"/>
        </w:rPr>
        <w:t xml:space="preserve"> in the database (</w:t>
      </w:r>
      <w:r w:rsidR="00F85E87">
        <w:rPr>
          <w:rFonts w:ascii="Times New Roman" w:hAnsi="Times New Roman" w:cs="Times New Roman"/>
          <w:sz w:val="24"/>
          <w:szCs w:val="24"/>
        </w:rPr>
        <w:t>a</w:t>
      </w:r>
      <w:r w:rsidRPr="00167B83">
        <w:rPr>
          <w:rFonts w:ascii="Times New Roman" w:hAnsi="Times New Roman" w:cs="Times New Roman" w:hint="eastAsia"/>
          <w:sz w:val="24"/>
          <w:szCs w:val="24"/>
        </w:rPr>
        <w:t xml:space="preserve">) and amino acid sequences that deduced </w:t>
      </w:r>
      <w:r w:rsidRPr="00167B83">
        <w:rPr>
          <w:rFonts w:ascii="Times New Roman" w:hAnsi="Times New Roman" w:cs="Times New Roman"/>
          <w:sz w:val="24"/>
          <w:szCs w:val="24"/>
        </w:rPr>
        <w:t>by</w:t>
      </w:r>
      <w:r w:rsidRPr="00167B8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67B83">
        <w:rPr>
          <w:rFonts w:ascii="Times New Roman" w:hAnsi="Times New Roman" w:cs="Times New Roman"/>
          <w:sz w:val="24"/>
          <w:szCs w:val="24"/>
        </w:rPr>
        <w:t>adjust</w:t>
      </w:r>
      <w:r w:rsidRPr="00167B83">
        <w:rPr>
          <w:rFonts w:ascii="Times New Roman" w:hAnsi="Times New Roman" w:cs="Times New Roman" w:hint="eastAsia"/>
          <w:sz w:val="24"/>
          <w:szCs w:val="24"/>
        </w:rPr>
        <w:t>ing the exon-intron boundaries (</w:t>
      </w:r>
      <w:r w:rsidR="00F85E87">
        <w:rPr>
          <w:rFonts w:ascii="Times New Roman" w:hAnsi="Times New Roman" w:cs="Times New Roman"/>
          <w:sz w:val="24"/>
          <w:szCs w:val="24"/>
        </w:rPr>
        <w:t>b</w:t>
      </w:r>
      <w:r w:rsidRPr="00167B83">
        <w:rPr>
          <w:rFonts w:ascii="Times New Roman" w:hAnsi="Times New Roman" w:cs="Times New Roman" w:hint="eastAsia"/>
          <w:sz w:val="24"/>
          <w:szCs w:val="24"/>
        </w:rPr>
        <w:t>) of</w:t>
      </w:r>
      <w:r w:rsidRPr="00167B83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Pr="00167B83">
        <w:rPr>
          <w:rFonts w:ascii="Times New Roman" w:hAnsi="Times New Roman" w:cs="Times New Roman"/>
          <w:i/>
          <w:iCs/>
          <w:sz w:val="24"/>
          <w:szCs w:val="24"/>
        </w:rPr>
        <w:t>atp</w:t>
      </w:r>
      <w:r w:rsidRPr="00167B83">
        <w:rPr>
          <w:rFonts w:ascii="Times New Roman" w:hAnsi="Times New Roman" w:cs="Times New Roman"/>
          <w:sz w:val="24"/>
          <w:szCs w:val="24"/>
        </w:rPr>
        <w:t>F</w:t>
      </w:r>
      <w:r w:rsidRPr="00167B83">
        <w:rPr>
          <w:rFonts w:ascii="Times New Roman" w:hAnsi="Times New Roman" w:cs="Times New Roman" w:hint="eastAsia"/>
          <w:sz w:val="24"/>
          <w:szCs w:val="24"/>
        </w:rPr>
        <w:t>.</w:t>
      </w:r>
    </w:p>
    <w:p w14:paraId="261807F3" w14:textId="1EFD7DF6" w:rsidR="00DB502F" w:rsidRDefault="00DB502F" w:rsidP="00DB502F">
      <w:pPr>
        <w:spacing w:beforeLines="50" w:before="156" w:afterLines="50" w:after="156" w:line="360" w:lineRule="auto"/>
        <w:jc w:val="center"/>
      </w:pPr>
      <w:r>
        <w:lastRenderedPageBreak/>
        <w:drawing>
          <wp:inline distT="0" distB="0" distL="0" distR="0" wp14:anchorId="00F3ACF9" wp14:editId="1F3F7F69">
            <wp:extent cx="6807302" cy="3690694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8206" cy="369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0CD410" w14:textId="7371AE6D" w:rsidR="00DB502F" w:rsidRPr="00167B83" w:rsidRDefault="00DB502F" w:rsidP="00DB502F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S5</w:t>
      </w:r>
      <w:r w:rsidRPr="00167B83">
        <w:rPr>
          <w:rFonts w:ascii="Times New Roman" w:hAnsi="Times New Roman" w:cs="Times New Roman"/>
          <w:sz w:val="24"/>
          <w:szCs w:val="24"/>
        </w:rPr>
        <w:t xml:space="preserve">. </w:t>
      </w:r>
      <w:r w:rsidRPr="00167B83">
        <w:rPr>
          <w:rFonts w:ascii="Times New Roman" w:hAnsi="Times New Roman" w:cs="Times New Roman" w:hint="eastAsia"/>
          <w:sz w:val="24"/>
          <w:szCs w:val="24"/>
        </w:rPr>
        <w:t xml:space="preserve">Comparison </w:t>
      </w:r>
      <w:r w:rsidRPr="00167B83">
        <w:rPr>
          <w:rFonts w:ascii="Times New Roman" w:hAnsi="Times New Roman" w:cs="Times New Roman"/>
          <w:sz w:val="24"/>
          <w:szCs w:val="24"/>
        </w:rPr>
        <w:t xml:space="preserve">of </w:t>
      </w:r>
      <w:r w:rsidRPr="00167B83">
        <w:rPr>
          <w:rFonts w:ascii="Times New Roman" w:hAnsi="Times New Roman" w:cs="Times New Roman" w:hint="eastAsia"/>
          <w:sz w:val="24"/>
          <w:szCs w:val="24"/>
        </w:rPr>
        <w:t>multi-sequence alignments between original annotation</w:t>
      </w:r>
      <w:r w:rsidRPr="00167B83">
        <w:rPr>
          <w:rFonts w:ascii="Times New Roman" w:hAnsi="Times New Roman" w:cs="Times New Roman"/>
          <w:sz w:val="24"/>
          <w:szCs w:val="24"/>
        </w:rPr>
        <w:t xml:space="preserve"> sequences</w:t>
      </w:r>
      <w:r w:rsidRPr="00167B83">
        <w:rPr>
          <w:rFonts w:ascii="Times New Roman" w:hAnsi="Times New Roman" w:cs="Times New Roman" w:hint="eastAsia"/>
          <w:sz w:val="24"/>
          <w:szCs w:val="24"/>
        </w:rPr>
        <w:t xml:space="preserve"> in the database (</w:t>
      </w:r>
      <w:r w:rsidR="00F85E87">
        <w:rPr>
          <w:rFonts w:ascii="Times New Roman" w:hAnsi="Times New Roman" w:cs="Times New Roman"/>
          <w:sz w:val="24"/>
          <w:szCs w:val="24"/>
        </w:rPr>
        <w:t>a</w:t>
      </w:r>
      <w:r w:rsidRPr="00167B83">
        <w:rPr>
          <w:rFonts w:ascii="Times New Roman" w:hAnsi="Times New Roman" w:cs="Times New Roman" w:hint="eastAsia"/>
          <w:sz w:val="24"/>
          <w:szCs w:val="24"/>
        </w:rPr>
        <w:t xml:space="preserve">) and amino acid sequences that deduced </w:t>
      </w:r>
      <w:r w:rsidRPr="00167B83">
        <w:rPr>
          <w:rFonts w:ascii="Times New Roman" w:hAnsi="Times New Roman" w:cs="Times New Roman"/>
          <w:sz w:val="24"/>
          <w:szCs w:val="24"/>
        </w:rPr>
        <w:t>by</w:t>
      </w:r>
      <w:r w:rsidRPr="00167B8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67B83">
        <w:rPr>
          <w:rFonts w:ascii="Times New Roman" w:hAnsi="Times New Roman" w:cs="Times New Roman"/>
          <w:sz w:val="24"/>
          <w:szCs w:val="24"/>
        </w:rPr>
        <w:t>adjust</w:t>
      </w:r>
      <w:r w:rsidRPr="00167B83">
        <w:rPr>
          <w:rFonts w:ascii="Times New Roman" w:hAnsi="Times New Roman" w:cs="Times New Roman" w:hint="eastAsia"/>
          <w:sz w:val="24"/>
          <w:szCs w:val="24"/>
        </w:rPr>
        <w:t>ing the exon-intron boundaries (</w:t>
      </w:r>
      <w:r w:rsidR="00F85E87">
        <w:rPr>
          <w:rFonts w:ascii="Times New Roman" w:hAnsi="Times New Roman" w:cs="Times New Roman"/>
          <w:sz w:val="24"/>
          <w:szCs w:val="24"/>
        </w:rPr>
        <w:t>b</w:t>
      </w:r>
      <w:r w:rsidRPr="00167B83">
        <w:rPr>
          <w:rFonts w:ascii="Times New Roman" w:hAnsi="Times New Roman" w:cs="Times New Roman" w:hint="eastAsia"/>
          <w:sz w:val="24"/>
          <w:szCs w:val="24"/>
        </w:rPr>
        <w:t>) of</w:t>
      </w:r>
      <w:r w:rsidRPr="00167B83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proofErr w:type="spellStart"/>
      <w:r w:rsidRPr="00167B83">
        <w:rPr>
          <w:rFonts w:ascii="Times New Roman" w:hAnsi="Times New Roman" w:cs="Times New Roman"/>
          <w:i/>
          <w:iCs/>
          <w:sz w:val="24"/>
          <w:szCs w:val="24"/>
        </w:rPr>
        <w:t>ccs</w:t>
      </w:r>
      <w:r w:rsidRPr="00167B83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167B83">
        <w:rPr>
          <w:rFonts w:ascii="Times New Roman" w:hAnsi="Times New Roman" w:cs="Times New Roman"/>
          <w:sz w:val="24"/>
          <w:szCs w:val="24"/>
        </w:rPr>
        <w:t xml:space="preserve"> (partial)</w:t>
      </w:r>
      <w:r w:rsidRPr="00167B83">
        <w:rPr>
          <w:rFonts w:ascii="Times New Roman" w:hAnsi="Times New Roman" w:cs="Times New Roman" w:hint="eastAsia"/>
          <w:sz w:val="24"/>
          <w:szCs w:val="24"/>
        </w:rPr>
        <w:t>.</w:t>
      </w:r>
    </w:p>
    <w:p w14:paraId="7DD61484" w14:textId="77777777" w:rsidR="00DB502F" w:rsidRPr="00F85E87" w:rsidRDefault="00DB502F" w:rsidP="00DB502F">
      <w:pPr>
        <w:spacing w:beforeLines="50" w:before="156" w:afterLines="50" w:after="156" w:line="360" w:lineRule="auto"/>
        <w:jc w:val="center"/>
        <w:rPr>
          <w:rFonts w:hint="eastAsia"/>
        </w:rPr>
      </w:pPr>
    </w:p>
    <w:sectPr w:rsidR="00DB502F" w:rsidRPr="00F85E87" w:rsidSect="00C605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7ED0AF" w14:textId="77777777" w:rsidR="00C60545" w:rsidRDefault="00C60545" w:rsidP="00C60545">
      <w:r>
        <w:separator/>
      </w:r>
    </w:p>
  </w:endnote>
  <w:endnote w:type="continuationSeparator" w:id="0">
    <w:p w14:paraId="5B48B2F9" w14:textId="77777777" w:rsidR="00C60545" w:rsidRDefault="00C60545" w:rsidP="00C60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2AE259" w14:textId="77777777" w:rsidR="00C60545" w:rsidRDefault="00C60545" w:rsidP="00C60545">
      <w:r>
        <w:separator/>
      </w:r>
    </w:p>
  </w:footnote>
  <w:footnote w:type="continuationSeparator" w:id="0">
    <w:p w14:paraId="2EACFA68" w14:textId="77777777" w:rsidR="00C60545" w:rsidRDefault="00C60545" w:rsidP="00C605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E88"/>
    <w:rsid w:val="0037095E"/>
    <w:rsid w:val="003B4F5E"/>
    <w:rsid w:val="006933A8"/>
    <w:rsid w:val="00BA0BBD"/>
    <w:rsid w:val="00C60545"/>
    <w:rsid w:val="00CC098B"/>
    <w:rsid w:val="00D20E88"/>
    <w:rsid w:val="00DB502F"/>
    <w:rsid w:val="00F85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5A73ED"/>
  <w15:chartTrackingRefBased/>
  <w15:docId w15:val="{CD306D9B-FA0A-4B81-8957-24C90A74B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A0B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1"/>
    <w:qFormat/>
    <w:rsid w:val="00BA0BBD"/>
    <w:rPr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BA0BBD"/>
    <w:rPr>
      <w:b/>
      <w:bCs/>
      <w:kern w:val="44"/>
      <w:sz w:val="44"/>
      <w:szCs w:val="44"/>
    </w:rPr>
  </w:style>
  <w:style w:type="paragraph" w:styleId="a4">
    <w:name w:val="header"/>
    <w:basedOn w:val="a"/>
    <w:link w:val="a5"/>
    <w:uiPriority w:val="99"/>
    <w:unhideWhenUsed/>
    <w:rsid w:val="00C605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6054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605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605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 潇潇</dc:creator>
  <cp:keywords/>
  <dc:description/>
  <cp:lastModifiedBy>邹 潇潇</cp:lastModifiedBy>
  <cp:revision>6</cp:revision>
  <dcterms:created xsi:type="dcterms:W3CDTF">2020-10-10T11:27:00Z</dcterms:created>
  <dcterms:modified xsi:type="dcterms:W3CDTF">2020-10-10T11:43:00Z</dcterms:modified>
</cp:coreProperties>
</file>