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B98E" w14:textId="717927B7" w:rsidR="00CF5878" w:rsidRDefault="005B6E5C">
      <w:pPr>
        <w:rPr>
          <w:rFonts w:hint="eastAsia"/>
        </w:rPr>
      </w:pPr>
      <w:r>
        <w:rPr>
          <w:rFonts w:ascii="Times New Roman" w:hAnsi="Times New Roman"/>
          <w:b/>
          <w:bCs/>
        </w:rPr>
        <w:t>e-Table 1. Physical characteristics, type of cardiac condition and Cardiovascular Risk Factors</w:t>
      </w:r>
      <w:r w:rsidR="00FD0296">
        <w:rPr>
          <w:rFonts w:ascii="Times New Roman" w:hAnsi="Times New Roman"/>
          <w:b/>
          <w:bCs/>
        </w:rPr>
        <w:t>.</w:t>
      </w:r>
    </w:p>
    <w:p w14:paraId="6DF845F0" w14:textId="77777777" w:rsidR="00CF5878" w:rsidRDefault="00CF5878">
      <w:pPr>
        <w:rPr>
          <w:rFonts w:ascii="Times New Roman" w:hAnsi="Times New Roman"/>
        </w:rPr>
      </w:pPr>
    </w:p>
    <w:tbl>
      <w:tblPr>
        <w:tblW w:w="80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8"/>
        <w:gridCol w:w="2972"/>
      </w:tblGrid>
      <w:tr w:rsidR="00CF5878" w14:paraId="5D6EE1A9" w14:textId="77777777">
        <w:trPr>
          <w:trHeight w:val="263"/>
        </w:trPr>
        <w:tc>
          <w:tcPr>
            <w:tcW w:w="806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68A001B8" w14:textId="77777777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>General features</w:t>
            </w:r>
          </w:p>
        </w:tc>
      </w:tr>
      <w:tr w:rsidR="00CF5878" w14:paraId="458924E8" w14:textId="77777777">
        <w:trPr>
          <w:trHeight w:val="263"/>
        </w:trPr>
        <w:tc>
          <w:tcPr>
            <w:tcW w:w="5097" w:type="dxa"/>
            <w:vAlign w:val="center"/>
          </w:tcPr>
          <w:p w14:paraId="01D3E6DE" w14:textId="77777777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>Sex (M/F)</w:t>
            </w:r>
          </w:p>
        </w:tc>
        <w:tc>
          <w:tcPr>
            <w:tcW w:w="2972" w:type="dxa"/>
            <w:vAlign w:val="center"/>
          </w:tcPr>
          <w:p w14:paraId="394C774A" w14:textId="2D6BD6C8" w:rsidR="00CF5878" w:rsidRDefault="005B6E5C">
            <w:pPr>
              <w:widowControl w:val="0"/>
              <w:rPr>
                <w:rFonts w:hint="eastAsia"/>
              </w:rPr>
            </w:pPr>
            <w:r>
              <w:rPr>
                <w:rFonts w:ascii="Times New Roman" w:eastAsia="MS Mincho" w:hAnsi="Times New Roman" w:cs="Times New Roman"/>
                <w:kern w:val="0"/>
                <w:lang w:val="es-ES" w:eastAsia="es-ES" w:bidi="ar-SA"/>
              </w:rPr>
              <w:t>1</w:t>
            </w:r>
            <w:r w:rsidR="00BE472F">
              <w:rPr>
                <w:rFonts w:ascii="Times New Roman" w:eastAsia="MS Mincho" w:hAnsi="Times New Roman" w:cs="Times New Roman"/>
                <w:kern w:val="0"/>
                <w:lang w:val="es-ES" w:eastAsia="es-ES" w:bidi="ar-SA"/>
              </w:rPr>
              <w:t>8</w:t>
            </w:r>
            <w:r w:rsidR="00F134AF">
              <w:rPr>
                <w:rFonts w:ascii="Times New Roman" w:eastAsia="MS Mincho" w:hAnsi="Times New Roman" w:cs="Times New Roman"/>
                <w:kern w:val="0"/>
                <w:lang w:val="es-ES" w:eastAsia="es-ES" w:bidi="ar-SA"/>
              </w:rPr>
              <w:t>5</w:t>
            </w:r>
            <w:r>
              <w:rPr>
                <w:rFonts w:ascii="Times New Roman" w:eastAsia="MS Mincho" w:hAnsi="Times New Roman" w:cs="Times New Roman"/>
                <w:kern w:val="0"/>
                <w:lang w:val="es-ES" w:eastAsia="es-ES" w:bidi="ar-SA"/>
              </w:rPr>
              <w:t xml:space="preserve"> (7</w:t>
            </w:r>
            <w:r w:rsidR="00F134AF">
              <w:rPr>
                <w:rFonts w:ascii="Times New Roman" w:eastAsia="MS Mincho" w:hAnsi="Times New Roman" w:cs="Times New Roman"/>
                <w:kern w:val="0"/>
                <w:lang w:val="es-ES" w:eastAsia="es-ES" w:bidi="ar-SA"/>
              </w:rPr>
              <w:t>7</w:t>
            </w:r>
            <w:r>
              <w:rPr>
                <w:rFonts w:ascii="Times New Roman" w:eastAsia="MS Mincho" w:hAnsi="Times New Roman" w:cs="Times New Roman"/>
                <w:kern w:val="0"/>
                <w:lang w:val="es-ES" w:eastAsia="es-ES" w:bidi="ar-SA"/>
              </w:rPr>
              <w:t>.</w:t>
            </w:r>
            <w:r w:rsidR="00E32D5A">
              <w:rPr>
                <w:rFonts w:ascii="Times New Roman" w:eastAsia="MS Mincho" w:hAnsi="Times New Roman" w:cs="Times New Roman"/>
                <w:kern w:val="0"/>
                <w:lang w:val="es-ES" w:eastAsia="es-ES" w:bidi="ar-SA"/>
              </w:rPr>
              <w:t>1</w:t>
            </w:r>
            <w:r>
              <w:rPr>
                <w:rFonts w:ascii="Times New Roman" w:eastAsia="MS Mincho" w:hAnsi="Times New Roman" w:cs="Times New Roman"/>
                <w:kern w:val="0"/>
                <w:lang w:val="es-ES" w:eastAsia="es-ES" w:bidi="ar-SA"/>
              </w:rPr>
              <w:t xml:space="preserve">%) / </w:t>
            </w:r>
            <w:r w:rsidR="00BE472F">
              <w:rPr>
                <w:rFonts w:ascii="Times New Roman" w:eastAsia="MS Mincho" w:hAnsi="Times New Roman" w:cs="Times New Roman"/>
                <w:kern w:val="0"/>
                <w:lang w:val="es-ES" w:eastAsia="es-ES" w:bidi="ar-SA"/>
              </w:rPr>
              <w:t>5</w:t>
            </w:r>
            <w:r w:rsidR="00623F4E">
              <w:rPr>
                <w:rFonts w:ascii="Times New Roman" w:eastAsia="MS Mincho" w:hAnsi="Times New Roman" w:cs="Times New Roman"/>
                <w:kern w:val="0"/>
                <w:lang w:val="es-ES" w:eastAsia="es-ES" w:bidi="ar-SA"/>
              </w:rPr>
              <w:t>5</w:t>
            </w:r>
            <w:r>
              <w:rPr>
                <w:rFonts w:ascii="Times New Roman" w:eastAsia="MS Mincho" w:hAnsi="Times New Roman" w:cs="Times New Roman"/>
                <w:kern w:val="0"/>
                <w:lang w:val="es-ES" w:eastAsia="es-ES" w:bidi="ar-SA"/>
              </w:rPr>
              <w:t xml:space="preserve"> (2</w:t>
            </w:r>
            <w:r w:rsidR="00F134AF">
              <w:rPr>
                <w:rFonts w:ascii="Times New Roman" w:eastAsia="MS Mincho" w:hAnsi="Times New Roman" w:cs="Times New Roman"/>
                <w:kern w:val="0"/>
                <w:lang w:val="es-ES" w:eastAsia="es-ES" w:bidi="ar-SA"/>
              </w:rPr>
              <w:t>2</w:t>
            </w:r>
            <w:r>
              <w:rPr>
                <w:rFonts w:ascii="Times New Roman" w:eastAsia="MS Mincho" w:hAnsi="Times New Roman" w:cs="Times New Roman"/>
                <w:kern w:val="0"/>
                <w:lang w:val="es-ES" w:eastAsia="es-ES" w:bidi="ar-SA"/>
              </w:rPr>
              <w:t>.</w:t>
            </w:r>
            <w:r w:rsidR="00F134AF">
              <w:rPr>
                <w:rFonts w:ascii="Times New Roman" w:eastAsia="MS Mincho" w:hAnsi="Times New Roman" w:cs="Times New Roman"/>
                <w:kern w:val="0"/>
                <w:lang w:val="es-ES" w:eastAsia="es-ES" w:bidi="ar-SA"/>
              </w:rPr>
              <w:t>9</w:t>
            </w:r>
            <w:r>
              <w:rPr>
                <w:rFonts w:ascii="Times New Roman" w:eastAsia="MS Mincho" w:hAnsi="Times New Roman" w:cs="Times New Roman"/>
                <w:kern w:val="0"/>
                <w:lang w:val="es-ES" w:eastAsia="es-ES" w:bidi="ar-SA"/>
              </w:rPr>
              <w:t>%)</w:t>
            </w:r>
          </w:p>
        </w:tc>
      </w:tr>
      <w:tr w:rsidR="00CF5878" w14:paraId="23CF1833" w14:textId="77777777">
        <w:trPr>
          <w:trHeight w:val="263"/>
        </w:trPr>
        <w:tc>
          <w:tcPr>
            <w:tcW w:w="5097" w:type="dxa"/>
            <w:vAlign w:val="center"/>
          </w:tcPr>
          <w:p w14:paraId="3959ACA7" w14:textId="77777777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>Age [IQR]</w:t>
            </w:r>
          </w:p>
        </w:tc>
        <w:tc>
          <w:tcPr>
            <w:tcW w:w="2972" w:type="dxa"/>
            <w:vAlign w:val="center"/>
          </w:tcPr>
          <w:p w14:paraId="40414A60" w14:textId="4661BF97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>56 [51-</w:t>
            </w:r>
            <w:r w:rsidR="002B1112">
              <w:rPr>
                <w:rFonts w:eastAsia="MS Mincho" w:cs="Times New Roman"/>
                <w:kern w:val="0"/>
                <w:lang w:val="es-ES" w:eastAsia="es-ES" w:bidi="ar-SA"/>
              </w:rPr>
              <w:t>62</w:t>
            </w:r>
            <w:r>
              <w:rPr>
                <w:rFonts w:eastAsia="MS Mincho" w:cs="Times New Roman"/>
                <w:kern w:val="0"/>
                <w:lang w:val="es-ES" w:eastAsia="es-ES" w:bidi="ar-SA"/>
              </w:rPr>
              <w:t>]</w:t>
            </w:r>
          </w:p>
        </w:tc>
      </w:tr>
      <w:tr w:rsidR="00CF5878" w14:paraId="1F1D8B89" w14:textId="77777777">
        <w:trPr>
          <w:trHeight w:val="263"/>
        </w:trPr>
        <w:tc>
          <w:tcPr>
            <w:tcW w:w="5097" w:type="dxa"/>
            <w:vAlign w:val="center"/>
          </w:tcPr>
          <w:p w14:paraId="5AE00F67" w14:textId="77777777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>BMI [IQR]</w:t>
            </w:r>
          </w:p>
        </w:tc>
        <w:tc>
          <w:tcPr>
            <w:tcW w:w="2972" w:type="dxa"/>
            <w:vAlign w:val="center"/>
          </w:tcPr>
          <w:p w14:paraId="60BBC911" w14:textId="7EDDDDEC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>28.05 [26.2</w:t>
            </w:r>
            <w:r w:rsidR="000F75F3">
              <w:rPr>
                <w:rFonts w:eastAsia="MS Mincho" w:cs="Times New Roman"/>
                <w:kern w:val="0"/>
                <w:lang w:val="es-ES" w:eastAsia="es-ES" w:bidi="ar-SA"/>
              </w:rPr>
              <w:t>0</w:t>
            </w:r>
            <w:r>
              <w:rPr>
                <w:rFonts w:eastAsia="MS Mincho" w:cs="Times New Roman"/>
                <w:kern w:val="0"/>
                <w:lang w:val="es-ES" w:eastAsia="es-ES" w:bidi="ar-SA"/>
              </w:rPr>
              <w:t>-31.</w:t>
            </w:r>
            <w:r w:rsidR="000F75F3">
              <w:rPr>
                <w:rFonts w:eastAsia="MS Mincho" w:cs="Times New Roman"/>
                <w:kern w:val="0"/>
                <w:lang w:val="es-ES" w:eastAsia="es-ES" w:bidi="ar-SA"/>
              </w:rPr>
              <w:t>34</w:t>
            </w:r>
            <w:r>
              <w:rPr>
                <w:rFonts w:eastAsia="MS Mincho" w:cs="Times New Roman"/>
                <w:kern w:val="0"/>
                <w:lang w:val="es-ES" w:eastAsia="es-ES" w:bidi="ar-SA"/>
              </w:rPr>
              <w:t>]</w:t>
            </w:r>
          </w:p>
        </w:tc>
      </w:tr>
      <w:tr w:rsidR="00CF5878" w14:paraId="5B4B0B90" w14:textId="77777777">
        <w:trPr>
          <w:trHeight w:val="263"/>
        </w:trPr>
        <w:tc>
          <w:tcPr>
            <w:tcW w:w="806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4B7ED1FF" w14:textId="77777777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>Systolic Function</w:t>
            </w:r>
          </w:p>
        </w:tc>
      </w:tr>
      <w:tr w:rsidR="00CF5878" w14:paraId="4444651A" w14:textId="77777777">
        <w:trPr>
          <w:trHeight w:val="263"/>
        </w:trPr>
        <w:tc>
          <w:tcPr>
            <w:tcW w:w="5097" w:type="dxa"/>
            <w:vAlign w:val="center"/>
          </w:tcPr>
          <w:p w14:paraId="69076AAD" w14:textId="77777777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 xml:space="preserve">   Normal</w:t>
            </w:r>
          </w:p>
        </w:tc>
        <w:tc>
          <w:tcPr>
            <w:tcW w:w="2972" w:type="dxa"/>
            <w:vAlign w:val="center"/>
          </w:tcPr>
          <w:p w14:paraId="5C94671B" w14:textId="40C34084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>117 (48.</w:t>
            </w:r>
            <w:r w:rsidR="00E32D5A">
              <w:rPr>
                <w:rFonts w:eastAsia="MS Mincho" w:cs="Times New Roman"/>
                <w:kern w:val="0"/>
                <w:lang w:val="es-ES" w:eastAsia="es-ES" w:bidi="ar-SA"/>
              </w:rPr>
              <w:t>8</w:t>
            </w:r>
            <w:r>
              <w:rPr>
                <w:rFonts w:eastAsia="MS Mincho" w:cs="Times New Roman"/>
                <w:kern w:val="0"/>
                <w:lang w:val="es-ES" w:eastAsia="es-ES" w:bidi="ar-SA"/>
              </w:rPr>
              <w:t>%)</w:t>
            </w:r>
          </w:p>
        </w:tc>
      </w:tr>
      <w:tr w:rsidR="00CF5878" w14:paraId="4FB80632" w14:textId="77777777">
        <w:trPr>
          <w:trHeight w:val="263"/>
        </w:trPr>
        <w:tc>
          <w:tcPr>
            <w:tcW w:w="5097" w:type="dxa"/>
            <w:vAlign w:val="center"/>
          </w:tcPr>
          <w:p w14:paraId="0EE77EAD" w14:textId="77777777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 xml:space="preserve">   Mildly depressed</w:t>
            </w:r>
          </w:p>
        </w:tc>
        <w:tc>
          <w:tcPr>
            <w:tcW w:w="2972" w:type="dxa"/>
            <w:vAlign w:val="center"/>
          </w:tcPr>
          <w:p w14:paraId="61F3595C" w14:textId="1D8ECBD7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>62 (25.8%)</w:t>
            </w:r>
          </w:p>
        </w:tc>
      </w:tr>
      <w:tr w:rsidR="00CF5878" w14:paraId="4764B2A0" w14:textId="77777777">
        <w:trPr>
          <w:trHeight w:val="263"/>
        </w:trPr>
        <w:tc>
          <w:tcPr>
            <w:tcW w:w="5097" w:type="dxa"/>
            <w:vAlign w:val="center"/>
          </w:tcPr>
          <w:p w14:paraId="61D29BF5" w14:textId="77777777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 xml:space="preserve">   Moderately depressed</w:t>
            </w:r>
          </w:p>
        </w:tc>
        <w:tc>
          <w:tcPr>
            <w:tcW w:w="2972" w:type="dxa"/>
            <w:vAlign w:val="center"/>
          </w:tcPr>
          <w:p w14:paraId="67B5E024" w14:textId="3E94824C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>33 (13.</w:t>
            </w:r>
            <w:r w:rsidR="00E32D5A">
              <w:rPr>
                <w:rFonts w:eastAsia="MS Mincho" w:cs="Times New Roman"/>
                <w:kern w:val="0"/>
                <w:lang w:val="es-ES" w:eastAsia="es-ES" w:bidi="ar-SA"/>
              </w:rPr>
              <w:t>8</w:t>
            </w:r>
            <w:r>
              <w:rPr>
                <w:rFonts w:eastAsia="MS Mincho" w:cs="Times New Roman"/>
                <w:kern w:val="0"/>
                <w:lang w:val="es-ES" w:eastAsia="es-ES" w:bidi="ar-SA"/>
              </w:rPr>
              <w:t>%)</w:t>
            </w:r>
          </w:p>
        </w:tc>
      </w:tr>
      <w:tr w:rsidR="00CF5878" w14:paraId="3A635385" w14:textId="77777777">
        <w:trPr>
          <w:trHeight w:val="263"/>
        </w:trPr>
        <w:tc>
          <w:tcPr>
            <w:tcW w:w="5097" w:type="dxa"/>
            <w:vAlign w:val="center"/>
          </w:tcPr>
          <w:p w14:paraId="7D256D07" w14:textId="77777777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 xml:space="preserve">   Severely depressed</w:t>
            </w:r>
          </w:p>
        </w:tc>
        <w:tc>
          <w:tcPr>
            <w:tcW w:w="2972" w:type="dxa"/>
            <w:vAlign w:val="center"/>
          </w:tcPr>
          <w:p w14:paraId="1FD49BA2" w14:textId="62D5D880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>28 (11.</w:t>
            </w:r>
            <w:r w:rsidR="00FD71B2">
              <w:rPr>
                <w:rFonts w:eastAsia="MS Mincho" w:cs="Times New Roman"/>
                <w:kern w:val="0"/>
                <w:lang w:val="es-ES" w:eastAsia="es-ES" w:bidi="ar-SA"/>
              </w:rPr>
              <w:t>6</w:t>
            </w:r>
            <w:r>
              <w:rPr>
                <w:rFonts w:eastAsia="MS Mincho" w:cs="Times New Roman"/>
                <w:kern w:val="0"/>
                <w:lang w:val="es-ES" w:eastAsia="es-ES" w:bidi="ar-SA"/>
              </w:rPr>
              <w:t>%)</w:t>
            </w:r>
          </w:p>
        </w:tc>
      </w:tr>
      <w:tr w:rsidR="00CF5878" w14:paraId="6A0064F4" w14:textId="77777777">
        <w:trPr>
          <w:trHeight w:val="263"/>
        </w:trPr>
        <w:tc>
          <w:tcPr>
            <w:tcW w:w="806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0F87DB9A" w14:textId="77777777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>Type of cardiac condition</w:t>
            </w:r>
          </w:p>
        </w:tc>
      </w:tr>
      <w:tr w:rsidR="00CF5878" w14:paraId="768C130B" w14:textId="77777777">
        <w:trPr>
          <w:trHeight w:val="263"/>
        </w:trPr>
        <w:tc>
          <w:tcPr>
            <w:tcW w:w="5097" w:type="dxa"/>
            <w:vAlign w:val="center"/>
          </w:tcPr>
          <w:p w14:paraId="2C2DE5D2" w14:textId="77777777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>Revascularization</w:t>
            </w:r>
          </w:p>
        </w:tc>
        <w:tc>
          <w:tcPr>
            <w:tcW w:w="2972" w:type="dxa"/>
            <w:vAlign w:val="center"/>
          </w:tcPr>
          <w:p w14:paraId="77D66275" w14:textId="20979123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>204</w:t>
            </w:r>
            <w:r w:rsidR="000F75F3">
              <w:rPr>
                <w:rFonts w:eastAsia="MS Mincho" w:cs="Times New Roman"/>
                <w:kern w:val="0"/>
                <w:lang w:val="es-ES" w:eastAsia="es-ES" w:bidi="ar-SA"/>
              </w:rPr>
              <w:t xml:space="preserve"> </w:t>
            </w:r>
            <w:r>
              <w:rPr>
                <w:rFonts w:eastAsia="MS Mincho" w:cs="Times New Roman"/>
                <w:kern w:val="0"/>
                <w:lang w:val="es-ES" w:eastAsia="es-ES" w:bidi="ar-SA"/>
              </w:rPr>
              <w:t>(85.0%)</w:t>
            </w:r>
          </w:p>
        </w:tc>
      </w:tr>
      <w:tr w:rsidR="00CF5878" w14:paraId="64788A7B" w14:textId="77777777">
        <w:trPr>
          <w:trHeight w:val="263"/>
        </w:trPr>
        <w:tc>
          <w:tcPr>
            <w:tcW w:w="5097" w:type="dxa"/>
            <w:vAlign w:val="center"/>
          </w:tcPr>
          <w:p w14:paraId="76C3869A" w14:textId="77777777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 xml:space="preserve">   Percutaneous transluminal coronary angioplasty</w:t>
            </w:r>
          </w:p>
        </w:tc>
        <w:tc>
          <w:tcPr>
            <w:tcW w:w="2972" w:type="dxa"/>
            <w:vAlign w:val="center"/>
          </w:tcPr>
          <w:p w14:paraId="460FBAA8" w14:textId="5DE56D96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>17</w:t>
            </w:r>
            <w:r w:rsidR="008C1130">
              <w:rPr>
                <w:rFonts w:eastAsia="MS Mincho" w:cs="Times New Roman"/>
                <w:kern w:val="0"/>
                <w:lang w:val="es-ES" w:eastAsia="es-ES" w:bidi="ar-SA"/>
              </w:rPr>
              <w:t>4</w:t>
            </w:r>
            <w:r>
              <w:rPr>
                <w:rFonts w:eastAsia="MS Mincho" w:cs="Times New Roman"/>
                <w:kern w:val="0"/>
                <w:lang w:val="es-ES" w:eastAsia="es-ES" w:bidi="ar-SA"/>
              </w:rPr>
              <w:t xml:space="preserve"> (85.</w:t>
            </w:r>
            <w:r w:rsidR="00E32D5A">
              <w:rPr>
                <w:rFonts w:eastAsia="MS Mincho" w:cs="Times New Roman"/>
                <w:kern w:val="0"/>
                <w:lang w:val="es-ES" w:eastAsia="es-ES" w:bidi="ar-SA"/>
              </w:rPr>
              <w:t>3</w:t>
            </w:r>
            <w:r>
              <w:rPr>
                <w:rFonts w:eastAsia="MS Mincho" w:cs="Times New Roman"/>
                <w:kern w:val="0"/>
                <w:lang w:val="es-ES" w:eastAsia="es-ES" w:bidi="ar-SA"/>
              </w:rPr>
              <w:t>%)</w:t>
            </w:r>
          </w:p>
        </w:tc>
      </w:tr>
      <w:tr w:rsidR="00CF5878" w14:paraId="7E874919" w14:textId="77777777">
        <w:trPr>
          <w:trHeight w:val="263"/>
        </w:trPr>
        <w:tc>
          <w:tcPr>
            <w:tcW w:w="5097" w:type="dxa"/>
            <w:vAlign w:val="center"/>
          </w:tcPr>
          <w:p w14:paraId="7F658D83" w14:textId="77777777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 xml:space="preserve">   Bypass</w:t>
            </w:r>
          </w:p>
        </w:tc>
        <w:tc>
          <w:tcPr>
            <w:tcW w:w="2972" w:type="dxa"/>
            <w:vAlign w:val="center"/>
          </w:tcPr>
          <w:p w14:paraId="75F2CBF4" w14:textId="6C54B94C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>25 (12.</w:t>
            </w:r>
            <w:r w:rsidR="00E32D5A">
              <w:rPr>
                <w:rFonts w:eastAsia="MS Mincho" w:cs="Times New Roman"/>
                <w:kern w:val="0"/>
                <w:lang w:val="es-ES" w:eastAsia="es-ES" w:bidi="ar-SA"/>
              </w:rPr>
              <w:t>3</w:t>
            </w:r>
            <w:r>
              <w:rPr>
                <w:rFonts w:eastAsia="MS Mincho" w:cs="Times New Roman"/>
                <w:kern w:val="0"/>
                <w:lang w:val="es-ES" w:eastAsia="es-ES" w:bidi="ar-SA"/>
              </w:rPr>
              <w:t>%)</w:t>
            </w:r>
          </w:p>
        </w:tc>
      </w:tr>
      <w:tr w:rsidR="00CF5878" w14:paraId="39AFA255" w14:textId="77777777">
        <w:trPr>
          <w:trHeight w:val="263"/>
        </w:trPr>
        <w:tc>
          <w:tcPr>
            <w:tcW w:w="5097" w:type="dxa"/>
            <w:vAlign w:val="center"/>
          </w:tcPr>
          <w:p w14:paraId="270C2EDB" w14:textId="77777777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 xml:space="preserve">   Both</w:t>
            </w:r>
          </w:p>
        </w:tc>
        <w:tc>
          <w:tcPr>
            <w:tcW w:w="2972" w:type="dxa"/>
            <w:vAlign w:val="center"/>
          </w:tcPr>
          <w:p w14:paraId="196E5B42" w14:textId="095584BC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>5 (2.</w:t>
            </w:r>
            <w:r w:rsidR="009F0D7E">
              <w:rPr>
                <w:rFonts w:eastAsia="MS Mincho" w:cs="Times New Roman"/>
                <w:kern w:val="0"/>
                <w:lang w:val="es-ES" w:eastAsia="es-ES" w:bidi="ar-SA"/>
              </w:rPr>
              <w:t>4</w:t>
            </w:r>
            <w:r>
              <w:rPr>
                <w:rFonts w:eastAsia="MS Mincho" w:cs="Times New Roman"/>
                <w:kern w:val="0"/>
                <w:lang w:val="es-ES" w:eastAsia="es-ES" w:bidi="ar-SA"/>
              </w:rPr>
              <w:t>%)</w:t>
            </w:r>
          </w:p>
        </w:tc>
      </w:tr>
      <w:tr w:rsidR="00CF5878" w14:paraId="1CDCE0B7" w14:textId="77777777">
        <w:trPr>
          <w:trHeight w:val="263"/>
        </w:trPr>
        <w:tc>
          <w:tcPr>
            <w:tcW w:w="5097" w:type="dxa"/>
            <w:vAlign w:val="center"/>
          </w:tcPr>
          <w:p w14:paraId="21F368ED" w14:textId="77777777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>Heart failure</w:t>
            </w:r>
          </w:p>
        </w:tc>
        <w:tc>
          <w:tcPr>
            <w:tcW w:w="2972" w:type="dxa"/>
            <w:vAlign w:val="center"/>
          </w:tcPr>
          <w:p w14:paraId="120D21F8" w14:textId="46C8D9E1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>50 (20.8%)</w:t>
            </w:r>
          </w:p>
        </w:tc>
      </w:tr>
      <w:tr w:rsidR="00CF5878" w14:paraId="7E074113" w14:textId="77777777">
        <w:trPr>
          <w:trHeight w:val="263"/>
        </w:trPr>
        <w:tc>
          <w:tcPr>
            <w:tcW w:w="5097" w:type="dxa"/>
            <w:vAlign w:val="center"/>
          </w:tcPr>
          <w:p w14:paraId="60A59A1B" w14:textId="458CA1BF" w:rsidR="00CF5878" w:rsidRDefault="000836BD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 w:rsidRPr="00282275">
              <w:rPr>
                <w:rFonts w:eastAsia="MS Mincho" w:cs="Times New Roman"/>
                <w:color w:val="auto"/>
                <w:kern w:val="0"/>
                <w:lang w:val="es-ES" w:eastAsia="es-ES" w:bidi="ar-SA"/>
              </w:rPr>
              <w:t>Valve surgery</w:t>
            </w:r>
          </w:p>
        </w:tc>
        <w:tc>
          <w:tcPr>
            <w:tcW w:w="2972" w:type="dxa"/>
            <w:vAlign w:val="center"/>
          </w:tcPr>
          <w:p w14:paraId="4C15DE8A" w14:textId="225B77F6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>32 (13.3%)</w:t>
            </w:r>
          </w:p>
        </w:tc>
      </w:tr>
      <w:tr w:rsidR="00CF5878" w14:paraId="1852F493" w14:textId="77777777">
        <w:trPr>
          <w:trHeight w:val="263"/>
        </w:trPr>
        <w:tc>
          <w:tcPr>
            <w:tcW w:w="806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77587A26" w14:textId="77777777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>Cardiovascular risk factors</w:t>
            </w:r>
          </w:p>
        </w:tc>
      </w:tr>
      <w:tr w:rsidR="00CF5878" w14:paraId="5771BFC2" w14:textId="77777777">
        <w:trPr>
          <w:trHeight w:val="263"/>
        </w:trPr>
        <w:tc>
          <w:tcPr>
            <w:tcW w:w="5097" w:type="dxa"/>
            <w:vAlign w:val="center"/>
          </w:tcPr>
          <w:p w14:paraId="417D6D1D" w14:textId="77777777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 xml:space="preserve">   Smoker</w:t>
            </w:r>
          </w:p>
        </w:tc>
        <w:tc>
          <w:tcPr>
            <w:tcW w:w="2972" w:type="dxa"/>
            <w:vAlign w:val="center"/>
          </w:tcPr>
          <w:p w14:paraId="03CFD6D8" w14:textId="268F51B6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>33 (13.</w:t>
            </w:r>
            <w:r w:rsidR="000E449C">
              <w:rPr>
                <w:rFonts w:eastAsia="MS Mincho" w:cs="Times New Roman"/>
                <w:kern w:val="0"/>
                <w:lang w:val="es-ES" w:eastAsia="es-ES" w:bidi="ar-SA"/>
              </w:rPr>
              <w:t>8</w:t>
            </w:r>
            <w:r>
              <w:rPr>
                <w:rFonts w:eastAsia="MS Mincho" w:cs="Times New Roman"/>
                <w:kern w:val="0"/>
                <w:lang w:val="es-ES" w:eastAsia="es-ES" w:bidi="ar-SA"/>
              </w:rPr>
              <w:t>%)</w:t>
            </w:r>
          </w:p>
        </w:tc>
      </w:tr>
      <w:tr w:rsidR="00CF5878" w14:paraId="69EDAF87" w14:textId="77777777">
        <w:trPr>
          <w:trHeight w:val="263"/>
        </w:trPr>
        <w:tc>
          <w:tcPr>
            <w:tcW w:w="5097" w:type="dxa"/>
            <w:vAlign w:val="center"/>
          </w:tcPr>
          <w:p w14:paraId="41D66485" w14:textId="77777777" w:rsidR="00CF5878" w:rsidRDefault="005B6E5C">
            <w:pPr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lang w:val="es-ES" w:eastAsia="es-ES" w:bidi="ar-SA"/>
              </w:rPr>
              <w:t xml:space="preserve">   Smoker before starting the rehabilitation program</w:t>
            </w:r>
          </w:p>
        </w:tc>
        <w:tc>
          <w:tcPr>
            <w:tcW w:w="2972" w:type="dxa"/>
            <w:vAlign w:val="center"/>
          </w:tcPr>
          <w:p w14:paraId="58DB237F" w14:textId="633E8B88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>115 (47.9%)</w:t>
            </w:r>
          </w:p>
        </w:tc>
      </w:tr>
      <w:tr w:rsidR="00CF5878" w14:paraId="361CD584" w14:textId="77777777">
        <w:trPr>
          <w:trHeight w:val="263"/>
        </w:trPr>
        <w:tc>
          <w:tcPr>
            <w:tcW w:w="5097" w:type="dxa"/>
            <w:vAlign w:val="center"/>
          </w:tcPr>
          <w:p w14:paraId="5E73B990" w14:textId="77777777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 xml:space="preserve">   Hypertension</w:t>
            </w:r>
          </w:p>
        </w:tc>
        <w:tc>
          <w:tcPr>
            <w:tcW w:w="2972" w:type="dxa"/>
            <w:vAlign w:val="center"/>
          </w:tcPr>
          <w:p w14:paraId="18A2BC41" w14:textId="717BC721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>167 (69.6%)</w:t>
            </w:r>
          </w:p>
        </w:tc>
      </w:tr>
      <w:tr w:rsidR="00CF5878" w14:paraId="799A0726" w14:textId="77777777">
        <w:trPr>
          <w:trHeight w:val="263"/>
        </w:trPr>
        <w:tc>
          <w:tcPr>
            <w:tcW w:w="5097" w:type="dxa"/>
            <w:vAlign w:val="center"/>
          </w:tcPr>
          <w:p w14:paraId="0B3802DF" w14:textId="77777777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 xml:space="preserve">   Dyslipidemia</w:t>
            </w:r>
          </w:p>
        </w:tc>
        <w:tc>
          <w:tcPr>
            <w:tcW w:w="2972" w:type="dxa"/>
            <w:vAlign w:val="center"/>
          </w:tcPr>
          <w:p w14:paraId="7ED2D749" w14:textId="0FCA70B0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>172 (71.</w:t>
            </w:r>
            <w:r w:rsidR="000E449C">
              <w:rPr>
                <w:rFonts w:eastAsia="MS Mincho" w:cs="Times New Roman"/>
                <w:kern w:val="0"/>
                <w:lang w:val="es-ES" w:eastAsia="es-ES" w:bidi="ar-SA"/>
              </w:rPr>
              <w:t>7</w:t>
            </w:r>
            <w:r>
              <w:rPr>
                <w:rFonts w:eastAsia="MS Mincho" w:cs="Times New Roman"/>
                <w:kern w:val="0"/>
                <w:lang w:val="es-ES" w:eastAsia="es-ES" w:bidi="ar-SA"/>
              </w:rPr>
              <w:t>%)</w:t>
            </w:r>
          </w:p>
        </w:tc>
      </w:tr>
      <w:tr w:rsidR="00CF5878" w14:paraId="7833957E" w14:textId="77777777">
        <w:trPr>
          <w:trHeight w:val="263"/>
        </w:trPr>
        <w:tc>
          <w:tcPr>
            <w:tcW w:w="5097" w:type="dxa"/>
            <w:vAlign w:val="center"/>
          </w:tcPr>
          <w:p w14:paraId="251131EB" w14:textId="77777777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 xml:space="preserve">   Diabetes mellitus</w:t>
            </w:r>
          </w:p>
        </w:tc>
        <w:tc>
          <w:tcPr>
            <w:tcW w:w="2972" w:type="dxa"/>
            <w:vAlign w:val="center"/>
          </w:tcPr>
          <w:p w14:paraId="1FB4DA9E" w14:textId="2E443C62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>58 (24.</w:t>
            </w:r>
            <w:r w:rsidR="000E449C">
              <w:rPr>
                <w:rFonts w:eastAsia="MS Mincho" w:cs="Times New Roman"/>
                <w:kern w:val="0"/>
                <w:lang w:val="es-ES" w:eastAsia="es-ES" w:bidi="ar-SA"/>
              </w:rPr>
              <w:t>2</w:t>
            </w:r>
            <w:r>
              <w:rPr>
                <w:rFonts w:eastAsia="MS Mincho" w:cs="Times New Roman"/>
                <w:kern w:val="0"/>
                <w:lang w:val="es-ES" w:eastAsia="es-ES" w:bidi="ar-SA"/>
              </w:rPr>
              <w:t>%)</w:t>
            </w:r>
          </w:p>
        </w:tc>
      </w:tr>
      <w:tr w:rsidR="00CF5878" w14:paraId="7BFFF104" w14:textId="77777777">
        <w:trPr>
          <w:trHeight w:val="263"/>
        </w:trPr>
        <w:tc>
          <w:tcPr>
            <w:tcW w:w="5097" w:type="dxa"/>
            <w:vAlign w:val="center"/>
          </w:tcPr>
          <w:p w14:paraId="6DFB0885" w14:textId="77777777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 xml:space="preserve">   Overweight </w:t>
            </w:r>
          </w:p>
        </w:tc>
        <w:tc>
          <w:tcPr>
            <w:tcW w:w="2972" w:type="dxa"/>
            <w:vAlign w:val="center"/>
          </w:tcPr>
          <w:p w14:paraId="5282B8FF" w14:textId="0ACD39A5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>115 (47.9%)</w:t>
            </w:r>
          </w:p>
        </w:tc>
      </w:tr>
      <w:tr w:rsidR="00CF5878" w14:paraId="7C55CD18" w14:textId="77777777">
        <w:trPr>
          <w:trHeight w:val="263"/>
        </w:trPr>
        <w:tc>
          <w:tcPr>
            <w:tcW w:w="5097" w:type="dxa"/>
            <w:tcBorders>
              <w:bottom w:val="single" w:sz="6" w:space="0" w:color="000000"/>
            </w:tcBorders>
            <w:vAlign w:val="center"/>
          </w:tcPr>
          <w:p w14:paraId="24CE1340" w14:textId="77777777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 xml:space="preserve">   Obesity</w:t>
            </w:r>
          </w:p>
        </w:tc>
        <w:tc>
          <w:tcPr>
            <w:tcW w:w="2972" w:type="dxa"/>
            <w:tcBorders>
              <w:bottom w:val="single" w:sz="6" w:space="0" w:color="000000"/>
            </w:tcBorders>
            <w:vAlign w:val="center"/>
          </w:tcPr>
          <w:p w14:paraId="10C54E34" w14:textId="7E2931B3" w:rsidR="00CF5878" w:rsidRDefault="005B6E5C">
            <w:pPr>
              <w:widowControl w:val="0"/>
              <w:rPr>
                <w:rFonts w:eastAsia="MS Mincho" w:cs="Times New Roman" w:hint="eastAsia"/>
                <w:kern w:val="0"/>
                <w:lang w:val="es-ES" w:eastAsia="es-ES" w:bidi="ar-SA"/>
              </w:rPr>
            </w:pPr>
            <w:r>
              <w:rPr>
                <w:rFonts w:eastAsia="MS Mincho" w:cs="Times New Roman"/>
                <w:kern w:val="0"/>
                <w:lang w:val="es-ES" w:eastAsia="es-ES" w:bidi="ar-SA"/>
              </w:rPr>
              <w:t>88 (36.7%)</w:t>
            </w:r>
          </w:p>
        </w:tc>
      </w:tr>
    </w:tbl>
    <w:p w14:paraId="02AA185E" w14:textId="77777777" w:rsidR="00CF5878" w:rsidRDefault="00CF5878">
      <w:pPr>
        <w:rPr>
          <w:rFonts w:ascii="Times New Roman" w:hAnsi="Times New Roman"/>
        </w:rPr>
      </w:pPr>
    </w:p>
    <w:p w14:paraId="5275915C" w14:textId="77777777" w:rsidR="00CF5878" w:rsidRDefault="005B6E5C">
      <w:pPr>
        <w:spacing w:before="114" w:after="114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22"/>
          <w:szCs w:val="22"/>
        </w:rPr>
        <w:t>Abbreviations</w:t>
      </w:r>
      <w:r>
        <w:rPr>
          <w:rFonts w:ascii="Times New Roman" w:hAnsi="Times New Roman"/>
          <w:i/>
          <w:iCs/>
        </w:rPr>
        <w:t xml:space="preserve"> - M/F: male/female; IQR: interquartile range; BMI: body mass index.</w:t>
      </w:r>
    </w:p>
    <w:p w14:paraId="03564DA5" w14:textId="77777777" w:rsidR="00CF5878" w:rsidRDefault="005B6E5C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Notice: patients undergoing valvuloplasty or heart failure may also have undergone revascularization: in this case they have been counted in each corresponding group.</w:t>
      </w:r>
    </w:p>
    <w:p w14:paraId="20ED678B" w14:textId="77777777" w:rsidR="00CF5878" w:rsidRDefault="00CF5878">
      <w:pPr>
        <w:rPr>
          <w:rFonts w:ascii="Times New Roman" w:hAnsi="Times New Roman"/>
          <w:i/>
          <w:iCs/>
          <w:color w:val="70AD47"/>
        </w:rPr>
      </w:pPr>
    </w:p>
    <w:p w14:paraId="4EAA069A" w14:textId="77777777" w:rsidR="00CF5878" w:rsidRDefault="00CF5878">
      <w:pPr>
        <w:rPr>
          <w:rFonts w:ascii="Times New Roman" w:hAnsi="Times New Roman"/>
          <w:i/>
          <w:iCs/>
        </w:rPr>
      </w:pPr>
    </w:p>
    <w:p w14:paraId="6BCC2A3E" w14:textId="77777777" w:rsidR="00CF5878" w:rsidRDefault="00CF5878">
      <w:pPr>
        <w:rPr>
          <w:rFonts w:ascii="Times New Roman" w:hAnsi="Times New Roman"/>
          <w:i/>
          <w:iCs/>
        </w:rPr>
      </w:pPr>
    </w:p>
    <w:p w14:paraId="127D86BC" w14:textId="77777777" w:rsidR="00CF5878" w:rsidRDefault="00CF5878">
      <w:pPr>
        <w:rPr>
          <w:rFonts w:ascii="Times New Roman" w:hAnsi="Times New Roman"/>
        </w:rPr>
      </w:pPr>
    </w:p>
    <w:sectPr w:rsidR="00CF5878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78"/>
    <w:rsid w:val="000131D8"/>
    <w:rsid w:val="000836BD"/>
    <w:rsid w:val="000E449C"/>
    <w:rsid w:val="000F75F3"/>
    <w:rsid w:val="00282275"/>
    <w:rsid w:val="002B1112"/>
    <w:rsid w:val="005B6E5C"/>
    <w:rsid w:val="00623F4E"/>
    <w:rsid w:val="008C1130"/>
    <w:rsid w:val="009F0D7E"/>
    <w:rsid w:val="00BE472F"/>
    <w:rsid w:val="00CF5878"/>
    <w:rsid w:val="00D7004E"/>
    <w:rsid w:val="00E32D5A"/>
    <w:rsid w:val="00F134AF"/>
    <w:rsid w:val="00FD0296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2588"/>
  <w15:docId w15:val="{2319C535-00E4-4304-8E4B-1257717E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textAlignment w:val="baseline"/>
    </w:pPr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l">
    <w:name w:val="il"/>
    <w:basedOn w:val="Carpredefinitoparagrafo"/>
    <w:qFormat/>
  </w:style>
  <w:style w:type="character" w:styleId="Rimandocommento">
    <w:name w:val="annotation reference"/>
    <w:basedOn w:val="Carpredefinitoparagrafo"/>
    <w:qFormat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qFormat/>
    <w:rPr>
      <w:rFonts w:cs="Mangal"/>
      <w:sz w:val="20"/>
      <w:szCs w:val="18"/>
    </w:rPr>
  </w:style>
  <w:style w:type="character" w:customStyle="1" w:styleId="SoggettocommentoCarattere">
    <w:name w:val="Soggetto commento Carattere"/>
    <w:basedOn w:val="TestocommentoCarattere"/>
    <w:qFormat/>
    <w:rPr>
      <w:rFonts w:cs="Mangal"/>
      <w:b/>
      <w:bCs/>
      <w:sz w:val="20"/>
      <w:szCs w:val="18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qFormat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PreformattedText">
    <w:name w:val="Preformatted Text"/>
    <w:basedOn w:val="Normale"/>
    <w:qFormat/>
    <w:rPr>
      <w:rFonts w:ascii="Liberation Mono" w:hAnsi="Liberation Mono" w:cs="Liberation Mono"/>
      <w:sz w:val="20"/>
      <w:szCs w:val="20"/>
    </w:rPr>
  </w:style>
  <w:style w:type="paragraph" w:customStyle="1" w:styleId="TableContents">
    <w:name w:val="Table Contents"/>
    <w:basedOn w:val="Normale"/>
    <w:qFormat/>
    <w:pPr>
      <w:widowControl w:val="0"/>
      <w:suppressLineNumbers/>
    </w:pPr>
  </w:style>
  <w:style w:type="paragraph" w:styleId="Testocommento">
    <w:name w:val="annotation text"/>
    <w:basedOn w:val="Normale"/>
    <w:qFormat/>
    <w:rPr>
      <w:rFonts w:cs="Mangal"/>
      <w:sz w:val="20"/>
      <w:szCs w:val="18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Fabio Lodi Rizzini</cp:lastModifiedBy>
  <cp:revision>24</cp:revision>
  <cp:lastPrinted>2021-12-04T12:36:00Z</cp:lastPrinted>
  <dcterms:created xsi:type="dcterms:W3CDTF">2021-06-30T00:13:00Z</dcterms:created>
  <dcterms:modified xsi:type="dcterms:W3CDTF">2021-12-04T21:23:00Z</dcterms:modified>
  <dc:language>en-GB</dc:language>
</cp:coreProperties>
</file>