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F8198E" w14:textId="209CBDD1" w:rsidR="00AB24B6" w:rsidRPr="009218EA" w:rsidRDefault="001B44D8" w:rsidP="002D336E">
      <w:pPr>
        <w:jc w:val="both"/>
        <w:rPr>
          <w:rFonts w:ascii="Times New Roman" w:hAnsi="Times New Roman" w:cs="Times New Roman"/>
          <w:b/>
          <w:bCs/>
          <w:sz w:val="28"/>
          <w:szCs w:val="28"/>
          <w:u w:val="single"/>
        </w:rPr>
      </w:pPr>
      <w:r w:rsidRPr="009218EA">
        <w:rPr>
          <w:rFonts w:ascii="Times New Roman" w:hAnsi="Times New Roman" w:cs="Times New Roman"/>
          <w:b/>
          <w:bCs/>
          <w:sz w:val="28"/>
          <w:szCs w:val="28"/>
          <w:u w:val="single"/>
        </w:rPr>
        <w:t>Supplementary Information</w:t>
      </w:r>
      <w:r w:rsidR="00DE5573" w:rsidRPr="009218EA">
        <w:rPr>
          <w:rFonts w:ascii="Times New Roman" w:hAnsi="Times New Roman" w:cs="Times New Roman"/>
          <w:b/>
          <w:bCs/>
          <w:sz w:val="28"/>
          <w:szCs w:val="28"/>
          <w:u w:val="single"/>
        </w:rPr>
        <w:t xml:space="preserve"> </w:t>
      </w:r>
    </w:p>
    <w:p w14:paraId="22B766F0" w14:textId="77777777" w:rsidR="00302C59" w:rsidRPr="009218EA" w:rsidRDefault="00302C59" w:rsidP="002D336E">
      <w:pPr>
        <w:jc w:val="both"/>
        <w:rPr>
          <w:rFonts w:ascii="Times New Roman" w:hAnsi="Times New Roman" w:cs="Times New Roman"/>
          <w:b/>
          <w:bCs/>
          <w:sz w:val="24"/>
          <w:szCs w:val="24"/>
        </w:rPr>
      </w:pPr>
      <w:r w:rsidRPr="009218EA">
        <w:rPr>
          <w:rFonts w:ascii="Times New Roman" w:hAnsi="Times New Roman" w:cs="Times New Roman"/>
          <w:b/>
          <w:bCs/>
          <w:sz w:val="24"/>
          <w:szCs w:val="24"/>
        </w:rPr>
        <w:t>Optimising Co</w:t>
      </w:r>
      <w:r w:rsidRPr="009218EA">
        <w:rPr>
          <w:rFonts w:ascii="Times New Roman" w:hAnsi="Times New Roman" w:cs="Times New Roman"/>
          <w:b/>
          <w:bCs/>
          <w:sz w:val="24"/>
          <w:szCs w:val="24"/>
        </w:rPr>
        <w:noBreakHyphen/>
        <w:t xml:space="preserve">Culture Viability and Metabolic Activity </w:t>
      </w:r>
    </w:p>
    <w:p w14:paraId="70F4C908" w14:textId="5C21B323" w:rsidR="00302C59" w:rsidRPr="009218EA" w:rsidRDefault="00302C59" w:rsidP="002D336E">
      <w:pPr>
        <w:jc w:val="both"/>
        <w:rPr>
          <w:rFonts w:ascii="Times New Roman" w:hAnsi="Times New Roman" w:cs="Times New Roman"/>
          <w:sz w:val="24"/>
          <w:szCs w:val="24"/>
        </w:rPr>
      </w:pPr>
      <w:r w:rsidRPr="009218EA">
        <w:rPr>
          <w:rFonts w:ascii="Times New Roman" w:hAnsi="Times New Roman" w:cs="Times New Roman"/>
          <w:sz w:val="24"/>
          <w:szCs w:val="24"/>
        </w:rPr>
        <w:t>To generate meaningful molecular and functional data, it is necessary to first establish co-culture conditions which are stable and reliably support both LMCs and ASCs. As these cell types require their own specialised media with growth supplements, the media composition and cell-cell ratio will directly influence the cell viability, metabolic activity, and growth patterns</w:t>
      </w:r>
      <w:r w:rsidR="005B3290">
        <w:rPr>
          <w:rFonts w:ascii="Times New Roman" w:hAnsi="Times New Roman" w:cs="Times New Roman"/>
          <w:sz w:val="24"/>
          <w:szCs w:val="24"/>
        </w:rPr>
        <w:fldChar w:fldCharType="begin">
          <w:fldData xml:space="preserve">PEVuZE5vdGU+PENpdGU+PEF1dGhvcj5NYTwvQXV0aG9yPjxZZWFyPjIwMTE8L1llYXI+PElEVGV4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</w:fldData>
        </w:fldChar>
      </w:r>
      <w:r w:rsidR="005B3290">
        <w:rPr>
          <w:rFonts w:ascii="Times New Roman" w:hAnsi="Times New Roman" w:cs="Times New Roman"/>
          <w:sz w:val="24"/>
          <w:szCs w:val="24"/>
        </w:rPr>
        <w:instrText xml:space="preserve"> ADDIN EN.JS.CITE </w:instrText>
      </w:r>
      <w:r w:rsidR="005B3290">
        <w:rPr>
          <w:rFonts w:ascii="Times New Roman" w:hAnsi="Times New Roman" w:cs="Times New Roman"/>
          <w:sz w:val="24"/>
          <w:szCs w:val="24"/>
        </w:rPr>
      </w:r>
      <w:r w:rsidR="005B3290">
        <w:rPr>
          <w:rFonts w:ascii="Times New Roman" w:hAnsi="Times New Roman" w:cs="Times New Roman"/>
          <w:sz w:val="24"/>
          <w:szCs w:val="24"/>
        </w:rPr>
        <w:fldChar w:fldCharType="separate"/>
      </w:r>
      <w:r w:rsidR="005B3290">
        <w:rPr>
          <w:rFonts w:ascii="Times New Roman" w:hAnsi="Times New Roman" w:cs="Times New Roman"/>
          <w:noProof/>
          <w:sz w:val="24"/>
          <w:szCs w:val="24"/>
        </w:rPr>
        <w:t>(Ma</w:t>
      </w:r>
      <w:r w:rsidR="005B3290" w:rsidRPr="005B3290">
        <w:rPr>
          <w:rFonts w:ascii="Times New Roman" w:hAnsi="Times New Roman" w:cs="Times New Roman"/>
          <w:i/>
          <w:noProof/>
          <w:sz w:val="24"/>
          <w:szCs w:val="24"/>
        </w:rPr>
        <w:t xml:space="preserve"> et al.</w:t>
      </w:r>
      <w:r w:rsidR="005B3290">
        <w:rPr>
          <w:rFonts w:ascii="Times New Roman" w:hAnsi="Times New Roman" w:cs="Times New Roman"/>
          <w:noProof/>
          <w:sz w:val="24"/>
          <w:szCs w:val="24"/>
        </w:rPr>
        <w:t xml:space="preserve"> 2011)</w:t>
      </w:r>
      <w:r w:rsidR="005B3290">
        <w:rPr>
          <w:rFonts w:ascii="Times New Roman" w:hAnsi="Times New Roman" w:cs="Times New Roman"/>
          <w:sz w:val="24"/>
          <w:szCs w:val="24"/>
        </w:rPr>
        <w:fldChar w:fldCharType="end"/>
      </w:r>
      <w:r w:rsidRPr="009218EA">
        <w:rPr>
          <w:rFonts w:ascii="Times New Roman" w:hAnsi="Times New Roman" w:cs="Times New Roman"/>
          <w:sz w:val="24"/>
          <w:szCs w:val="24"/>
        </w:rPr>
        <w:t>. These parameters must be optimised before RNA sequencing and functional assays to ensure the cells are healthy without metabolic stress.</w:t>
      </w:r>
    </w:p>
    <w:p w14:paraId="79D1372B" w14:textId="5013CCDD" w:rsidR="00302C59" w:rsidRPr="009218EA" w:rsidRDefault="00302C59" w:rsidP="002D336E">
      <w:pPr>
        <w:jc w:val="both"/>
        <w:rPr>
          <w:rFonts w:ascii="Times New Roman" w:hAnsi="Times New Roman" w:cs="Times New Roman"/>
          <w:sz w:val="24"/>
          <w:szCs w:val="24"/>
        </w:rPr>
      </w:pPr>
      <w:r w:rsidRPr="009218EA">
        <w:rPr>
          <w:rFonts w:ascii="Times New Roman" w:hAnsi="Times New Roman" w:cs="Times New Roman"/>
          <w:sz w:val="24"/>
          <w:szCs w:val="24"/>
        </w:rPr>
        <w:t xml:space="preserve">The MTT and AlamarBlue assay were used to test the cellular proliferation, viability, and metabolic activity of the co-culture conditions. For this, we tested three different seeding ratios of LMCs:ASCs (50:50, 70:30, 30:70) in five different media combinations (LMC:ASC, 50:50, 70:30, 30:70), comparing to the monoculture controls in their respective media. Once the cells reached confluency, MTT and AlamarBlue was conducted. The MTT data shows similar cell viability compared to the LMC control across all conditions, showing there is no significant changes in viability which would be indicative of cell death or stress. There was a significant reduction in cell viability in the 50:50 seeding ratio in ASC media (Figure </w:t>
      </w:r>
      <w:r w:rsidR="00CE0AD5" w:rsidRPr="009218EA">
        <w:rPr>
          <w:rFonts w:ascii="Times New Roman" w:hAnsi="Times New Roman" w:cs="Times New Roman"/>
          <w:sz w:val="24"/>
          <w:szCs w:val="24"/>
        </w:rPr>
        <w:t>S1(</w:t>
      </w:r>
      <w:r w:rsidRPr="009218EA">
        <w:rPr>
          <w:rFonts w:ascii="Times New Roman" w:hAnsi="Times New Roman" w:cs="Times New Roman"/>
          <w:sz w:val="24"/>
          <w:szCs w:val="24"/>
        </w:rPr>
        <w:t>Ai</w:t>
      </w:r>
      <w:r w:rsidR="00CE0AD5" w:rsidRPr="009218EA">
        <w:rPr>
          <w:rFonts w:ascii="Times New Roman" w:hAnsi="Times New Roman" w:cs="Times New Roman"/>
          <w:sz w:val="24"/>
          <w:szCs w:val="24"/>
        </w:rPr>
        <w:t>)</w:t>
      </w:r>
      <w:r w:rsidRPr="009218EA">
        <w:rPr>
          <w:rFonts w:ascii="Times New Roman" w:hAnsi="Times New Roman" w:cs="Times New Roman"/>
          <w:sz w:val="24"/>
          <w:szCs w:val="24"/>
        </w:rPr>
        <w:t xml:space="preserve">) and in the 70:30 ratio in LMC media (Figure </w:t>
      </w:r>
      <w:r w:rsidR="00CE0AD5" w:rsidRPr="009218EA">
        <w:rPr>
          <w:rFonts w:ascii="Times New Roman" w:hAnsi="Times New Roman" w:cs="Times New Roman"/>
          <w:sz w:val="24"/>
          <w:szCs w:val="24"/>
        </w:rPr>
        <w:t>S</w:t>
      </w:r>
      <w:r w:rsidRPr="009218EA">
        <w:rPr>
          <w:rFonts w:ascii="Times New Roman" w:hAnsi="Times New Roman" w:cs="Times New Roman"/>
          <w:sz w:val="24"/>
          <w:szCs w:val="24"/>
        </w:rPr>
        <w:t>2</w:t>
      </w:r>
      <w:r w:rsidR="00CE0AD5" w:rsidRPr="009218EA">
        <w:rPr>
          <w:rFonts w:ascii="Times New Roman" w:hAnsi="Times New Roman" w:cs="Times New Roman"/>
          <w:sz w:val="24"/>
          <w:szCs w:val="24"/>
        </w:rPr>
        <w:t>(</w:t>
      </w:r>
      <w:r w:rsidRPr="009218EA">
        <w:rPr>
          <w:rFonts w:ascii="Times New Roman" w:hAnsi="Times New Roman" w:cs="Times New Roman"/>
          <w:sz w:val="24"/>
          <w:szCs w:val="24"/>
        </w:rPr>
        <w:t>Aii</w:t>
      </w:r>
      <w:r w:rsidR="00CE0AD5" w:rsidRPr="009218EA">
        <w:rPr>
          <w:rFonts w:ascii="Times New Roman" w:hAnsi="Times New Roman" w:cs="Times New Roman"/>
          <w:sz w:val="24"/>
          <w:szCs w:val="24"/>
        </w:rPr>
        <w:t>)</w:t>
      </w:r>
      <w:r w:rsidRPr="009218EA">
        <w:rPr>
          <w:rFonts w:ascii="Times New Roman" w:hAnsi="Times New Roman" w:cs="Times New Roman"/>
          <w:sz w:val="24"/>
          <w:szCs w:val="24"/>
        </w:rPr>
        <w:t xml:space="preserve">), highlighting mixed media is the most suitable for improving the viability of both cell types. </w:t>
      </w:r>
    </w:p>
    <w:p w14:paraId="6A3E6D92" w14:textId="6BE9A89D" w:rsidR="00302C59" w:rsidRPr="009218EA" w:rsidRDefault="00302C59" w:rsidP="002D336E">
      <w:pPr>
        <w:jc w:val="both"/>
        <w:rPr>
          <w:rFonts w:ascii="Times New Roman" w:hAnsi="Times New Roman" w:cs="Times New Roman"/>
          <w:sz w:val="24"/>
          <w:szCs w:val="24"/>
        </w:rPr>
      </w:pPr>
      <w:r w:rsidRPr="009218EA">
        <w:rPr>
          <w:rFonts w:ascii="Times New Roman" w:hAnsi="Times New Roman" w:cs="Times New Roman"/>
          <w:sz w:val="24"/>
          <w:szCs w:val="24"/>
        </w:rPr>
        <w:t>AlamarBlue analysis revealed elevated metabolic activity in co</w:t>
      </w:r>
      <w:r w:rsidRPr="009218EA">
        <w:rPr>
          <w:rFonts w:ascii="Times New Roman" w:hAnsi="Times New Roman" w:cs="Times New Roman"/>
          <w:sz w:val="24"/>
          <w:szCs w:val="24"/>
        </w:rPr>
        <w:noBreakHyphen/>
        <w:t xml:space="preserve">cultures maintained in either LMC or ASC medium (Figure </w:t>
      </w:r>
      <w:r w:rsidR="00CE0AD5" w:rsidRPr="009218EA">
        <w:rPr>
          <w:rFonts w:ascii="Times New Roman" w:hAnsi="Times New Roman" w:cs="Times New Roman"/>
          <w:sz w:val="24"/>
          <w:szCs w:val="24"/>
        </w:rPr>
        <w:t>S1</w:t>
      </w:r>
      <w:r w:rsidRPr="009218EA">
        <w:rPr>
          <w:rFonts w:ascii="Times New Roman" w:hAnsi="Times New Roman" w:cs="Times New Roman"/>
          <w:sz w:val="24"/>
          <w:szCs w:val="24"/>
        </w:rPr>
        <w:t>B), which may reflect mild metabolic stress or increased cellular activity under non</w:t>
      </w:r>
      <w:r w:rsidRPr="009218EA">
        <w:rPr>
          <w:rFonts w:ascii="Times New Roman" w:hAnsi="Times New Roman" w:cs="Times New Roman"/>
          <w:sz w:val="24"/>
          <w:szCs w:val="24"/>
        </w:rPr>
        <w:noBreakHyphen/>
        <w:t>optimal media conditions. Overall, both assays demonstrated that LMCs and ASCs remain viable across a range of ratios and media combinations, with ASCs consistently showing lower baseline viability and metabolic activity than LMCs, consistent with previous reports</w:t>
      </w:r>
      <w:r w:rsidR="005B3290">
        <w:rPr>
          <w:rFonts w:ascii="Times New Roman" w:hAnsi="Times New Roman" w:cs="Times New Roman"/>
          <w:sz w:val="24"/>
          <w:szCs w:val="24"/>
        </w:rPr>
        <w:fldChar w:fldCharType="begin">
          <w:fldData xml:space="preserve">PEVuZE5vdGU+PENpdGU+PEF1dGhvcj5HcmVhbmV5PC9BdXRob3I+PFllYXI+MjAyNTwvWWVhcj48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</w:fldData>
        </w:fldChar>
      </w:r>
      <w:r w:rsidR="005B3290">
        <w:rPr>
          <w:rFonts w:ascii="Times New Roman" w:hAnsi="Times New Roman" w:cs="Times New Roman"/>
          <w:sz w:val="24"/>
          <w:szCs w:val="24"/>
        </w:rPr>
        <w:instrText xml:space="preserve"> ADDIN EN.JS.CITE </w:instrText>
      </w:r>
      <w:r w:rsidR="005B3290">
        <w:rPr>
          <w:rFonts w:ascii="Times New Roman" w:hAnsi="Times New Roman" w:cs="Times New Roman"/>
          <w:sz w:val="24"/>
          <w:szCs w:val="24"/>
        </w:rPr>
      </w:r>
      <w:r w:rsidR="005B3290">
        <w:rPr>
          <w:rFonts w:ascii="Times New Roman" w:hAnsi="Times New Roman" w:cs="Times New Roman"/>
          <w:sz w:val="24"/>
          <w:szCs w:val="24"/>
        </w:rPr>
        <w:fldChar w:fldCharType="separate"/>
      </w:r>
      <w:r w:rsidR="005B3290">
        <w:rPr>
          <w:rFonts w:ascii="Times New Roman" w:hAnsi="Times New Roman" w:cs="Times New Roman"/>
          <w:noProof/>
          <w:sz w:val="24"/>
          <w:szCs w:val="24"/>
        </w:rPr>
        <w:t>(Greaney</w:t>
      </w:r>
      <w:r w:rsidR="005B3290" w:rsidRPr="005B3290">
        <w:rPr>
          <w:rFonts w:ascii="Times New Roman" w:hAnsi="Times New Roman" w:cs="Times New Roman"/>
          <w:i/>
          <w:noProof/>
          <w:sz w:val="24"/>
          <w:szCs w:val="24"/>
        </w:rPr>
        <w:t xml:space="preserve"> et al.</w:t>
      </w:r>
      <w:r w:rsidR="005B3290">
        <w:rPr>
          <w:rFonts w:ascii="Times New Roman" w:hAnsi="Times New Roman" w:cs="Times New Roman"/>
          <w:noProof/>
          <w:sz w:val="24"/>
          <w:szCs w:val="24"/>
        </w:rPr>
        <w:t xml:space="preserve"> 2025)</w:t>
      </w:r>
      <w:r w:rsidR="005B3290">
        <w:rPr>
          <w:rFonts w:ascii="Times New Roman" w:hAnsi="Times New Roman" w:cs="Times New Roman"/>
          <w:sz w:val="24"/>
          <w:szCs w:val="24"/>
        </w:rPr>
        <w:fldChar w:fldCharType="end"/>
      </w:r>
      <w:r w:rsidRPr="009218EA">
        <w:rPr>
          <w:rFonts w:ascii="Times New Roman" w:hAnsi="Times New Roman" w:cs="Times New Roman"/>
          <w:sz w:val="24"/>
          <w:szCs w:val="24"/>
        </w:rPr>
        <w:t>. Real-Time Cell Analysis using xCelligence confirmed these findings, with 30:70 ratio showed comparable growth patterns to our LMC monoculture control over 7 days growth (Figure</w:t>
      </w:r>
      <w:r w:rsidR="009218EA" w:rsidRPr="009218EA">
        <w:rPr>
          <w:rFonts w:ascii="Times New Roman" w:hAnsi="Times New Roman" w:cs="Times New Roman"/>
          <w:sz w:val="24"/>
          <w:szCs w:val="24"/>
        </w:rPr>
        <w:t xml:space="preserve"> S1</w:t>
      </w:r>
      <w:r w:rsidRPr="009218EA">
        <w:rPr>
          <w:rFonts w:ascii="Times New Roman" w:hAnsi="Times New Roman" w:cs="Times New Roman"/>
          <w:sz w:val="24"/>
          <w:szCs w:val="24"/>
        </w:rPr>
        <w:t>C).  Based on the combined results, 30:70 LMC:ASC ratio in 30:70 media was selected for subsequent direct co-culture experiments as this ratio displays high cell viability, similar growth curves, without a significant change to metabolic activity suggesting a stable environment.</w:t>
      </w:r>
    </w:p>
    <w:p w14:paraId="77FE6B1A" w14:textId="2F4AC84A" w:rsidR="00302C59" w:rsidRPr="009218EA" w:rsidRDefault="00302C59" w:rsidP="002D336E">
      <w:pPr>
        <w:jc w:val="both"/>
        <w:rPr>
          <w:rFonts w:ascii="Times New Roman" w:hAnsi="Times New Roman" w:cs="Times New Roman"/>
          <w:b/>
          <w:bCs/>
          <w:sz w:val="24"/>
          <w:szCs w:val="24"/>
        </w:rPr>
      </w:pPr>
    </w:p>
    <w:p w14:paraId="765FC851" w14:textId="5649A5E2" w:rsidR="00302C59" w:rsidRPr="009218EA" w:rsidRDefault="00302C59" w:rsidP="002D336E">
      <w:pPr>
        <w:jc w:val="both"/>
        <w:rPr>
          <w:rFonts w:ascii="Times New Roman" w:hAnsi="Times New Roman" w:cs="Times New Roman"/>
          <w:b/>
          <w:bCs/>
          <w:sz w:val="24"/>
          <w:szCs w:val="24"/>
        </w:rPr>
      </w:pPr>
      <w:r w:rsidRPr="009218EA">
        <w:rPr>
          <w:rFonts w:ascii="Times New Roman" w:hAnsi="Times New Roman" w:cs="Times New Roman"/>
          <w:b/>
          <w:bCs/>
          <w:noProof/>
          <w:sz w:val="24"/>
          <w:szCs w:val="24"/>
        </w:rPr>
        <w:lastRenderedPageBreak/>
        <w:drawing>
          <wp:anchor distT="0" distB="0" distL="114300" distR="114300" simplePos="0" relativeHeight="251658752" behindDoc="0" locked="0" layoutInCell="1" allowOverlap="1" wp14:anchorId="0C88C5EE" wp14:editId="4E18E933">
            <wp:simplePos x="0" y="0"/>
            <wp:positionH relativeFrom="column">
              <wp:posOffset>-266700</wp:posOffset>
            </wp:positionH>
            <wp:positionV relativeFrom="paragraph">
              <wp:posOffset>36830</wp:posOffset>
            </wp:positionV>
            <wp:extent cx="6529070" cy="8495665"/>
            <wp:effectExtent l="0" t="0" r="0" b="0"/>
            <wp:wrapTopAndBottom/>
            <wp:docPr id="201044631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529070" cy="8495665"/>
                    </a:xfrm>
                    <a:prstGeom prst="rect">
                      <a:avLst/>
                    </a:prstGeom>
                    <a:noFill/>
                  </pic:spPr>
                </pic:pic>
              </a:graphicData>
            </a:graphic>
            <wp14:sizeRelH relativeFrom="margin">
              <wp14:pctWidth>0</wp14:pctWidth>
            </wp14:sizeRelH>
            <wp14:sizeRelV relativeFrom="margin">
              <wp14:pctHeight>0</wp14:pctHeight>
            </wp14:sizeRelV>
          </wp:anchor>
        </w:drawing>
      </w:r>
    </w:p>
    <w:p w14:paraId="5394BFA4" w14:textId="31A3847E" w:rsidR="00302C59" w:rsidRPr="009218EA" w:rsidRDefault="00302C59" w:rsidP="002D336E">
      <w:pPr>
        <w:jc w:val="both"/>
        <w:rPr>
          <w:rFonts w:ascii="Times New Roman" w:hAnsi="Times New Roman" w:cs="Times New Roman"/>
          <w:b/>
          <w:bCs/>
          <w:sz w:val="24"/>
          <w:szCs w:val="24"/>
        </w:rPr>
      </w:pPr>
      <w:r w:rsidRPr="000E63B7">
        <w:rPr>
          <w:rFonts w:ascii="Times New Roman" w:hAnsi="Times New Roman" w:cs="Times New Roman"/>
          <w:b/>
          <w:bCs/>
          <w:sz w:val="24"/>
          <w:szCs w:val="24"/>
        </w:rPr>
        <w:lastRenderedPageBreak/>
        <w:t xml:space="preserve">Figure </w:t>
      </w:r>
      <w:r w:rsidR="00CE0AD5" w:rsidRPr="000E63B7">
        <w:rPr>
          <w:rFonts w:ascii="Times New Roman" w:hAnsi="Times New Roman" w:cs="Times New Roman"/>
          <w:b/>
          <w:bCs/>
          <w:sz w:val="24"/>
          <w:szCs w:val="24"/>
        </w:rPr>
        <w:t>S1</w:t>
      </w:r>
      <w:r w:rsidRPr="000E63B7">
        <w:rPr>
          <w:rFonts w:ascii="Times New Roman" w:hAnsi="Times New Roman" w:cs="Times New Roman"/>
          <w:b/>
          <w:bCs/>
          <w:sz w:val="24"/>
          <w:szCs w:val="24"/>
        </w:rPr>
        <w:t>: A)</w:t>
      </w:r>
      <w:r w:rsidRPr="009218EA">
        <w:rPr>
          <w:rFonts w:ascii="Times New Roman" w:hAnsi="Times New Roman" w:cs="Times New Roman"/>
          <w:sz w:val="24"/>
          <w:szCs w:val="24"/>
        </w:rPr>
        <w:t xml:space="preserve"> MTT data of co-culture conditions in different media combinations compared to monoculture controls – LMC cells in LMC media or ASC cells in ASC media (shaded in grey) i) 50:50 ratio of LMC:ASC ii) 70:30 ratio of LMC:ASC iii) 30:70 ratio of LMC:ASC. </w:t>
      </w:r>
      <w:r w:rsidRPr="000E63B7">
        <w:rPr>
          <w:rFonts w:ascii="Times New Roman" w:hAnsi="Times New Roman" w:cs="Times New Roman"/>
          <w:b/>
          <w:bCs/>
          <w:sz w:val="24"/>
          <w:szCs w:val="24"/>
        </w:rPr>
        <w:t>B)</w:t>
      </w:r>
      <w:r w:rsidRPr="009218EA">
        <w:rPr>
          <w:rFonts w:ascii="Times New Roman" w:hAnsi="Times New Roman" w:cs="Times New Roman"/>
          <w:sz w:val="24"/>
          <w:szCs w:val="24"/>
        </w:rPr>
        <w:t xml:space="preserve"> AlamarBlue data of co-culture conditions compared to monoculture in different media combinations i) 50:50 ratio of LMC:ASC ii) 70:30 ratio of LMC:ASC iii) 30:70 ratio of LMC:ASC. </w:t>
      </w:r>
      <w:r w:rsidRPr="000E63B7">
        <w:rPr>
          <w:rFonts w:ascii="Times New Roman" w:hAnsi="Times New Roman" w:cs="Times New Roman"/>
          <w:b/>
          <w:bCs/>
          <w:sz w:val="24"/>
          <w:szCs w:val="24"/>
        </w:rPr>
        <w:t>C)</w:t>
      </w:r>
      <w:r w:rsidRPr="009218EA">
        <w:rPr>
          <w:rFonts w:ascii="Times New Roman" w:hAnsi="Times New Roman" w:cs="Times New Roman"/>
          <w:sz w:val="24"/>
          <w:szCs w:val="24"/>
        </w:rPr>
        <w:t xml:space="preserve"> xCelligence data examining the main ratios to examine the cell growth patterns </w:t>
      </w:r>
      <w:r w:rsidRPr="00C6598F">
        <w:rPr>
          <w:rFonts w:ascii="Times New Roman" w:hAnsi="Times New Roman" w:cs="Times New Roman"/>
          <w:sz w:val="24"/>
          <w:szCs w:val="24"/>
        </w:rPr>
        <w:t>across 7 days.</w:t>
      </w:r>
    </w:p>
    <w:p w14:paraId="316A3CB7" w14:textId="77777777" w:rsidR="00F20DFB" w:rsidRPr="009218EA" w:rsidRDefault="00F20DFB" w:rsidP="002D336E">
      <w:pPr>
        <w:jc w:val="both"/>
        <w:rPr>
          <w:rFonts w:ascii="Times New Roman" w:hAnsi="Times New Roman" w:cs="Times New Roman"/>
          <w:b/>
          <w:bCs/>
          <w:sz w:val="24"/>
          <w:szCs w:val="24"/>
        </w:rPr>
      </w:pPr>
    </w:p>
    <w:p w14:paraId="41A98499" w14:textId="37D49324" w:rsidR="001F45E1" w:rsidRPr="00C6598F" w:rsidRDefault="00F20DFB" w:rsidP="002D336E">
      <w:pPr>
        <w:jc w:val="both"/>
        <w:rPr>
          <w:rFonts w:ascii="Times New Roman" w:hAnsi="Times New Roman" w:cs="Times New Roman"/>
          <w:sz w:val="24"/>
          <w:szCs w:val="24"/>
        </w:rPr>
      </w:pPr>
      <w:r w:rsidRPr="00C6598F">
        <w:rPr>
          <w:rFonts w:ascii="Times New Roman" w:hAnsi="Times New Roman" w:cs="Times New Roman"/>
          <w:b/>
          <w:bCs/>
          <w:sz w:val="24"/>
          <w:szCs w:val="24"/>
        </w:rPr>
        <w:t>Table S1:</w:t>
      </w:r>
      <w:r w:rsidRPr="00C6598F">
        <w:rPr>
          <w:rFonts w:ascii="Times New Roman" w:hAnsi="Times New Roman" w:cs="Times New Roman"/>
          <w:sz w:val="24"/>
          <w:szCs w:val="24"/>
        </w:rPr>
        <w:t xml:space="preserve"> </w:t>
      </w:r>
      <w:r w:rsidR="00DE5405" w:rsidRPr="00C6598F">
        <w:rPr>
          <w:rFonts w:ascii="Times New Roman" w:hAnsi="Times New Roman" w:cs="Times New Roman"/>
          <w:sz w:val="24"/>
          <w:szCs w:val="24"/>
        </w:rPr>
        <w:t>Bulk RNA Seq</w:t>
      </w:r>
      <w:r w:rsidR="002B163B" w:rsidRPr="00C6598F">
        <w:rPr>
          <w:rFonts w:ascii="Times New Roman" w:hAnsi="Times New Roman" w:cs="Times New Roman"/>
          <w:sz w:val="24"/>
          <w:szCs w:val="24"/>
        </w:rPr>
        <w:t>uencing packages used within Galaxy and RStudio</w:t>
      </w:r>
    </w:p>
    <w:tbl>
      <w:tblPr>
        <w:tblW w:w="9351" w:type="dxa"/>
        <w:tblInd w:w="113" w:type="dxa"/>
        <w:tblLook w:val="04A0" w:firstRow="1" w:lastRow="0" w:firstColumn="1" w:lastColumn="0" w:noHBand="0" w:noVBand="1"/>
      </w:tblPr>
      <w:tblGrid>
        <w:gridCol w:w="1883"/>
        <w:gridCol w:w="2507"/>
        <w:gridCol w:w="2965"/>
        <w:gridCol w:w="1996"/>
      </w:tblGrid>
      <w:tr w:rsidR="00C6244E" w:rsidRPr="009218EA" w14:paraId="361EED5B" w14:textId="77777777" w:rsidTr="00085B5D">
        <w:trPr>
          <w:trHeight w:val="315"/>
        </w:trPr>
        <w:tc>
          <w:tcPr>
            <w:tcW w:w="1883" w:type="dxa"/>
            <w:tcBorders>
              <w:top w:val="single" w:sz="4" w:space="0" w:color="auto"/>
              <w:left w:val="single" w:sz="4" w:space="0" w:color="auto"/>
              <w:bottom w:val="single" w:sz="4" w:space="0" w:color="auto"/>
              <w:right w:val="single" w:sz="4" w:space="0" w:color="auto"/>
            </w:tcBorders>
            <w:noWrap/>
            <w:vAlign w:val="center"/>
            <w:hideMark/>
          </w:tcPr>
          <w:p w14:paraId="5C3740C9"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r w:rsidRPr="009218EA">
              <w:rPr>
                <w:rFonts w:ascii="Times New Roman" w:eastAsia="Times New Roman" w:hAnsi="Times New Roman" w:cs="Times New Roman"/>
                <w:b/>
                <w:bCs/>
                <w:color w:val="000000"/>
                <w:kern w:val="0"/>
                <w:sz w:val="24"/>
                <w:szCs w:val="24"/>
                <w14:ligatures w14:val="none"/>
              </w:rPr>
              <w:t>Package</w:t>
            </w:r>
          </w:p>
        </w:tc>
        <w:tc>
          <w:tcPr>
            <w:tcW w:w="2507" w:type="dxa"/>
            <w:tcBorders>
              <w:top w:val="single" w:sz="4" w:space="0" w:color="auto"/>
              <w:left w:val="nil"/>
              <w:bottom w:val="single" w:sz="4" w:space="0" w:color="auto"/>
              <w:right w:val="single" w:sz="4" w:space="0" w:color="auto"/>
            </w:tcBorders>
            <w:noWrap/>
            <w:vAlign w:val="center"/>
            <w:hideMark/>
          </w:tcPr>
          <w:p w14:paraId="4EBD34F6"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r w:rsidRPr="009218EA">
              <w:rPr>
                <w:rFonts w:ascii="Times New Roman" w:eastAsia="Times New Roman" w:hAnsi="Times New Roman" w:cs="Times New Roman"/>
                <w:b/>
                <w:bCs/>
                <w:color w:val="000000"/>
                <w:kern w:val="0"/>
                <w:sz w:val="24"/>
                <w:szCs w:val="24"/>
                <w14:ligatures w14:val="none"/>
              </w:rPr>
              <w:t>Version</w:t>
            </w:r>
          </w:p>
        </w:tc>
        <w:tc>
          <w:tcPr>
            <w:tcW w:w="2965" w:type="dxa"/>
            <w:tcBorders>
              <w:top w:val="single" w:sz="4" w:space="0" w:color="auto"/>
              <w:left w:val="nil"/>
              <w:bottom w:val="single" w:sz="4" w:space="0" w:color="auto"/>
              <w:right w:val="single" w:sz="4" w:space="0" w:color="auto"/>
            </w:tcBorders>
            <w:noWrap/>
            <w:vAlign w:val="center"/>
            <w:hideMark/>
          </w:tcPr>
          <w:p w14:paraId="4BA5A851"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r w:rsidRPr="009218EA">
              <w:rPr>
                <w:rFonts w:ascii="Times New Roman" w:eastAsia="Times New Roman" w:hAnsi="Times New Roman" w:cs="Times New Roman"/>
                <w:b/>
                <w:bCs/>
                <w:color w:val="000000"/>
                <w:kern w:val="0"/>
                <w:sz w:val="24"/>
                <w:szCs w:val="24"/>
                <w14:ligatures w14:val="none"/>
              </w:rPr>
              <w:t>Package</w:t>
            </w:r>
          </w:p>
        </w:tc>
        <w:tc>
          <w:tcPr>
            <w:tcW w:w="1996" w:type="dxa"/>
            <w:tcBorders>
              <w:top w:val="single" w:sz="4" w:space="0" w:color="auto"/>
              <w:left w:val="nil"/>
              <w:bottom w:val="single" w:sz="4" w:space="0" w:color="auto"/>
              <w:right w:val="single" w:sz="4" w:space="0" w:color="auto"/>
            </w:tcBorders>
            <w:noWrap/>
            <w:vAlign w:val="center"/>
            <w:hideMark/>
          </w:tcPr>
          <w:p w14:paraId="2D371B4C"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r w:rsidRPr="009218EA">
              <w:rPr>
                <w:rFonts w:ascii="Times New Roman" w:eastAsia="Times New Roman" w:hAnsi="Times New Roman" w:cs="Times New Roman"/>
                <w:b/>
                <w:bCs/>
                <w:color w:val="000000"/>
                <w:kern w:val="0"/>
                <w:sz w:val="24"/>
                <w:szCs w:val="24"/>
                <w14:ligatures w14:val="none"/>
              </w:rPr>
              <w:t>Version</w:t>
            </w:r>
          </w:p>
        </w:tc>
      </w:tr>
      <w:tr w:rsidR="00C6244E" w:rsidRPr="009218EA" w14:paraId="10A2794D"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5B847F1E"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AnnotationDbi</w:t>
            </w:r>
            <w:proofErr w:type="spellEnd"/>
          </w:p>
        </w:tc>
        <w:tc>
          <w:tcPr>
            <w:tcW w:w="2507" w:type="dxa"/>
            <w:tcBorders>
              <w:top w:val="nil"/>
              <w:left w:val="nil"/>
              <w:bottom w:val="single" w:sz="4" w:space="0" w:color="auto"/>
              <w:right w:val="single" w:sz="4" w:space="0" w:color="auto"/>
            </w:tcBorders>
            <w:noWrap/>
            <w:vAlign w:val="center"/>
            <w:hideMark/>
          </w:tcPr>
          <w:p w14:paraId="050D918C"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1.64.1</w:t>
            </w:r>
          </w:p>
        </w:tc>
        <w:tc>
          <w:tcPr>
            <w:tcW w:w="2965" w:type="dxa"/>
            <w:tcBorders>
              <w:top w:val="nil"/>
              <w:left w:val="nil"/>
              <w:bottom w:val="single" w:sz="4" w:space="0" w:color="auto"/>
              <w:right w:val="single" w:sz="4" w:space="0" w:color="auto"/>
            </w:tcBorders>
            <w:noWrap/>
            <w:vAlign w:val="center"/>
            <w:hideMark/>
          </w:tcPr>
          <w:p w14:paraId="74954DB2"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ggrepel</w:t>
            </w:r>
            <w:proofErr w:type="spellEnd"/>
          </w:p>
        </w:tc>
        <w:tc>
          <w:tcPr>
            <w:tcW w:w="1996" w:type="dxa"/>
            <w:tcBorders>
              <w:top w:val="nil"/>
              <w:left w:val="nil"/>
              <w:bottom w:val="single" w:sz="4" w:space="0" w:color="auto"/>
              <w:right w:val="single" w:sz="4" w:space="0" w:color="auto"/>
            </w:tcBorders>
            <w:noWrap/>
            <w:vAlign w:val="center"/>
            <w:hideMark/>
          </w:tcPr>
          <w:p w14:paraId="1ED29B74"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0.9.6</w:t>
            </w:r>
          </w:p>
        </w:tc>
      </w:tr>
      <w:tr w:rsidR="00C6244E" w:rsidRPr="009218EA" w14:paraId="153B4589"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44142F60"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Biobase</w:t>
            </w:r>
            <w:proofErr w:type="spellEnd"/>
          </w:p>
        </w:tc>
        <w:tc>
          <w:tcPr>
            <w:tcW w:w="2507" w:type="dxa"/>
            <w:tcBorders>
              <w:top w:val="nil"/>
              <w:left w:val="nil"/>
              <w:bottom w:val="single" w:sz="4" w:space="0" w:color="auto"/>
              <w:right w:val="single" w:sz="4" w:space="0" w:color="auto"/>
            </w:tcBorders>
            <w:noWrap/>
            <w:vAlign w:val="center"/>
            <w:hideMark/>
          </w:tcPr>
          <w:p w14:paraId="556A5CC0"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2.62.0</w:t>
            </w:r>
          </w:p>
        </w:tc>
        <w:tc>
          <w:tcPr>
            <w:tcW w:w="2965" w:type="dxa"/>
            <w:tcBorders>
              <w:top w:val="nil"/>
              <w:left w:val="nil"/>
              <w:bottom w:val="single" w:sz="4" w:space="0" w:color="auto"/>
              <w:right w:val="single" w:sz="4" w:space="0" w:color="auto"/>
            </w:tcBorders>
            <w:noWrap/>
            <w:vAlign w:val="center"/>
            <w:hideMark/>
          </w:tcPr>
          <w:p w14:paraId="6C751AA6"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ggtext</w:t>
            </w:r>
            <w:proofErr w:type="spellEnd"/>
          </w:p>
        </w:tc>
        <w:tc>
          <w:tcPr>
            <w:tcW w:w="1996" w:type="dxa"/>
            <w:tcBorders>
              <w:top w:val="nil"/>
              <w:left w:val="nil"/>
              <w:bottom w:val="single" w:sz="4" w:space="0" w:color="auto"/>
              <w:right w:val="single" w:sz="4" w:space="0" w:color="auto"/>
            </w:tcBorders>
            <w:noWrap/>
            <w:vAlign w:val="center"/>
            <w:hideMark/>
          </w:tcPr>
          <w:p w14:paraId="638C3788"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0.1.2</w:t>
            </w:r>
          </w:p>
        </w:tc>
      </w:tr>
      <w:tr w:rsidR="00C6244E" w:rsidRPr="009218EA" w14:paraId="1052C23F"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1DE7462E"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BiocGenerics</w:t>
            </w:r>
            <w:proofErr w:type="spellEnd"/>
          </w:p>
        </w:tc>
        <w:tc>
          <w:tcPr>
            <w:tcW w:w="2507" w:type="dxa"/>
            <w:tcBorders>
              <w:top w:val="nil"/>
              <w:left w:val="nil"/>
              <w:bottom w:val="single" w:sz="4" w:space="0" w:color="auto"/>
              <w:right w:val="single" w:sz="4" w:space="0" w:color="auto"/>
            </w:tcBorders>
            <w:noWrap/>
            <w:vAlign w:val="center"/>
            <w:hideMark/>
          </w:tcPr>
          <w:p w14:paraId="4C7C0909"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0.48.1</w:t>
            </w:r>
          </w:p>
        </w:tc>
        <w:tc>
          <w:tcPr>
            <w:tcW w:w="2965" w:type="dxa"/>
            <w:tcBorders>
              <w:top w:val="nil"/>
              <w:left w:val="nil"/>
              <w:bottom w:val="single" w:sz="4" w:space="0" w:color="auto"/>
              <w:right w:val="single" w:sz="4" w:space="0" w:color="auto"/>
            </w:tcBorders>
            <w:noWrap/>
            <w:vAlign w:val="center"/>
            <w:hideMark/>
          </w:tcPr>
          <w:p w14:paraId="4D736C32"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IRanges</w:t>
            </w:r>
            <w:proofErr w:type="spellEnd"/>
          </w:p>
        </w:tc>
        <w:tc>
          <w:tcPr>
            <w:tcW w:w="1996" w:type="dxa"/>
            <w:tcBorders>
              <w:top w:val="nil"/>
              <w:left w:val="nil"/>
              <w:bottom w:val="single" w:sz="4" w:space="0" w:color="auto"/>
              <w:right w:val="single" w:sz="4" w:space="0" w:color="auto"/>
            </w:tcBorders>
            <w:noWrap/>
            <w:vAlign w:val="center"/>
            <w:hideMark/>
          </w:tcPr>
          <w:p w14:paraId="600A9068"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2.36.0</w:t>
            </w:r>
          </w:p>
        </w:tc>
      </w:tr>
      <w:tr w:rsidR="00C6244E" w:rsidRPr="009218EA" w14:paraId="41BD44EE"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51F2A3E8"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BiocParallel</w:t>
            </w:r>
            <w:proofErr w:type="spellEnd"/>
          </w:p>
        </w:tc>
        <w:tc>
          <w:tcPr>
            <w:tcW w:w="2507" w:type="dxa"/>
            <w:tcBorders>
              <w:top w:val="nil"/>
              <w:left w:val="nil"/>
              <w:bottom w:val="single" w:sz="4" w:space="0" w:color="auto"/>
              <w:right w:val="single" w:sz="4" w:space="0" w:color="auto"/>
            </w:tcBorders>
            <w:noWrap/>
            <w:vAlign w:val="center"/>
            <w:hideMark/>
          </w:tcPr>
          <w:p w14:paraId="6486DDE3"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1.36.0</w:t>
            </w:r>
          </w:p>
        </w:tc>
        <w:tc>
          <w:tcPr>
            <w:tcW w:w="2965" w:type="dxa"/>
            <w:tcBorders>
              <w:top w:val="nil"/>
              <w:left w:val="nil"/>
              <w:bottom w:val="single" w:sz="4" w:space="0" w:color="auto"/>
              <w:right w:val="single" w:sz="4" w:space="0" w:color="auto"/>
            </w:tcBorders>
            <w:noWrap/>
            <w:vAlign w:val="center"/>
            <w:hideMark/>
          </w:tcPr>
          <w:p w14:paraId="24FB28CE"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MatrixGenerics</w:t>
            </w:r>
            <w:proofErr w:type="spellEnd"/>
          </w:p>
        </w:tc>
        <w:tc>
          <w:tcPr>
            <w:tcW w:w="1996" w:type="dxa"/>
            <w:tcBorders>
              <w:top w:val="nil"/>
              <w:left w:val="nil"/>
              <w:bottom w:val="single" w:sz="4" w:space="0" w:color="auto"/>
              <w:right w:val="single" w:sz="4" w:space="0" w:color="auto"/>
            </w:tcBorders>
            <w:noWrap/>
            <w:vAlign w:val="center"/>
            <w:hideMark/>
          </w:tcPr>
          <w:p w14:paraId="52592A6C"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1.14.0</w:t>
            </w:r>
          </w:p>
        </w:tc>
      </w:tr>
      <w:tr w:rsidR="00C6244E" w:rsidRPr="009218EA" w14:paraId="65E4FB44"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150A342F"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biomaRt</w:t>
            </w:r>
            <w:proofErr w:type="spellEnd"/>
          </w:p>
        </w:tc>
        <w:tc>
          <w:tcPr>
            <w:tcW w:w="2507" w:type="dxa"/>
            <w:tcBorders>
              <w:top w:val="nil"/>
              <w:left w:val="nil"/>
              <w:bottom w:val="single" w:sz="4" w:space="0" w:color="auto"/>
              <w:right w:val="single" w:sz="4" w:space="0" w:color="auto"/>
            </w:tcBorders>
            <w:noWrap/>
            <w:vAlign w:val="center"/>
            <w:hideMark/>
          </w:tcPr>
          <w:p w14:paraId="43809AC2"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2.58.2</w:t>
            </w:r>
          </w:p>
        </w:tc>
        <w:tc>
          <w:tcPr>
            <w:tcW w:w="2965" w:type="dxa"/>
            <w:tcBorders>
              <w:top w:val="nil"/>
              <w:left w:val="nil"/>
              <w:bottom w:val="single" w:sz="4" w:space="0" w:color="auto"/>
              <w:right w:val="single" w:sz="4" w:space="0" w:color="auto"/>
            </w:tcBorders>
            <w:noWrap/>
            <w:vAlign w:val="center"/>
            <w:hideMark/>
          </w:tcPr>
          <w:p w14:paraId="37BDDA58"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matrixStats</w:t>
            </w:r>
            <w:proofErr w:type="spellEnd"/>
          </w:p>
        </w:tc>
        <w:tc>
          <w:tcPr>
            <w:tcW w:w="1996" w:type="dxa"/>
            <w:tcBorders>
              <w:top w:val="nil"/>
              <w:left w:val="nil"/>
              <w:bottom w:val="single" w:sz="4" w:space="0" w:color="auto"/>
              <w:right w:val="single" w:sz="4" w:space="0" w:color="auto"/>
            </w:tcBorders>
            <w:noWrap/>
            <w:vAlign w:val="center"/>
            <w:hideMark/>
          </w:tcPr>
          <w:p w14:paraId="096E41F5"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1.5.0</w:t>
            </w:r>
          </w:p>
        </w:tc>
      </w:tr>
      <w:tr w:rsidR="00C6244E" w:rsidRPr="009218EA" w14:paraId="1B5F9C21"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1C884070"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r w:rsidRPr="009218EA">
              <w:rPr>
                <w:rFonts w:ascii="Times New Roman" w:eastAsia="Times New Roman" w:hAnsi="Times New Roman" w:cs="Times New Roman"/>
                <w:b/>
                <w:bCs/>
                <w:color w:val="000000"/>
                <w:kern w:val="0"/>
                <w:sz w:val="24"/>
                <w:szCs w:val="24"/>
                <w14:ligatures w14:val="none"/>
              </w:rPr>
              <w:t>Cutadapt</w:t>
            </w:r>
          </w:p>
        </w:tc>
        <w:tc>
          <w:tcPr>
            <w:tcW w:w="2507" w:type="dxa"/>
            <w:tcBorders>
              <w:top w:val="nil"/>
              <w:left w:val="nil"/>
              <w:bottom w:val="single" w:sz="4" w:space="0" w:color="auto"/>
              <w:right w:val="single" w:sz="4" w:space="0" w:color="auto"/>
            </w:tcBorders>
            <w:noWrap/>
            <w:vAlign w:val="bottom"/>
            <w:hideMark/>
          </w:tcPr>
          <w:p w14:paraId="321CCF45"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Galaxy Version 5.1+galaxy0</w:t>
            </w:r>
          </w:p>
        </w:tc>
        <w:tc>
          <w:tcPr>
            <w:tcW w:w="2965" w:type="dxa"/>
            <w:tcBorders>
              <w:top w:val="nil"/>
              <w:left w:val="nil"/>
              <w:bottom w:val="single" w:sz="4" w:space="0" w:color="auto"/>
              <w:right w:val="single" w:sz="4" w:space="0" w:color="auto"/>
            </w:tcBorders>
            <w:noWrap/>
            <w:vAlign w:val="center"/>
            <w:hideMark/>
          </w:tcPr>
          <w:p w14:paraId="164867F4"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MultiQC</w:t>
            </w:r>
            <w:proofErr w:type="spellEnd"/>
          </w:p>
        </w:tc>
        <w:tc>
          <w:tcPr>
            <w:tcW w:w="1996" w:type="dxa"/>
            <w:tcBorders>
              <w:top w:val="nil"/>
              <w:left w:val="nil"/>
              <w:bottom w:val="single" w:sz="4" w:space="0" w:color="auto"/>
              <w:right w:val="single" w:sz="4" w:space="0" w:color="auto"/>
            </w:tcBorders>
            <w:noWrap/>
            <w:vAlign w:val="bottom"/>
            <w:hideMark/>
          </w:tcPr>
          <w:p w14:paraId="72C8C5F7"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Galaxy Version 1.27+galaxy3</w:t>
            </w:r>
          </w:p>
        </w:tc>
      </w:tr>
      <w:tr w:rsidR="00C6244E" w:rsidRPr="009218EA" w14:paraId="7CA448A6"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3DF55A28"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r w:rsidRPr="009218EA">
              <w:rPr>
                <w:rFonts w:ascii="Times New Roman" w:eastAsia="Times New Roman" w:hAnsi="Times New Roman" w:cs="Times New Roman"/>
                <w:b/>
                <w:bCs/>
                <w:color w:val="000000"/>
                <w:kern w:val="0"/>
                <w:sz w:val="24"/>
                <w:szCs w:val="24"/>
                <w14:ligatures w14:val="none"/>
              </w:rPr>
              <w:t>DESeq2</w:t>
            </w:r>
          </w:p>
        </w:tc>
        <w:tc>
          <w:tcPr>
            <w:tcW w:w="2507" w:type="dxa"/>
            <w:tcBorders>
              <w:top w:val="nil"/>
              <w:left w:val="nil"/>
              <w:bottom w:val="single" w:sz="4" w:space="0" w:color="auto"/>
              <w:right w:val="single" w:sz="4" w:space="0" w:color="auto"/>
            </w:tcBorders>
            <w:noWrap/>
            <w:vAlign w:val="center"/>
            <w:hideMark/>
          </w:tcPr>
          <w:p w14:paraId="089084E7"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1.42.1</w:t>
            </w:r>
          </w:p>
        </w:tc>
        <w:tc>
          <w:tcPr>
            <w:tcW w:w="2965" w:type="dxa"/>
            <w:tcBorders>
              <w:top w:val="nil"/>
              <w:left w:val="nil"/>
              <w:bottom w:val="single" w:sz="4" w:space="0" w:color="auto"/>
              <w:right w:val="single" w:sz="4" w:space="0" w:color="auto"/>
            </w:tcBorders>
            <w:noWrap/>
            <w:vAlign w:val="center"/>
            <w:hideMark/>
          </w:tcPr>
          <w:p w14:paraId="2B4759A0"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org.Hs.eg.db</w:t>
            </w:r>
            <w:proofErr w:type="spellEnd"/>
          </w:p>
        </w:tc>
        <w:tc>
          <w:tcPr>
            <w:tcW w:w="1996" w:type="dxa"/>
            <w:tcBorders>
              <w:top w:val="nil"/>
              <w:left w:val="nil"/>
              <w:bottom w:val="single" w:sz="4" w:space="0" w:color="auto"/>
              <w:right w:val="single" w:sz="4" w:space="0" w:color="auto"/>
            </w:tcBorders>
            <w:noWrap/>
            <w:vAlign w:val="center"/>
            <w:hideMark/>
          </w:tcPr>
          <w:p w14:paraId="6B462271"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3.18.0</w:t>
            </w:r>
          </w:p>
        </w:tc>
      </w:tr>
      <w:tr w:rsidR="00C6244E" w:rsidRPr="009218EA" w14:paraId="792E523D"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45841565"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devtools</w:t>
            </w:r>
            <w:proofErr w:type="spellEnd"/>
          </w:p>
        </w:tc>
        <w:tc>
          <w:tcPr>
            <w:tcW w:w="2507" w:type="dxa"/>
            <w:tcBorders>
              <w:top w:val="nil"/>
              <w:left w:val="nil"/>
              <w:bottom w:val="single" w:sz="4" w:space="0" w:color="auto"/>
              <w:right w:val="single" w:sz="4" w:space="0" w:color="auto"/>
            </w:tcBorders>
            <w:noWrap/>
            <w:vAlign w:val="center"/>
            <w:hideMark/>
          </w:tcPr>
          <w:p w14:paraId="77359EBA"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2.4.5</w:t>
            </w:r>
          </w:p>
        </w:tc>
        <w:tc>
          <w:tcPr>
            <w:tcW w:w="2965" w:type="dxa"/>
            <w:tcBorders>
              <w:top w:val="nil"/>
              <w:left w:val="nil"/>
              <w:bottom w:val="single" w:sz="4" w:space="0" w:color="auto"/>
              <w:right w:val="single" w:sz="4" w:space="0" w:color="auto"/>
            </w:tcBorders>
            <w:noWrap/>
            <w:vAlign w:val="center"/>
            <w:hideMark/>
          </w:tcPr>
          <w:p w14:paraId="5F173A02"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pheatmap</w:t>
            </w:r>
            <w:proofErr w:type="spellEnd"/>
          </w:p>
        </w:tc>
        <w:tc>
          <w:tcPr>
            <w:tcW w:w="1996" w:type="dxa"/>
            <w:tcBorders>
              <w:top w:val="nil"/>
              <w:left w:val="nil"/>
              <w:bottom w:val="single" w:sz="4" w:space="0" w:color="auto"/>
              <w:right w:val="single" w:sz="4" w:space="0" w:color="auto"/>
            </w:tcBorders>
            <w:noWrap/>
            <w:vAlign w:val="center"/>
            <w:hideMark/>
          </w:tcPr>
          <w:p w14:paraId="1919430F"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1.0.13</w:t>
            </w:r>
          </w:p>
        </w:tc>
      </w:tr>
      <w:tr w:rsidR="00C6244E" w:rsidRPr="009218EA" w14:paraId="60F19072"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0115EC6B"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dplyr</w:t>
            </w:r>
            <w:proofErr w:type="spellEnd"/>
          </w:p>
        </w:tc>
        <w:tc>
          <w:tcPr>
            <w:tcW w:w="2507" w:type="dxa"/>
            <w:tcBorders>
              <w:top w:val="nil"/>
              <w:left w:val="nil"/>
              <w:bottom w:val="single" w:sz="4" w:space="0" w:color="auto"/>
              <w:right w:val="single" w:sz="4" w:space="0" w:color="auto"/>
            </w:tcBorders>
            <w:noWrap/>
            <w:vAlign w:val="center"/>
            <w:hideMark/>
          </w:tcPr>
          <w:p w14:paraId="411B7AE5"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1.1.4</w:t>
            </w:r>
          </w:p>
        </w:tc>
        <w:tc>
          <w:tcPr>
            <w:tcW w:w="2965" w:type="dxa"/>
            <w:tcBorders>
              <w:top w:val="nil"/>
              <w:left w:val="nil"/>
              <w:bottom w:val="single" w:sz="4" w:space="0" w:color="auto"/>
              <w:right w:val="single" w:sz="4" w:space="0" w:color="auto"/>
            </w:tcBorders>
            <w:noWrap/>
            <w:vAlign w:val="center"/>
            <w:hideMark/>
          </w:tcPr>
          <w:p w14:paraId="56467B9B"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PoiClaClu</w:t>
            </w:r>
            <w:proofErr w:type="spellEnd"/>
          </w:p>
        </w:tc>
        <w:tc>
          <w:tcPr>
            <w:tcW w:w="1996" w:type="dxa"/>
            <w:tcBorders>
              <w:top w:val="nil"/>
              <w:left w:val="nil"/>
              <w:bottom w:val="single" w:sz="4" w:space="0" w:color="auto"/>
              <w:right w:val="single" w:sz="4" w:space="0" w:color="auto"/>
            </w:tcBorders>
            <w:noWrap/>
            <w:vAlign w:val="center"/>
            <w:hideMark/>
          </w:tcPr>
          <w:p w14:paraId="6900DB7F"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1.0.2.1</w:t>
            </w:r>
          </w:p>
        </w:tc>
      </w:tr>
      <w:tr w:rsidR="00C6244E" w:rsidRPr="009218EA" w14:paraId="778AE927"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2E3F422D"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enrichR</w:t>
            </w:r>
            <w:proofErr w:type="spellEnd"/>
          </w:p>
        </w:tc>
        <w:tc>
          <w:tcPr>
            <w:tcW w:w="2507" w:type="dxa"/>
            <w:tcBorders>
              <w:top w:val="nil"/>
              <w:left w:val="nil"/>
              <w:bottom w:val="single" w:sz="4" w:space="0" w:color="auto"/>
              <w:right w:val="single" w:sz="4" w:space="0" w:color="auto"/>
            </w:tcBorders>
            <w:noWrap/>
            <w:vAlign w:val="center"/>
            <w:hideMark/>
          </w:tcPr>
          <w:p w14:paraId="4BDA8D3E"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3.4</w:t>
            </w:r>
          </w:p>
        </w:tc>
        <w:tc>
          <w:tcPr>
            <w:tcW w:w="2965" w:type="dxa"/>
            <w:tcBorders>
              <w:top w:val="nil"/>
              <w:left w:val="nil"/>
              <w:bottom w:val="single" w:sz="4" w:space="0" w:color="auto"/>
              <w:right w:val="single" w:sz="4" w:space="0" w:color="auto"/>
            </w:tcBorders>
            <w:noWrap/>
            <w:vAlign w:val="center"/>
            <w:hideMark/>
          </w:tcPr>
          <w:p w14:paraId="1A6955A6"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purrr</w:t>
            </w:r>
            <w:proofErr w:type="spellEnd"/>
          </w:p>
        </w:tc>
        <w:tc>
          <w:tcPr>
            <w:tcW w:w="1996" w:type="dxa"/>
            <w:tcBorders>
              <w:top w:val="nil"/>
              <w:left w:val="nil"/>
              <w:bottom w:val="single" w:sz="4" w:space="0" w:color="auto"/>
              <w:right w:val="single" w:sz="4" w:space="0" w:color="auto"/>
            </w:tcBorders>
            <w:noWrap/>
            <w:vAlign w:val="center"/>
            <w:hideMark/>
          </w:tcPr>
          <w:p w14:paraId="560777C7"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1.1.0</w:t>
            </w:r>
          </w:p>
        </w:tc>
      </w:tr>
      <w:tr w:rsidR="00C6244E" w:rsidRPr="009218EA" w14:paraId="6BE24628"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271F7189"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r w:rsidRPr="009218EA">
              <w:rPr>
                <w:rFonts w:ascii="Times New Roman" w:eastAsia="Times New Roman" w:hAnsi="Times New Roman" w:cs="Times New Roman"/>
                <w:b/>
                <w:bCs/>
                <w:color w:val="000000"/>
                <w:kern w:val="0"/>
                <w:sz w:val="24"/>
                <w:szCs w:val="24"/>
                <w14:ligatures w14:val="none"/>
              </w:rPr>
              <w:t>Falco</w:t>
            </w:r>
          </w:p>
        </w:tc>
        <w:tc>
          <w:tcPr>
            <w:tcW w:w="2507" w:type="dxa"/>
            <w:tcBorders>
              <w:top w:val="nil"/>
              <w:left w:val="nil"/>
              <w:bottom w:val="single" w:sz="4" w:space="0" w:color="auto"/>
              <w:right w:val="single" w:sz="4" w:space="0" w:color="auto"/>
            </w:tcBorders>
            <w:noWrap/>
            <w:vAlign w:val="center"/>
            <w:hideMark/>
          </w:tcPr>
          <w:p w14:paraId="7C534BB0"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Galaxy Version 1.2.4 +galaxy0</w:t>
            </w:r>
          </w:p>
        </w:tc>
        <w:tc>
          <w:tcPr>
            <w:tcW w:w="2965" w:type="dxa"/>
            <w:tcBorders>
              <w:top w:val="nil"/>
              <w:left w:val="nil"/>
              <w:bottom w:val="single" w:sz="4" w:space="0" w:color="auto"/>
              <w:right w:val="single" w:sz="4" w:space="0" w:color="auto"/>
            </w:tcBorders>
            <w:noWrap/>
            <w:vAlign w:val="center"/>
            <w:hideMark/>
          </w:tcPr>
          <w:p w14:paraId="228BA49D"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RColorBrewer</w:t>
            </w:r>
            <w:proofErr w:type="spellEnd"/>
          </w:p>
        </w:tc>
        <w:tc>
          <w:tcPr>
            <w:tcW w:w="1996" w:type="dxa"/>
            <w:tcBorders>
              <w:top w:val="nil"/>
              <w:left w:val="nil"/>
              <w:bottom w:val="single" w:sz="4" w:space="0" w:color="auto"/>
              <w:right w:val="single" w:sz="4" w:space="0" w:color="auto"/>
            </w:tcBorders>
            <w:noWrap/>
            <w:vAlign w:val="center"/>
            <w:hideMark/>
          </w:tcPr>
          <w:p w14:paraId="6236D04F"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1.1.3</w:t>
            </w:r>
          </w:p>
        </w:tc>
      </w:tr>
      <w:tr w:rsidR="00C6244E" w:rsidRPr="009218EA" w14:paraId="0644F6F4"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62AA561A"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Fastp</w:t>
            </w:r>
            <w:proofErr w:type="spellEnd"/>
          </w:p>
        </w:tc>
        <w:tc>
          <w:tcPr>
            <w:tcW w:w="2507" w:type="dxa"/>
            <w:tcBorders>
              <w:top w:val="nil"/>
              <w:left w:val="nil"/>
              <w:bottom w:val="single" w:sz="4" w:space="0" w:color="auto"/>
              <w:right w:val="single" w:sz="4" w:space="0" w:color="auto"/>
            </w:tcBorders>
            <w:noWrap/>
            <w:vAlign w:val="bottom"/>
            <w:hideMark/>
          </w:tcPr>
          <w:p w14:paraId="3BB6211A"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Galaxy Version 1.0.1+galaxy1</w:t>
            </w:r>
          </w:p>
        </w:tc>
        <w:tc>
          <w:tcPr>
            <w:tcW w:w="2965" w:type="dxa"/>
            <w:tcBorders>
              <w:top w:val="nil"/>
              <w:left w:val="nil"/>
              <w:bottom w:val="single" w:sz="4" w:space="0" w:color="auto"/>
              <w:right w:val="single" w:sz="4" w:space="0" w:color="auto"/>
            </w:tcBorders>
            <w:noWrap/>
            <w:vAlign w:val="center"/>
            <w:hideMark/>
          </w:tcPr>
          <w:p w14:paraId="5520AD5F"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readxl</w:t>
            </w:r>
            <w:proofErr w:type="spellEnd"/>
          </w:p>
        </w:tc>
        <w:tc>
          <w:tcPr>
            <w:tcW w:w="1996" w:type="dxa"/>
            <w:tcBorders>
              <w:top w:val="nil"/>
              <w:left w:val="nil"/>
              <w:bottom w:val="single" w:sz="4" w:space="0" w:color="auto"/>
              <w:right w:val="single" w:sz="4" w:space="0" w:color="auto"/>
            </w:tcBorders>
            <w:noWrap/>
            <w:vAlign w:val="center"/>
            <w:hideMark/>
          </w:tcPr>
          <w:p w14:paraId="61A807ED"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1.4.5</w:t>
            </w:r>
          </w:p>
        </w:tc>
      </w:tr>
      <w:tr w:rsidR="00C6244E" w:rsidRPr="009218EA" w14:paraId="6C0ABAD8"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1EC298AE"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r w:rsidRPr="009218EA">
              <w:rPr>
                <w:rFonts w:ascii="Times New Roman" w:eastAsia="Times New Roman" w:hAnsi="Times New Roman" w:cs="Times New Roman"/>
                <w:b/>
                <w:bCs/>
                <w:color w:val="000000"/>
                <w:kern w:val="0"/>
                <w:sz w:val="24"/>
                <w:szCs w:val="24"/>
                <w14:ligatures w14:val="none"/>
              </w:rPr>
              <w:t>Flatten Collection</w:t>
            </w:r>
          </w:p>
        </w:tc>
        <w:tc>
          <w:tcPr>
            <w:tcW w:w="2507" w:type="dxa"/>
            <w:tcBorders>
              <w:top w:val="nil"/>
              <w:left w:val="nil"/>
              <w:bottom w:val="single" w:sz="4" w:space="0" w:color="auto"/>
              <w:right w:val="single" w:sz="4" w:space="0" w:color="auto"/>
            </w:tcBorders>
            <w:noWrap/>
            <w:vAlign w:val="center"/>
            <w:hideMark/>
          </w:tcPr>
          <w:p w14:paraId="2A67FADE"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Galaxy Version 1.0.0</w:t>
            </w:r>
          </w:p>
        </w:tc>
        <w:tc>
          <w:tcPr>
            <w:tcW w:w="2965" w:type="dxa"/>
            <w:tcBorders>
              <w:top w:val="nil"/>
              <w:left w:val="nil"/>
              <w:bottom w:val="single" w:sz="4" w:space="0" w:color="auto"/>
              <w:right w:val="single" w:sz="4" w:space="0" w:color="auto"/>
            </w:tcBorders>
            <w:noWrap/>
            <w:vAlign w:val="center"/>
            <w:hideMark/>
          </w:tcPr>
          <w:p w14:paraId="720FDE34"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r w:rsidRPr="009218EA">
              <w:rPr>
                <w:rFonts w:ascii="Times New Roman" w:eastAsia="Times New Roman" w:hAnsi="Times New Roman" w:cs="Times New Roman"/>
                <w:b/>
                <w:bCs/>
                <w:color w:val="000000"/>
                <w:kern w:val="0"/>
                <w:sz w:val="24"/>
                <w:szCs w:val="24"/>
                <w14:ligatures w14:val="none"/>
              </w:rPr>
              <w:t>reshape2</w:t>
            </w:r>
          </w:p>
        </w:tc>
        <w:tc>
          <w:tcPr>
            <w:tcW w:w="1996" w:type="dxa"/>
            <w:tcBorders>
              <w:top w:val="nil"/>
              <w:left w:val="nil"/>
              <w:bottom w:val="single" w:sz="4" w:space="0" w:color="auto"/>
              <w:right w:val="single" w:sz="4" w:space="0" w:color="auto"/>
            </w:tcBorders>
            <w:noWrap/>
            <w:vAlign w:val="center"/>
            <w:hideMark/>
          </w:tcPr>
          <w:p w14:paraId="65CC5CA3"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1.4.4</w:t>
            </w:r>
          </w:p>
        </w:tc>
      </w:tr>
      <w:tr w:rsidR="00C6244E" w:rsidRPr="009218EA" w14:paraId="5EB03988"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72AEE44E"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genefilter</w:t>
            </w:r>
            <w:proofErr w:type="spellEnd"/>
          </w:p>
        </w:tc>
        <w:tc>
          <w:tcPr>
            <w:tcW w:w="2507" w:type="dxa"/>
            <w:tcBorders>
              <w:top w:val="nil"/>
              <w:left w:val="nil"/>
              <w:bottom w:val="single" w:sz="4" w:space="0" w:color="auto"/>
              <w:right w:val="single" w:sz="4" w:space="0" w:color="auto"/>
            </w:tcBorders>
            <w:noWrap/>
            <w:vAlign w:val="center"/>
            <w:hideMark/>
          </w:tcPr>
          <w:p w14:paraId="3A797DA5"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1.84.0</w:t>
            </w:r>
          </w:p>
        </w:tc>
        <w:tc>
          <w:tcPr>
            <w:tcW w:w="2965" w:type="dxa"/>
            <w:tcBorders>
              <w:top w:val="nil"/>
              <w:left w:val="nil"/>
              <w:bottom w:val="single" w:sz="4" w:space="0" w:color="auto"/>
              <w:right w:val="single" w:sz="4" w:space="0" w:color="auto"/>
            </w:tcBorders>
            <w:noWrap/>
            <w:vAlign w:val="center"/>
            <w:hideMark/>
          </w:tcPr>
          <w:p w14:paraId="61D5FFC7"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r w:rsidRPr="009218EA">
              <w:rPr>
                <w:rFonts w:ascii="Times New Roman" w:eastAsia="Times New Roman" w:hAnsi="Times New Roman" w:cs="Times New Roman"/>
                <w:b/>
                <w:bCs/>
                <w:color w:val="000000"/>
                <w:kern w:val="0"/>
                <w:sz w:val="24"/>
                <w:szCs w:val="24"/>
                <w14:ligatures w14:val="none"/>
              </w:rPr>
              <w:t>S4Vectors</w:t>
            </w:r>
          </w:p>
        </w:tc>
        <w:tc>
          <w:tcPr>
            <w:tcW w:w="1996" w:type="dxa"/>
            <w:tcBorders>
              <w:top w:val="nil"/>
              <w:left w:val="nil"/>
              <w:bottom w:val="single" w:sz="4" w:space="0" w:color="auto"/>
              <w:right w:val="single" w:sz="4" w:space="0" w:color="auto"/>
            </w:tcBorders>
            <w:noWrap/>
            <w:vAlign w:val="center"/>
            <w:hideMark/>
          </w:tcPr>
          <w:p w14:paraId="69C25127"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0.40.2</w:t>
            </w:r>
          </w:p>
        </w:tc>
      </w:tr>
      <w:tr w:rsidR="00C6244E" w:rsidRPr="009218EA" w14:paraId="0FF2A6D0"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299BF39E"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GenomeInfoDb</w:t>
            </w:r>
            <w:proofErr w:type="spellEnd"/>
          </w:p>
        </w:tc>
        <w:tc>
          <w:tcPr>
            <w:tcW w:w="2507" w:type="dxa"/>
            <w:tcBorders>
              <w:top w:val="nil"/>
              <w:left w:val="nil"/>
              <w:bottom w:val="single" w:sz="4" w:space="0" w:color="auto"/>
              <w:right w:val="single" w:sz="4" w:space="0" w:color="auto"/>
            </w:tcBorders>
            <w:noWrap/>
            <w:vAlign w:val="center"/>
            <w:hideMark/>
          </w:tcPr>
          <w:p w14:paraId="5EDDCCBD"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1.38.8</w:t>
            </w:r>
          </w:p>
        </w:tc>
        <w:tc>
          <w:tcPr>
            <w:tcW w:w="2965" w:type="dxa"/>
            <w:tcBorders>
              <w:top w:val="nil"/>
              <w:left w:val="nil"/>
              <w:bottom w:val="single" w:sz="4" w:space="0" w:color="auto"/>
              <w:right w:val="single" w:sz="4" w:space="0" w:color="auto"/>
            </w:tcBorders>
            <w:noWrap/>
            <w:vAlign w:val="center"/>
            <w:hideMark/>
          </w:tcPr>
          <w:p w14:paraId="7E044E6A"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SummarizedExperiment</w:t>
            </w:r>
            <w:proofErr w:type="spellEnd"/>
          </w:p>
        </w:tc>
        <w:tc>
          <w:tcPr>
            <w:tcW w:w="1996" w:type="dxa"/>
            <w:tcBorders>
              <w:top w:val="nil"/>
              <w:left w:val="nil"/>
              <w:bottom w:val="single" w:sz="4" w:space="0" w:color="auto"/>
              <w:right w:val="single" w:sz="4" w:space="0" w:color="auto"/>
            </w:tcBorders>
            <w:noWrap/>
            <w:vAlign w:val="center"/>
            <w:hideMark/>
          </w:tcPr>
          <w:p w14:paraId="06413DF5"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1.32.0</w:t>
            </w:r>
          </w:p>
        </w:tc>
      </w:tr>
      <w:tr w:rsidR="00C6244E" w:rsidRPr="009218EA" w14:paraId="232CA9A1"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6AF645FD"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GenomicRanges</w:t>
            </w:r>
            <w:proofErr w:type="spellEnd"/>
          </w:p>
        </w:tc>
        <w:tc>
          <w:tcPr>
            <w:tcW w:w="2507" w:type="dxa"/>
            <w:tcBorders>
              <w:top w:val="nil"/>
              <w:left w:val="nil"/>
              <w:bottom w:val="single" w:sz="4" w:space="0" w:color="auto"/>
              <w:right w:val="single" w:sz="4" w:space="0" w:color="auto"/>
            </w:tcBorders>
            <w:noWrap/>
            <w:vAlign w:val="center"/>
            <w:hideMark/>
          </w:tcPr>
          <w:p w14:paraId="04E7DF3E"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1.54.1</w:t>
            </w:r>
          </w:p>
        </w:tc>
        <w:tc>
          <w:tcPr>
            <w:tcW w:w="2965" w:type="dxa"/>
            <w:tcBorders>
              <w:top w:val="nil"/>
              <w:left w:val="nil"/>
              <w:bottom w:val="single" w:sz="4" w:space="0" w:color="auto"/>
              <w:right w:val="single" w:sz="4" w:space="0" w:color="auto"/>
            </w:tcBorders>
            <w:noWrap/>
            <w:vAlign w:val="center"/>
            <w:hideMark/>
          </w:tcPr>
          <w:p w14:paraId="4E6C0964"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sva</w:t>
            </w:r>
            <w:proofErr w:type="spellEnd"/>
          </w:p>
        </w:tc>
        <w:tc>
          <w:tcPr>
            <w:tcW w:w="1996" w:type="dxa"/>
            <w:tcBorders>
              <w:top w:val="nil"/>
              <w:left w:val="nil"/>
              <w:bottom w:val="single" w:sz="4" w:space="0" w:color="auto"/>
              <w:right w:val="single" w:sz="4" w:space="0" w:color="auto"/>
            </w:tcBorders>
            <w:noWrap/>
            <w:vAlign w:val="center"/>
            <w:hideMark/>
          </w:tcPr>
          <w:p w14:paraId="21B12031"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3.50.0</w:t>
            </w:r>
          </w:p>
        </w:tc>
      </w:tr>
      <w:tr w:rsidR="00C6244E" w:rsidRPr="009218EA" w14:paraId="73F6E9CA"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03745750"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ggforce</w:t>
            </w:r>
            <w:proofErr w:type="spellEnd"/>
          </w:p>
        </w:tc>
        <w:tc>
          <w:tcPr>
            <w:tcW w:w="2507" w:type="dxa"/>
            <w:tcBorders>
              <w:top w:val="nil"/>
              <w:left w:val="nil"/>
              <w:bottom w:val="single" w:sz="4" w:space="0" w:color="auto"/>
              <w:right w:val="single" w:sz="4" w:space="0" w:color="auto"/>
            </w:tcBorders>
            <w:noWrap/>
            <w:vAlign w:val="center"/>
            <w:hideMark/>
          </w:tcPr>
          <w:p w14:paraId="21465907"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0.5.0</w:t>
            </w:r>
          </w:p>
        </w:tc>
        <w:tc>
          <w:tcPr>
            <w:tcW w:w="2965" w:type="dxa"/>
            <w:tcBorders>
              <w:top w:val="nil"/>
              <w:left w:val="nil"/>
              <w:bottom w:val="single" w:sz="4" w:space="0" w:color="auto"/>
              <w:right w:val="single" w:sz="4" w:space="0" w:color="auto"/>
            </w:tcBorders>
            <w:noWrap/>
            <w:vAlign w:val="center"/>
            <w:hideMark/>
          </w:tcPr>
          <w:p w14:paraId="22D22787"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tidyr</w:t>
            </w:r>
            <w:proofErr w:type="spellEnd"/>
          </w:p>
        </w:tc>
        <w:tc>
          <w:tcPr>
            <w:tcW w:w="1996" w:type="dxa"/>
            <w:tcBorders>
              <w:top w:val="nil"/>
              <w:left w:val="nil"/>
              <w:bottom w:val="single" w:sz="4" w:space="0" w:color="auto"/>
              <w:right w:val="single" w:sz="4" w:space="0" w:color="auto"/>
            </w:tcBorders>
            <w:noWrap/>
            <w:vAlign w:val="center"/>
            <w:hideMark/>
          </w:tcPr>
          <w:p w14:paraId="7343328B"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1.3.1</w:t>
            </w:r>
          </w:p>
        </w:tc>
      </w:tr>
      <w:tr w:rsidR="00C6244E" w:rsidRPr="009218EA" w14:paraId="48949A06" w14:textId="77777777" w:rsidTr="00085B5D">
        <w:trPr>
          <w:trHeight w:val="315"/>
        </w:trPr>
        <w:tc>
          <w:tcPr>
            <w:tcW w:w="1883" w:type="dxa"/>
            <w:tcBorders>
              <w:top w:val="nil"/>
              <w:left w:val="single" w:sz="4" w:space="0" w:color="auto"/>
              <w:bottom w:val="single" w:sz="4" w:space="0" w:color="auto"/>
              <w:right w:val="single" w:sz="4" w:space="0" w:color="auto"/>
            </w:tcBorders>
            <w:noWrap/>
            <w:vAlign w:val="center"/>
            <w:hideMark/>
          </w:tcPr>
          <w:p w14:paraId="6273EEC8"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r w:rsidRPr="009218EA">
              <w:rPr>
                <w:rFonts w:ascii="Times New Roman" w:eastAsia="Times New Roman" w:hAnsi="Times New Roman" w:cs="Times New Roman"/>
                <w:b/>
                <w:bCs/>
                <w:color w:val="000000"/>
                <w:kern w:val="0"/>
                <w:sz w:val="24"/>
                <w:szCs w:val="24"/>
                <w14:ligatures w14:val="none"/>
              </w:rPr>
              <w:t>ggplot2</w:t>
            </w:r>
          </w:p>
        </w:tc>
        <w:tc>
          <w:tcPr>
            <w:tcW w:w="2507" w:type="dxa"/>
            <w:tcBorders>
              <w:top w:val="nil"/>
              <w:left w:val="nil"/>
              <w:bottom w:val="single" w:sz="4" w:space="0" w:color="auto"/>
              <w:right w:val="single" w:sz="4" w:space="0" w:color="auto"/>
            </w:tcBorders>
            <w:noWrap/>
            <w:vAlign w:val="center"/>
            <w:hideMark/>
          </w:tcPr>
          <w:p w14:paraId="149C4700"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4.0.3</w:t>
            </w:r>
          </w:p>
        </w:tc>
        <w:tc>
          <w:tcPr>
            <w:tcW w:w="2965" w:type="dxa"/>
            <w:tcBorders>
              <w:top w:val="nil"/>
              <w:left w:val="nil"/>
              <w:bottom w:val="single" w:sz="4" w:space="0" w:color="auto"/>
              <w:right w:val="single" w:sz="4" w:space="0" w:color="auto"/>
            </w:tcBorders>
            <w:noWrap/>
            <w:vAlign w:val="center"/>
            <w:hideMark/>
          </w:tcPr>
          <w:p w14:paraId="4A5C8465" w14:textId="77777777" w:rsidR="00C6244E" w:rsidRPr="009218EA" w:rsidRDefault="00C6244E" w:rsidP="002D336E">
            <w:pPr>
              <w:spacing w:after="0" w:line="240" w:lineRule="auto"/>
              <w:jc w:val="both"/>
              <w:rPr>
                <w:rFonts w:ascii="Times New Roman" w:eastAsia="Times New Roman" w:hAnsi="Times New Roman" w:cs="Times New Roman"/>
                <w:b/>
                <w:bCs/>
                <w:color w:val="000000"/>
                <w:kern w:val="0"/>
                <w:sz w:val="24"/>
                <w:szCs w:val="24"/>
                <w14:ligatures w14:val="none"/>
              </w:rPr>
            </w:pPr>
            <w:proofErr w:type="spellStart"/>
            <w:r w:rsidRPr="009218EA">
              <w:rPr>
                <w:rFonts w:ascii="Times New Roman" w:eastAsia="Times New Roman" w:hAnsi="Times New Roman" w:cs="Times New Roman"/>
                <w:b/>
                <w:bCs/>
                <w:color w:val="000000"/>
                <w:kern w:val="0"/>
                <w:sz w:val="24"/>
                <w:szCs w:val="24"/>
                <w14:ligatures w14:val="none"/>
              </w:rPr>
              <w:t>tidyverse</w:t>
            </w:r>
            <w:proofErr w:type="spellEnd"/>
          </w:p>
        </w:tc>
        <w:tc>
          <w:tcPr>
            <w:tcW w:w="1996" w:type="dxa"/>
            <w:tcBorders>
              <w:top w:val="nil"/>
              <w:left w:val="nil"/>
              <w:bottom w:val="single" w:sz="4" w:space="0" w:color="auto"/>
              <w:right w:val="single" w:sz="4" w:space="0" w:color="auto"/>
            </w:tcBorders>
            <w:noWrap/>
            <w:vAlign w:val="center"/>
            <w:hideMark/>
          </w:tcPr>
          <w:p w14:paraId="5A4FF5C6" w14:textId="77777777" w:rsidR="00C6244E" w:rsidRPr="009218EA" w:rsidRDefault="00C6244E" w:rsidP="002D336E">
            <w:pPr>
              <w:spacing w:after="0" w:line="240" w:lineRule="auto"/>
              <w:jc w:val="both"/>
              <w:rPr>
                <w:rFonts w:ascii="Times New Roman" w:eastAsia="Times New Roman" w:hAnsi="Times New Roman" w:cs="Times New Roman"/>
                <w:color w:val="000000"/>
                <w:kern w:val="0"/>
                <w:sz w:val="24"/>
                <w:szCs w:val="24"/>
                <w14:ligatures w14:val="none"/>
              </w:rPr>
            </w:pPr>
            <w:r w:rsidRPr="009218EA">
              <w:rPr>
                <w:rFonts w:ascii="Times New Roman" w:eastAsia="Times New Roman" w:hAnsi="Times New Roman" w:cs="Times New Roman"/>
                <w:color w:val="000000"/>
                <w:kern w:val="0"/>
                <w:sz w:val="24"/>
                <w:szCs w:val="24"/>
                <w14:ligatures w14:val="none"/>
              </w:rPr>
              <w:t>2.0.0</w:t>
            </w:r>
          </w:p>
        </w:tc>
      </w:tr>
    </w:tbl>
    <w:p w14:paraId="039D37B8" w14:textId="77777777" w:rsidR="00B25D9E" w:rsidRPr="009218EA" w:rsidRDefault="00B25D9E" w:rsidP="002D336E">
      <w:pPr>
        <w:jc w:val="both"/>
        <w:rPr>
          <w:rFonts w:ascii="Times New Roman" w:hAnsi="Times New Roman" w:cs="Times New Roman"/>
          <w:sz w:val="24"/>
          <w:szCs w:val="24"/>
        </w:rPr>
      </w:pPr>
    </w:p>
    <w:p w14:paraId="6ED7A6AF" w14:textId="77777777" w:rsidR="00085B5D" w:rsidRDefault="00085B5D" w:rsidP="002D336E">
      <w:pPr>
        <w:jc w:val="both"/>
        <w:rPr>
          <w:rFonts w:ascii="Times New Roman" w:hAnsi="Times New Roman" w:cs="Times New Roman"/>
          <w:b/>
          <w:bCs/>
          <w:sz w:val="24"/>
          <w:szCs w:val="24"/>
        </w:rPr>
      </w:pPr>
    </w:p>
    <w:p w14:paraId="6160D361" w14:textId="77777777" w:rsidR="00085B5D" w:rsidRDefault="00085B5D" w:rsidP="002D336E">
      <w:pPr>
        <w:jc w:val="both"/>
        <w:rPr>
          <w:rFonts w:ascii="Times New Roman" w:hAnsi="Times New Roman" w:cs="Times New Roman"/>
          <w:b/>
          <w:bCs/>
          <w:sz w:val="24"/>
          <w:szCs w:val="24"/>
        </w:rPr>
      </w:pPr>
    </w:p>
    <w:p w14:paraId="67A8D793" w14:textId="77777777" w:rsidR="00085B5D" w:rsidRDefault="00085B5D" w:rsidP="002D336E">
      <w:pPr>
        <w:jc w:val="both"/>
        <w:rPr>
          <w:rFonts w:ascii="Times New Roman" w:hAnsi="Times New Roman" w:cs="Times New Roman"/>
          <w:b/>
          <w:bCs/>
          <w:sz w:val="24"/>
          <w:szCs w:val="24"/>
        </w:rPr>
      </w:pPr>
    </w:p>
    <w:p w14:paraId="1B5EDB10" w14:textId="77777777" w:rsidR="00085B5D" w:rsidRDefault="00085B5D" w:rsidP="002D336E">
      <w:pPr>
        <w:jc w:val="both"/>
        <w:rPr>
          <w:rFonts w:ascii="Times New Roman" w:hAnsi="Times New Roman" w:cs="Times New Roman"/>
          <w:b/>
          <w:bCs/>
          <w:sz w:val="24"/>
          <w:szCs w:val="24"/>
        </w:rPr>
      </w:pPr>
    </w:p>
    <w:p w14:paraId="1A4FEF94" w14:textId="77777777" w:rsidR="00085B5D" w:rsidRDefault="00085B5D" w:rsidP="002D336E">
      <w:pPr>
        <w:jc w:val="both"/>
        <w:rPr>
          <w:rFonts w:ascii="Times New Roman" w:hAnsi="Times New Roman" w:cs="Times New Roman"/>
          <w:b/>
          <w:bCs/>
          <w:sz w:val="24"/>
          <w:szCs w:val="24"/>
        </w:rPr>
      </w:pPr>
    </w:p>
    <w:p w14:paraId="24CA38C1" w14:textId="77777777" w:rsidR="00085B5D" w:rsidRDefault="00085B5D" w:rsidP="002D336E">
      <w:pPr>
        <w:jc w:val="both"/>
        <w:rPr>
          <w:rFonts w:ascii="Times New Roman" w:hAnsi="Times New Roman" w:cs="Times New Roman"/>
          <w:b/>
          <w:bCs/>
          <w:sz w:val="24"/>
          <w:szCs w:val="24"/>
        </w:rPr>
      </w:pPr>
    </w:p>
    <w:p w14:paraId="1E44BEA8" w14:textId="77777777" w:rsidR="00085B5D" w:rsidRDefault="00085B5D" w:rsidP="002D336E">
      <w:pPr>
        <w:jc w:val="both"/>
        <w:rPr>
          <w:rFonts w:ascii="Times New Roman" w:hAnsi="Times New Roman" w:cs="Times New Roman"/>
          <w:b/>
          <w:bCs/>
          <w:sz w:val="24"/>
          <w:szCs w:val="24"/>
        </w:rPr>
      </w:pPr>
    </w:p>
    <w:p w14:paraId="5D80E65A" w14:textId="7CF00034" w:rsidR="00DE5405" w:rsidRPr="00C6598F" w:rsidRDefault="00DE5405" w:rsidP="002D336E">
      <w:pPr>
        <w:jc w:val="both"/>
        <w:rPr>
          <w:rFonts w:ascii="Times New Roman" w:hAnsi="Times New Roman" w:cs="Times New Roman"/>
          <w:b/>
          <w:bCs/>
          <w:sz w:val="24"/>
          <w:szCs w:val="24"/>
        </w:rPr>
      </w:pPr>
      <w:r w:rsidRPr="00C6598F">
        <w:rPr>
          <w:rFonts w:ascii="Times New Roman" w:hAnsi="Times New Roman" w:cs="Times New Roman"/>
          <w:b/>
          <w:bCs/>
          <w:sz w:val="24"/>
          <w:szCs w:val="24"/>
        </w:rPr>
        <w:lastRenderedPageBreak/>
        <w:t>Details of human patients tissue</w:t>
      </w:r>
    </w:p>
    <w:p w14:paraId="5402E291" w14:textId="756D58FF" w:rsidR="002A0320" w:rsidRPr="009218EA" w:rsidRDefault="00D347DD" w:rsidP="002D336E">
      <w:pPr>
        <w:jc w:val="both"/>
        <w:rPr>
          <w:rFonts w:ascii="Times New Roman" w:hAnsi="Times New Roman" w:cs="Times New Roman"/>
          <w:sz w:val="24"/>
          <w:szCs w:val="24"/>
        </w:rPr>
      </w:pPr>
      <w:r w:rsidRPr="009218EA">
        <w:rPr>
          <w:rFonts w:ascii="Times New Roman" w:hAnsi="Times New Roman" w:cs="Times New Roman"/>
          <w:sz w:val="24"/>
          <w:szCs w:val="24"/>
        </w:rPr>
        <w:t>To</w:t>
      </w:r>
      <w:r w:rsidR="002A0320" w:rsidRPr="009218EA">
        <w:rPr>
          <w:rFonts w:ascii="Times New Roman" w:hAnsi="Times New Roman" w:cs="Times New Roman"/>
          <w:sz w:val="24"/>
          <w:szCs w:val="24"/>
        </w:rPr>
        <w:t xml:space="preserve"> validate the expression of the proteins identified from the RNA sequencing data and literature, two human patient samples were used – one male and one female</w:t>
      </w:r>
      <w:r w:rsidR="00E24576" w:rsidRPr="009218EA">
        <w:rPr>
          <w:rFonts w:ascii="Times New Roman" w:hAnsi="Times New Roman" w:cs="Times New Roman"/>
          <w:sz w:val="24"/>
          <w:szCs w:val="24"/>
        </w:rPr>
        <w:t>. These samples were obtained from the South West Dementia Brain Bank</w:t>
      </w:r>
      <w:r w:rsidRPr="009218EA">
        <w:rPr>
          <w:rFonts w:ascii="Times New Roman" w:hAnsi="Times New Roman" w:cs="Times New Roman"/>
          <w:sz w:val="24"/>
          <w:szCs w:val="24"/>
        </w:rPr>
        <w:t xml:space="preserve"> in Bristol</w:t>
      </w:r>
      <w:r w:rsidR="009B36DA" w:rsidRPr="009218EA">
        <w:rPr>
          <w:rFonts w:ascii="Times New Roman" w:hAnsi="Times New Roman" w:cs="Times New Roman"/>
          <w:sz w:val="24"/>
          <w:szCs w:val="24"/>
        </w:rPr>
        <w:t xml:space="preserve"> under ethical approval. </w:t>
      </w:r>
    </w:p>
    <w:p w14:paraId="4C764FAD" w14:textId="123881B3" w:rsidR="0052458F" w:rsidRPr="009218EA" w:rsidRDefault="0052458F" w:rsidP="002D336E">
      <w:pPr>
        <w:jc w:val="both"/>
        <w:rPr>
          <w:rFonts w:ascii="Times New Roman" w:hAnsi="Times New Roman" w:cs="Times New Roman"/>
          <w:sz w:val="24"/>
          <w:szCs w:val="24"/>
        </w:rPr>
      </w:pPr>
      <w:r w:rsidRPr="009218EA">
        <w:rPr>
          <w:rFonts w:ascii="Times New Roman" w:hAnsi="Times New Roman" w:cs="Times New Roman"/>
          <w:b/>
          <w:bCs/>
          <w:sz w:val="24"/>
          <w:szCs w:val="24"/>
        </w:rPr>
        <w:t>Tabl</w:t>
      </w:r>
      <w:r w:rsidR="00B25D9E" w:rsidRPr="009218EA">
        <w:rPr>
          <w:rFonts w:ascii="Times New Roman" w:hAnsi="Times New Roman" w:cs="Times New Roman"/>
          <w:b/>
          <w:bCs/>
          <w:sz w:val="24"/>
          <w:szCs w:val="24"/>
        </w:rPr>
        <w:t>e S</w:t>
      </w:r>
      <w:r w:rsidR="000F1769" w:rsidRPr="009218EA">
        <w:rPr>
          <w:rFonts w:ascii="Times New Roman" w:hAnsi="Times New Roman" w:cs="Times New Roman"/>
          <w:b/>
          <w:bCs/>
          <w:sz w:val="24"/>
          <w:szCs w:val="24"/>
        </w:rPr>
        <w:t>2</w:t>
      </w:r>
      <w:r w:rsidR="00B25D9E" w:rsidRPr="009218EA">
        <w:rPr>
          <w:rFonts w:ascii="Times New Roman" w:hAnsi="Times New Roman" w:cs="Times New Roman"/>
          <w:b/>
          <w:bCs/>
          <w:sz w:val="24"/>
          <w:szCs w:val="24"/>
        </w:rPr>
        <w:t>:</w:t>
      </w:r>
      <w:r w:rsidR="00B25D9E" w:rsidRPr="009218EA">
        <w:rPr>
          <w:rFonts w:ascii="Times New Roman" w:hAnsi="Times New Roman" w:cs="Times New Roman"/>
          <w:sz w:val="24"/>
          <w:szCs w:val="24"/>
        </w:rPr>
        <w:t xml:space="preserve"> Details of human patient samples used for IHC</w:t>
      </w:r>
    </w:p>
    <w:tbl>
      <w:tblPr>
        <w:tblW w:w="9923" w:type="dxa"/>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0" w:type="dxa"/>
          <w:right w:w="30" w:type="dxa"/>
        </w:tblCellMar>
        <w:tblLook w:val="0000" w:firstRow="0" w:lastRow="0" w:firstColumn="0" w:lastColumn="0" w:noHBand="0" w:noVBand="0"/>
      </w:tblPr>
      <w:tblGrid>
        <w:gridCol w:w="1539"/>
        <w:gridCol w:w="1413"/>
        <w:gridCol w:w="2965"/>
        <w:gridCol w:w="4006"/>
      </w:tblGrid>
      <w:tr w:rsidR="002A0320" w:rsidRPr="009218EA" w14:paraId="156BBB92" w14:textId="77777777" w:rsidTr="00B8360C">
        <w:trPr>
          <w:trHeight w:val="515"/>
        </w:trPr>
        <w:tc>
          <w:tcPr>
            <w:tcW w:w="1539" w:type="dxa"/>
          </w:tcPr>
          <w:p w14:paraId="3637F915" w14:textId="77777777" w:rsidR="002A0320" w:rsidRPr="009218EA" w:rsidRDefault="002A0320" w:rsidP="002D336E">
            <w:pPr>
              <w:jc w:val="both"/>
              <w:rPr>
                <w:rFonts w:ascii="Times New Roman" w:hAnsi="Times New Roman" w:cs="Times New Roman"/>
                <w:b/>
                <w:bCs/>
                <w:sz w:val="24"/>
                <w:szCs w:val="24"/>
              </w:rPr>
            </w:pPr>
            <w:r w:rsidRPr="009218EA">
              <w:rPr>
                <w:rFonts w:ascii="Times New Roman" w:hAnsi="Times New Roman" w:cs="Times New Roman"/>
                <w:b/>
                <w:bCs/>
                <w:sz w:val="24"/>
                <w:szCs w:val="24"/>
              </w:rPr>
              <w:t>Age</w:t>
            </w:r>
          </w:p>
        </w:tc>
        <w:tc>
          <w:tcPr>
            <w:tcW w:w="1413" w:type="dxa"/>
          </w:tcPr>
          <w:p w14:paraId="1C5B7DE9" w14:textId="77777777" w:rsidR="002A0320" w:rsidRPr="009218EA" w:rsidRDefault="002A0320" w:rsidP="002D336E">
            <w:pPr>
              <w:jc w:val="both"/>
              <w:rPr>
                <w:rFonts w:ascii="Times New Roman" w:hAnsi="Times New Roman" w:cs="Times New Roman"/>
                <w:b/>
                <w:bCs/>
                <w:sz w:val="24"/>
                <w:szCs w:val="24"/>
              </w:rPr>
            </w:pPr>
            <w:r w:rsidRPr="009218EA">
              <w:rPr>
                <w:rFonts w:ascii="Times New Roman" w:hAnsi="Times New Roman" w:cs="Times New Roman"/>
                <w:b/>
                <w:bCs/>
                <w:sz w:val="24"/>
                <w:szCs w:val="24"/>
              </w:rPr>
              <w:t>Sex</w:t>
            </w:r>
          </w:p>
        </w:tc>
        <w:tc>
          <w:tcPr>
            <w:tcW w:w="2965" w:type="dxa"/>
          </w:tcPr>
          <w:p w14:paraId="7CFA20F8" w14:textId="77777777" w:rsidR="002A0320" w:rsidRPr="009218EA" w:rsidRDefault="002A0320" w:rsidP="002D336E">
            <w:pPr>
              <w:jc w:val="both"/>
              <w:rPr>
                <w:rFonts w:ascii="Times New Roman" w:hAnsi="Times New Roman" w:cs="Times New Roman"/>
                <w:b/>
                <w:bCs/>
                <w:sz w:val="24"/>
                <w:szCs w:val="24"/>
              </w:rPr>
            </w:pPr>
            <w:r w:rsidRPr="009218EA">
              <w:rPr>
                <w:rFonts w:ascii="Times New Roman" w:hAnsi="Times New Roman" w:cs="Times New Roman"/>
                <w:b/>
                <w:bCs/>
                <w:sz w:val="24"/>
                <w:szCs w:val="24"/>
              </w:rPr>
              <w:t>Pathology Diagnosis Details</w:t>
            </w:r>
          </w:p>
        </w:tc>
        <w:tc>
          <w:tcPr>
            <w:tcW w:w="4006" w:type="dxa"/>
          </w:tcPr>
          <w:p w14:paraId="22CFB551" w14:textId="34D33E2B" w:rsidR="002A0320" w:rsidRPr="009218EA" w:rsidRDefault="002A0320" w:rsidP="002D336E">
            <w:pPr>
              <w:jc w:val="both"/>
              <w:rPr>
                <w:rFonts w:ascii="Times New Roman" w:hAnsi="Times New Roman" w:cs="Times New Roman"/>
                <w:b/>
                <w:bCs/>
                <w:sz w:val="24"/>
                <w:szCs w:val="24"/>
              </w:rPr>
            </w:pPr>
            <w:r w:rsidRPr="009218EA">
              <w:rPr>
                <w:rFonts w:ascii="Times New Roman" w:hAnsi="Times New Roman" w:cs="Times New Roman"/>
                <w:b/>
                <w:bCs/>
                <w:sz w:val="24"/>
                <w:szCs w:val="24"/>
              </w:rPr>
              <w:t>Post Mortem Delay (Hours)</w:t>
            </w:r>
          </w:p>
        </w:tc>
      </w:tr>
      <w:tr w:rsidR="002A0320" w:rsidRPr="009218EA" w14:paraId="39ABA167" w14:textId="77777777" w:rsidTr="00B8360C">
        <w:trPr>
          <w:trHeight w:val="779"/>
        </w:trPr>
        <w:tc>
          <w:tcPr>
            <w:tcW w:w="1539" w:type="dxa"/>
          </w:tcPr>
          <w:p w14:paraId="61078D07" w14:textId="77777777" w:rsidR="002A0320" w:rsidRPr="009218EA" w:rsidRDefault="002A0320" w:rsidP="002D336E">
            <w:pPr>
              <w:jc w:val="both"/>
              <w:rPr>
                <w:rFonts w:ascii="Times New Roman" w:hAnsi="Times New Roman" w:cs="Times New Roman"/>
                <w:sz w:val="24"/>
                <w:szCs w:val="24"/>
              </w:rPr>
            </w:pPr>
            <w:r w:rsidRPr="009218EA">
              <w:rPr>
                <w:rFonts w:ascii="Times New Roman" w:hAnsi="Times New Roman" w:cs="Times New Roman"/>
                <w:sz w:val="24"/>
                <w:szCs w:val="24"/>
              </w:rPr>
              <w:t>69</w:t>
            </w:r>
          </w:p>
        </w:tc>
        <w:tc>
          <w:tcPr>
            <w:tcW w:w="1413" w:type="dxa"/>
          </w:tcPr>
          <w:p w14:paraId="79BA4033" w14:textId="4AE1C91A" w:rsidR="002A0320" w:rsidRPr="009218EA" w:rsidRDefault="001348C6" w:rsidP="002D336E">
            <w:pPr>
              <w:jc w:val="both"/>
              <w:rPr>
                <w:rFonts w:ascii="Times New Roman" w:hAnsi="Times New Roman" w:cs="Times New Roman"/>
                <w:sz w:val="24"/>
                <w:szCs w:val="24"/>
              </w:rPr>
            </w:pPr>
            <w:r w:rsidRPr="009218EA">
              <w:rPr>
                <w:rFonts w:ascii="Times New Roman" w:hAnsi="Times New Roman" w:cs="Times New Roman"/>
                <w:sz w:val="24"/>
                <w:szCs w:val="24"/>
              </w:rPr>
              <w:t>M</w:t>
            </w:r>
            <w:r w:rsidR="002A0320" w:rsidRPr="009218EA">
              <w:rPr>
                <w:rFonts w:ascii="Times New Roman" w:hAnsi="Times New Roman" w:cs="Times New Roman"/>
                <w:sz w:val="24"/>
                <w:szCs w:val="24"/>
              </w:rPr>
              <w:t>ale</w:t>
            </w:r>
          </w:p>
        </w:tc>
        <w:tc>
          <w:tcPr>
            <w:tcW w:w="2965" w:type="dxa"/>
          </w:tcPr>
          <w:p w14:paraId="793DCBA0" w14:textId="38098AFC" w:rsidR="002A0320" w:rsidRPr="009218EA" w:rsidRDefault="002A0320" w:rsidP="002D336E">
            <w:pPr>
              <w:jc w:val="both"/>
              <w:rPr>
                <w:rFonts w:ascii="Times New Roman" w:hAnsi="Times New Roman" w:cs="Times New Roman"/>
                <w:sz w:val="24"/>
                <w:szCs w:val="24"/>
              </w:rPr>
            </w:pPr>
            <w:r w:rsidRPr="009218EA">
              <w:rPr>
                <w:rFonts w:ascii="Times New Roman" w:hAnsi="Times New Roman" w:cs="Times New Roman"/>
                <w:sz w:val="24"/>
                <w:szCs w:val="24"/>
              </w:rPr>
              <w:t>Control</w:t>
            </w:r>
          </w:p>
        </w:tc>
        <w:tc>
          <w:tcPr>
            <w:tcW w:w="4006" w:type="dxa"/>
          </w:tcPr>
          <w:p w14:paraId="52B9B6EE" w14:textId="77777777" w:rsidR="002A0320" w:rsidRPr="009218EA" w:rsidRDefault="002A0320" w:rsidP="002D336E">
            <w:pPr>
              <w:jc w:val="both"/>
              <w:rPr>
                <w:rFonts w:ascii="Times New Roman" w:hAnsi="Times New Roman" w:cs="Times New Roman"/>
                <w:sz w:val="24"/>
                <w:szCs w:val="24"/>
              </w:rPr>
            </w:pPr>
            <w:r w:rsidRPr="009218EA">
              <w:rPr>
                <w:rFonts w:ascii="Times New Roman" w:hAnsi="Times New Roman" w:cs="Times New Roman"/>
                <w:sz w:val="24"/>
                <w:szCs w:val="24"/>
              </w:rPr>
              <w:t>31.25</w:t>
            </w:r>
          </w:p>
        </w:tc>
      </w:tr>
      <w:tr w:rsidR="002A0320" w:rsidRPr="009218EA" w14:paraId="44FC9F6A" w14:textId="77777777" w:rsidTr="00B8360C">
        <w:trPr>
          <w:trHeight w:val="608"/>
        </w:trPr>
        <w:tc>
          <w:tcPr>
            <w:tcW w:w="1539" w:type="dxa"/>
          </w:tcPr>
          <w:p w14:paraId="085BB733" w14:textId="77777777" w:rsidR="002A0320" w:rsidRPr="009218EA" w:rsidRDefault="002A0320" w:rsidP="002D336E">
            <w:pPr>
              <w:jc w:val="both"/>
              <w:rPr>
                <w:rFonts w:ascii="Times New Roman" w:hAnsi="Times New Roman" w:cs="Times New Roman"/>
                <w:sz w:val="24"/>
                <w:szCs w:val="24"/>
              </w:rPr>
            </w:pPr>
            <w:r w:rsidRPr="009218EA">
              <w:rPr>
                <w:rFonts w:ascii="Times New Roman" w:hAnsi="Times New Roman" w:cs="Times New Roman"/>
                <w:sz w:val="24"/>
                <w:szCs w:val="24"/>
              </w:rPr>
              <w:t>69</w:t>
            </w:r>
          </w:p>
        </w:tc>
        <w:tc>
          <w:tcPr>
            <w:tcW w:w="1413" w:type="dxa"/>
          </w:tcPr>
          <w:p w14:paraId="418FDDA5" w14:textId="612D0AF0" w:rsidR="002A0320" w:rsidRPr="009218EA" w:rsidRDefault="001348C6" w:rsidP="002D336E">
            <w:pPr>
              <w:jc w:val="both"/>
              <w:rPr>
                <w:rFonts w:ascii="Times New Roman" w:hAnsi="Times New Roman" w:cs="Times New Roman"/>
                <w:sz w:val="24"/>
                <w:szCs w:val="24"/>
              </w:rPr>
            </w:pPr>
            <w:r w:rsidRPr="009218EA">
              <w:rPr>
                <w:rFonts w:ascii="Times New Roman" w:hAnsi="Times New Roman" w:cs="Times New Roman"/>
                <w:sz w:val="24"/>
                <w:szCs w:val="24"/>
              </w:rPr>
              <w:t>F</w:t>
            </w:r>
            <w:r w:rsidR="002A0320" w:rsidRPr="009218EA">
              <w:rPr>
                <w:rFonts w:ascii="Times New Roman" w:hAnsi="Times New Roman" w:cs="Times New Roman"/>
                <w:sz w:val="24"/>
                <w:szCs w:val="24"/>
              </w:rPr>
              <w:t>emale</w:t>
            </w:r>
          </w:p>
        </w:tc>
        <w:tc>
          <w:tcPr>
            <w:tcW w:w="2965" w:type="dxa"/>
          </w:tcPr>
          <w:p w14:paraId="4736CCAC" w14:textId="59FADD90" w:rsidR="002A0320" w:rsidRPr="009218EA" w:rsidRDefault="002A0320" w:rsidP="002D336E">
            <w:pPr>
              <w:jc w:val="both"/>
              <w:rPr>
                <w:rFonts w:ascii="Times New Roman" w:hAnsi="Times New Roman" w:cs="Times New Roman"/>
                <w:sz w:val="24"/>
                <w:szCs w:val="24"/>
              </w:rPr>
            </w:pPr>
            <w:r w:rsidRPr="009218EA">
              <w:rPr>
                <w:rFonts w:ascii="Times New Roman" w:hAnsi="Times New Roman" w:cs="Times New Roman"/>
                <w:sz w:val="24"/>
                <w:szCs w:val="24"/>
              </w:rPr>
              <w:t>Control</w:t>
            </w:r>
          </w:p>
        </w:tc>
        <w:tc>
          <w:tcPr>
            <w:tcW w:w="4006" w:type="dxa"/>
          </w:tcPr>
          <w:p w14:paraId="1C56B223" w14:textId="77777777" w:rsidR="002A0320" w:rsidRPr="009218EA" w:rsidRDefault="002A0320" w:rsidP="002D336E">
            <w:pPr>
              <w:jc w:val="both"/>
              <w:rPr>
                <w:rFonts w:ascii="Times New Roman" w:hAnsi="Times New Roman" w:cs="Times New Roman"/>
                <w:sz w:val="24"/>
                <w:szCs w:val="24"/>
              </w:rPr>
            </w:pPr>
            <w:r w:rsidRPr="009218EA">
              <w:rPr>
                <w:rFonts w:ascii="Times New Roman" w:hAnsi="Times New Roman" w:cs="Times New Roman"/>
                <w:sz w:val="24"/>
                <w:szCs w:val="24"/>
              </w:rPr>
              <w:t>38.25</w:t>
            </w:r>
          </w:p>
        </w:tc>
      </w:tr>
    </w:tbl>
    <w:p w14:paraId="4BAD730F" w14:textId="77777777" w:rsidR="002A0320" w:rsidRPr="009218EA" w:rsidRDefault="002A0320" w:rsidP="002D336E">
      <w:pPr>
        <w:jc w:val="both"/>
        <w:rPr>
          <w:rFonts w:ascii="Times New Roman" w:hAnsi="Times New Roman" w:cs="Times New Roman"/>
          <w:sz w:val="24"/>
          <w:szCs w:val="24"/>
        </w:rPr>
      </w:pPr>
    </w:p>
    <w:p w14:paraId="637A72CD" w14:textId="171A564F" w:rsidR="00E56F38" w:rsidRPr="009218EA" w:rsidRDefault="000F1769" w:rsidP="002D336E">
      <w:pPr>
        <w:jc w:val="both"/>
        <w:rPr>
          <w:rFonts w:ascii="Times New Roman" w:hAnsi="Times New Roman" w:cs="Times New Roman"/>
          <w:sz w:val="24"/>
          <w:szCs w:val="24"/>
        </w:rPr>
      </w:pPr>
      <w:r w:rsidRPr="009218EA">
        <w:rPr>
          <w:rFonts w:ascii="Times New Roman" w:hAnsi="Times New Roman" w:cs="Times New Roman"/>
          <w:b/>
          <w:bCs/>
          <w:sz w:val="24"/>
          <w:szCs w:val="24"/>
        </w:rPr>
        <w:t>Table S3:</w:t>
      </w:r>
      <w:r w:rsidRPr="009218EA">
        <w:rPr>
          <w:rFonts w:ascii="Times New Roman" w:hAnsi="Times New Roman" w:cs="Times New Roman"/>
          <w:sz w:val="24"/>
          <w:szCs w:val="24"/>
        </w:rPr>
        <w:t xml:space="preserve"> </w:t>
      </w:r>
      <w:r w:rsidR="00A5544F" w:rsidRPr="009218EA">
        <w:rPr>
          <w:rFonts w:ascii="Times New Roman" w:hAnsi="Times New Roman" w:cs="Times New Roman"/>
          <w:sz w:val="24"/>
          <w:szCs w:val="24"/>
        </w:rPr>
        <w:t>Information on the candidate markers in the study</w:t>
      </w:r>
    </w:p>
    <w:tbl>
      <w:tblPr>
        <w:tblStyle w:val="TableGrid"/>
        <w:tblW w:w="0" w:type="auto"/>
        <w:tblLook w:val="04A0" w:firstRow="1" w:lastRow="0" w:firstColumn="1" w:lastColumn="0" w:noHBand="0" w:noVBand="1"/>
      </w:tblPr>
      <w:tblGrid>
        <w:gridCol w:w="1433"/>
        <w:gridCol w:w="1671"/>
        <w:gridCol w:w="1999"/>
        <w:gridCol w:w="4139"/>
      </w:tblGrid>
      <w:tr w:rsidR="002317BE" w:rsidRPr="009218EA" w14:paraId="1974E8B8" w14:textId="77777777" w:rsidTr="00DC783E">
        <w:trPr>
          <w:trHeight w:val="315"/>
        </w:trPr>
        <w:tc>
          <w:tcPr>
            <w:tcW w:w="1411" w:type="dxa"/>
            <w:noWrap/>
            <w:hideMark/>
          </w:tcPr>
          <w:p w14:paraId="06264FDB" w14:textId="77777777" w:rsidR="002317BE" w:rsidRPr="009218EA" w:rsidRDefault="002317BE" w:rsidP="002D336E">
            <w:pPr>
              <w:jc w:val="both"/>
              <w:rPr>
                <w:rFonts w:ascii="Times New Roman" w:hAnsi="Times New Roman" w:cs="Times New Roman"/>
                <w:b/>
                <w:bCs/>
                <w:sz w:val="24"/>
                <w:szCs w:val="24"/>
              </w:rPr>
            </w:pPr>
            <w:r w:rsidRPr="009218EA">
              <w:rPr>
                <w:rFonts w:ascii="Times New Roman" w:hAnsi="Times New Roman" w:cs="Times New Roman"/>
                <w:b/>
                <w:bCs/>
                <w:sz w:val="24"/>
                <w:szCs w:val="24"/>
              </w:rPr>
              <w:t>Gene</w:t>
            </w:r>
          </w:p>
        </w:tc>
        <w:tc>
          <w:tcPr>
            <w:tcW w:w="1645" w:type="dxa"/>
            <w:noWrap/>
            <w:hideMark/>
          </w:tcPr>
          <w:p w14:paraId="06D230FF" w14:textId="77777777" w:rsidR="002317BE" w:rsidRPr="009218EA" w:rsidRDefault="002317BE" w:rsidP="002D336E">
            <w:pPr>
              <w:jc w:val="both"/>
              <w:rPr>
                <w:rFonts w:ascii="Times New Roman" w:hAnsi="Times New Roman" w:cs="Times New Roman"/>
                <w:b/>
                <w:bCs/>
                <w:sz w:val="24"/>
                <w:szCs w:val="24"/>
              </w:rPr>
            </w:pPr>
            <w:r w:rsidRPr="009218EA">
              <w:rPr>
                <w:rFonts w:ascii="Times New Roman" w:hAnsi="Times New Roman" w:cs="Times New Roman"/>
                <w:b/>
                <w:bCs/>
                <w:sz w:val="24"/>
                <w:szCs w:val="24"/>
              </w:rPr>
              <w:t>Full Name</w:t>
            </w:r>
          </w:p>
        </w:tc>
        <w:tc>
          <w:tcPr>
            <w:tcW w:w="2014" w:type="dxa"/>
            <w:noWrap/>
            <w:hideMark/>
          </w:tcPr>
          <w:p w14:paraId="48AE4F19" w14:textId="77777777" w:rsidR="002317BE" w:rsidRPr="009218EA" w:rsidRDefault="002317BE" w:rsidP="002D336E">
            <w:pPr>
              <w:jc w:val="both"/>
              <w:rPr>
                <w:rFonts w:ascii="Times New Roman" w:hAnsi="Times New Roman" w:cs="Times New Roman"/>
                <w:b/>
                <w:bCs/>
                <w:sz w:val="24"/>
                <w:szCs w:val="24"/>
              </w:rPr>
            </w:pPr>
            <w:r w:rsidRPr="009218EA">
              <w:rPr>
                <w:rFonts w:ascii="Times New Roman" w:hAnsi="Times New Roman" w:cs="Times New Roman"/>
                <w:b/>
                <w:bCs/>
                <w:sz w:val="24"/>
                <w:szCs w:val="24"/>
              </w:rPr>
              <w:t>Core Function</w:t>
            </w:r>
          </w:p>
        </w:tc>
        <w:tc>
          <w:tcPr>
            <w:tcW w:w="4172" w:type="dxa"/>
            <w:noWrap/>
            <w:hideMark/>
          </w:tcPr>
          <w:p w14:paraId="621D4F37" w14:textId="77777777" w:rsidR="002317BE" w:rsidRPr="009218EA" w:rsidRDefault="002317BE" w:rsidP="002D336E">
            <w:pPr>
              <w:jc w:val="both"/>
              <w:rPr>
                <w:rFonts w:ascii="Times New Roman" w:hAnsi="Times New Roman" w:cs="Times New Roman"/>
                <w:b/>
                <w:bCs/>
                <w:sz w:val="24"/>
                <w:szCs w:val="24"/>
              </w:rPr>
            </w:pPr>
            <w:r w:rsidRPr="009218EA">
              <w:rPr>
                <w:rFonts w:ascii="Times New Roman" w:hAnsi="Times New Roman" w:cs="Times New Roman"/>
                <w:b/>
                <w:bCs/>
                <w:sz w:val="24"/>
                <w:szCs w:val="24"/>
              </w:rPr>
              <w:t>Role in Meninges</w:t>
            </w:r>
          </w:p>
        </w:tc>
      </w:tr>
      <w:tr w:rsidR="002317BE" w:rsidRPr="009218EA" w14:paraId="378C3917" w14:textId="77777777" w:rsidTr="00DC783E">
        <w:trPr>
          <w:trHeight w:val="1290"/>
        </w:trPr>
        <w:tc>
          <w:tcPr>
            <w:tcW w:w="1411" w:type="dxa"/>
            <w:noWrap/>
            <w:hideMark/>
          </w:tcPr>
          <w:p w14:paraId="3510985C"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BMP5</w:t>
            </w:r>
          </w:p>
        </w:tc>
        <w:tc>
          <w:tcPr>
            <w:tcW w:w="1645" w:type="dxa"/>
            <w:noWrap/>
            <w:hideMark/>
          </w:tcPr>
          <w:p w14:paraId="58B1E021"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Bone Morphogenetic Protein 5</w:t>
            </w:r>
          </w:p>
        </w:tc>
        <w:tc>
          <w:tcPr>
            <w:tcW w:w="2014" w:type="dxa"/>
            <w:noWrap/>
            <w:hideMark/>
          </w:tcPr>
          <w:p w14:paraId="3AF0429B"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TGF</w:t>
            </w:r>
            <w:r w:rsidRPr="009218EA">
              <w:rPr>
                <w:rFonts w:ascii="Times New Roman" w:hAnsi="Times New Roman" w:cs="Times New Roman"/>
                <w:sz w:val="24"/>
                <w:szCs w:val="24"/>
              </w:rPr>
              <w:noBreakHyphen/>
              <w:t>β family morphogen, regulates chondrogenesis, ossification, and ECM remodelling</w:t>
            </w:r>
          </w:p>
        </w:tc>
        <w:tc>
          <w:tcPr>
            <w:tcW w:w="4172" w:type="dxa"/>
            <w:noWrap/>
            <w:hideMark/>
          </w:tcPr>
          <w:p w14:paraId="2E380E60"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BMP5 has been shown to be expressed in pial cells (DeSisto</w:t>
            </w:r>
            <w:r w:rsidRPr="009218EA">
              <w:rPr>
                <w:rFonts w:ascii="Times New Roman" w:hAnsi="Times New Roman" w:cs="Times New Roman"/>
                <w:i/>
                <w:iCs/>
                <w:sz w:val="24"/>
                <w:szCs w:val="24"/>
              </w:rPr>
              <w:t xml:space="preserve"> et al.</w:t>
            </w:r>
            <w:r w:rsidRPr="009218EA">
              <w:rPr>
                <w:rFonts w:ascii="Times New Roman" w:hAnsi="Times New Roman" w:cs="Times New Roman"/>
                <w:sz w:val="24"/>
                <w:szCs w:val="24"/>
              </w:rPr>
              <w:t xml:space="preserve"> 2020) with possible role in corticogenesis</w:t>
            </w:r>
          </w:p>
        </w:tc>
      </w:tr>
      <w:tr w:rsidR="002317BE" w:rsidRPr="009218EA" w14:paraId="4D9722EC" w14:textId="77777777" w:rsidTr="00DC783E">
        <w:trPr>
          <w:trHeight w:val="525"/>
        </w:trPr>
        <w:tc>
          <w:tcPr>
            <w:tcW w:w="1411" w:type="dxa"/>
            <w:noWrap/>
            <w:hideMark/>
          </w:tcPr>
          <w:p w14:paraId="4FAC009A"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NGFR</w:t>
            </w:r>
          </w:p>
        </w:tc>
        <w:tc>
          <w:tcPr>
            <w:tcW w:w="1645" w:type="dxa"/>
            <w:noWrap/>
            <w:hideMark/>
          </w:tcPr>
          <w:p w14:paraId="14A0035E"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Nerve Growth Factor Receptor (p75NTR)</w:t>
            </w:r>
          </w:p>
        </w:tc>
        <w:tc>
          <w:tcPr>
            <w:tcW w:w="2014" w:type="dxa"/>
            <w:noWrap/>
            <w:hideMark/>
          </w:tcPr>
          <w:p w14:paraId="59ADE472" w14:textId="77777777" w:rsidR="002317BE" w:rsidRPr="009218EA" w:rsidRDefault="002317BE" w:rsidP="002D336E">
            <w:pPr>
              <w:jc w:val="both"/>
              <w:rPr>
                <w:rFonts w:ascii="Times New Roman" w:hAnsi="Times New Roman" w:cs="Times New Roman"/>
                <w:sz w:val="24"/>
                <w:szCs w:val="24"/>
              </w:rPr>
            </w:pPr>
            <w:proofErr w:type="spellStart"/>
            <w:r w:rsidRPr="009218EA">
              <w:rPr>
                <w:rFonts w:ascii="Times New Roman" w:hAnsi="Times New Roman" w:cs="Times New Roman"/>
                <w:sz w:val="24"/>
                <w:szCs w:val="24"/>
              </w:rPr>
              <w:t>Neurotrophin</w:t>
            </w:r>
            <w:proofErr w:type="spellEnd"/>
            <w:r w:rsidRPr="009218EA">
              <w:rPr>
                <w:rFonts w:ascii="Times New Roman" w:hAnsi="Times New Roman" w:cs="Times New Roman"/>
                <w:sz w:val="24"/>
                <w:szCs w:val="24"/>
              </w:rPr>
              <w:t xml:space="preserve"> signalling, apoptosis, axon guidance</w:t>
            </w:r>
          </w:p>
        </w:tc>
        <w:tc>
          <w:tcPr>
            <w:tcW w:w="4172" w:type="dxa"/>
            <w:noWrap/>
            <w:hideMark/>
          </w:tcPr>
          <w:p w14:paraId="7F21C533" w14:textId="77777777" w:rsidR="002317BE" w:rsidRPr="009218EA" w:rsidRDefault="002317BE" w:rsidP="002D336E">
            <w:pPr>
              <w:jc w:val="both"/>
              <w:rPr>
                <w:rFonts w:ascii="Times New Roman" w:hAnsi="Times New Roman" w:cs="Times New Roman"/>
                <w:sz w:val="24"/>
                <w:szCs w:val="24"/>
              </w:rPr>
            </w:pPr>
            <w:proofErr w:type="spellStart"/>
            <w:r w:rsidRPr="009218EA">
              <w:rPr>
                <w:rFonts w:ascii="Times New Roman" w:hAnsi="Times New Roman" w:cs="Times New Roman"/>
                <w:sz w:val="24"/>
                <w:szCs w:val="24"/>
                <w:lang w:val="de-DE"/>
              </w:rPr>
              <w:t>Pial</w:t>
            </w:r>
            <w:proofErr w:type="spellEnd"/>
            <w:r w:rsidRPr="009218EA">
              <w:rPr>
                <w:rFonts w:ascii="Times New Roman" w:hAnsi="Times New Roman" w:cs="Times New Roman"/>
                <w:sz w:val="24"/>
                <w:szCs w:val="24"/>
                <w:lang w:val="de-DE"/>
              </w:rPr>
              <w:t xml:space="preserve"> </w:t>
            </w:r>
            <w:proofErr w:type="spellStart"/>
            <w:r w:rsidRPr="009218EA">
              <w:rPr>
                <w:rFonts w:ascii="Times New Roman" w:hAnsi="Times New Roman" w:cs="Times New Roman"/>
                <w:sz w:val="24"/>
                <w:szCs w:val="24"/>
                <w:lang w:val="de-DE"/>
              </w:rPr>
              <w:t>marker</w:t>
            </w:r>
            <w:proofErr w:type="spellEnd"/>
            <w:r w:rsidRPr="009218EA">
              <w:rPr>
                <w:rFonts w:ascii="Times New Roman" w:hAnsi="Times New Roman" w:cs="Times New Roman"/>
                <w:sz w:val="24"/>
                <w:szCs w:val="24"/>
                <w:lang w:val="de-DE"/>
              </w:rPr>
              <w:t xml:space="preserve"> (DeSisto</w:t>
            </w:r>
            <w:r w:rsidRPr="009218EA">
              <w:rPr>
                <w:rFonts w:ascii="Times New Roman" w:hAnsi="Times New Roman" w:cs="Times New Roman"/>
                <w:i/>
                <w:iCs/>
                <w:sz w:val="24"/>
                <w:szCs w:val="24"/>
                <w:lang w:val="de-DE"/>
              </w:rPr>
              <w:t xml:space="preserve"> et al.</w:t>
            </w:r>
            <w:r w:rsidRPr="009218EA">
              <w:rPr>
                <w:rFonts w:ascii="Times New Roman" w:hAnsi="Times New Roman" w:cs="Times New Roman"/>
                <w:sz w:val="24"/>
                <w:szCs w:val="24"/>
                <w:lang w:val="de-DE"/>
              </w:rPr>
              <w:t xml:space="preserve"> 2020)</w:t>
            </w:r>
          </w:p>
        </w:tc>
      </w:tr>
      <w:tr w:rsidR="002317BE" w:rsidRPr="009218EA" w14:paraId="41A4849D" w14:textId="77777777" w:rsidTr="00DC783E">
        <w:trPr>
          <w:trHeight w:val="1035"/>
        </w:trPr>
        <w:tc>
          <w:tcPr>
            <w:tcW w:w="1411" w:type="dxa"/>
            <w:noWrap/>
            <w:hideMark/>
          </w:tcPr>
          <w:p w14:paraId="3A239911"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CRABP2</w:t>
            </w:r>
          </w:p>
        </w:tc>
        <w:tc>
          <w:tcPr>
            <w:tcW w:w="1645" w:type="dxa"/>
            <w:noWrap/>
            <w:hideMark/>
          </w:tcPr>
          <w:p w14:paraId="02B3F925"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Cellular Retinoic Acid</w:t>
            </w:r>
            <w:r w:rsidRPr="009218EA">
              <w:rPr>
                <w:rFonts w:ascii="Times New Roman" w:hAnsi="Times New Roman" w:cs="Times New Roman"/>
                <w:sz w:val="24"/>
                <w:szCs w:val="24"/>
              </w:rPr>
              <w:noBreakHyphen/>
              <w:t>Binding Protein 2</w:t>
            </w:r>
          </w:p>
        </w:tc>
        <w:tc>
          <w:tcPr>
            <w:tcW w:w="2014" w:type="dxa"/>
            <w:noWrap/>
            <w:hideMark/>
          </w:tcPr>
          <w:p w14:paraId="4D69BD5C"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Retinoic acid transport and signalling</w:t>
            </w:r>
          </w:p>
        </w:tc>
        <w:tc>
          <w:tcPr>
            <w:tcW w:w="4172" w:type="dxa"/>
            <w:noWrap/>
            <w:hideMark/>
          </w:tcPr>
          <w:p w14:paraId="6C923FBF"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Crabp2 has been used an arachnoid marker (DeSisto</w:t>
            </w:r>
            <w:r w:rsidRPr="009218EA">
              <w:rPr>
                <w:rFonts w:ascii="Times New Roman" w:hAnsi="Times New Roman" w:cs="Times New Roman"/>
                <w:i/>
                <w:iCs/>
                <w:sz w:val="24"/>
                <w:szCs w:val="24"/>
              </w:rPr>
              <w:t xml:space="preserve"> et al.</w:t>
            </w:r>
            <w:r w:rsidRPr="009218EA">
              <w:rPr>
                <w:rFonts w:ascii="Times New Roman" w:hAnsi="Times New Roman" w:cs="Times New Roman"/>
                <w:sz w:val="24"/>
                <w:szCs w:val="24"/>
              </w:rPr>
              <w:t xml:space="preserve"> 2020; Abubaker</w:t>
            </w:r>
            <w:r w:rsidRPr="009218EA">
              <w:rPr>
                <w:rFonts w:ascii="Times New Roman" w:hAnsi="Times New Roman" w:cs="Times New Roman"/>
                <w:i/>
                <w:iCs/>
                <w:sz w:val="24"/>
                <w:szCs w:val="24"/>
              </w:rPr>
              <w:t xml:space="preserve"> et al.</w:t>
            </w:r>
            <w:r w:rsidRPr="009218EA">
              <w:rPr>
                <w:rFonts w:ascii="Times New Roman" w:hAnsi="Times New Roman" w:cs="Times New Roman"/>
                <w:sz w:val="24"/>
                <w:szCs w:val="24"/>
              </w:rPr>
              <w:t xml:space="preserve"> 2024)</w:t>
            </w:r>
          </w:p>
        </w:tc>
      </w:tr>
      <w:tr w:rsidR="002317BE" w:rsidRPr="009218EA" w14:paraId="3C3C7C03" w14:textId="77777777" w:rsidTr="00DC783E">
        <w:trPr>
          <w:trHeight w:val="1290"/>
        </w:trPr>
        <w:tc>
          <w:tcPr>
            <w:tcW w:w="1411" w:type="dxa"/>
            <w:noWrap/>
            <w:hideMark/>
          </w:tcPr>
          <w:p w14:paraId="5F80492F"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Fibronectin</w:t>
            </w:r>
          </w:p>
        </w:tc>
        <w:tc>
          <w:tcPr>
            <w:tcW w:w="1645" w:type="dxa"/>
            <w:noWrap/>
            <w:hideMark/>
          </w:tcPr>
          <w:p w14:paraId="57847B38"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FN1 (Fibronectin 1)</w:t>
            </w:r>
          </w:p>
        </w:tc>
        <w:tc>
          <w:tcPr>
            <w:tcW w:w="2014" w:type="dxa"/>
            <w:noWrap/>
            <w:hideMark/>
          </w:tcPr>
          <w:p w14:paraId="107809CF"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ECM glycoprotein, adhesion, migration, wound repair</w:t>
            </w:r>
          </w:p>
        </w:tc>
        <w:tc>
          <w:tcPr>
            <w:tcW w:w="4172" w:type="dxa"/>
            <w:noWrap/>
            <w:hideMark/>
          </w:tcPr>
          <w:p w14:paraId="681D0457" w14:textId="587CFA6A"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 xml:space="preserve">Widely used as a meningeal cell marker </w:t>
            </w:r>
            <w:r w:rsidR="005B3290">
              <w:rPr>
                <w:rFonts w:ascii="Times New Roman" w:hAnsi="Times New Roman" w:cs="Times New Roman"/>
                <w:sz w:val="24"/>
                <w:szCs w:val="24"/>
              </w:rPr>
              <w:fldChar w:fldCharType="begin">
                <w:fldData xml:space="preserve">PEVuZE5vdGU+PENpdGU+PEF1dGhvcj5IZWNrPC9BdXRob3I+PFllYXI+MjAwNzwvWWVhcj48SURU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</w:fldData>
              </w:fldChar>
            </w:r>
            <w:r w:rsidR="005B3290">
              <w:rPr>
                <w:rFonts w:ascii="Times New Roman" w:hAnsi="Times New Roman" w:cs="Times New Roman"/>
                <w:sz w:val="24"/>
                <w:szCs w:val="24"/>
              </w:rPr>
              <w:instrText xml:space="preserve"> ADDIN EN.JS.CITE </w:instrText>
            </w:r>
            <w:r w:rsidR="005B3290">
              <w:rPr>
                <w:rFonts w:ascii="Times New Roman" w:hAnsi="Times New Roman" w:cs="Times New Roman"/>
                <w:sz w:val="24"/>
                <w:szCs w:val="24"/>
              </w:rPr>
            </w:r>
            <w:r w:rsidR="005B3290">
              <w:rPr>
                <w:rFonts w:ascii="Times New Roman" w:hAnsi="Times New Roman" w:cs="Times New Roman"/>
                <w:sz w:val="24"/>
                <w:szCs w:val="24"/>
              </w:rPr>
              <w:fldChar w:fldCharType="separate"/>
            </w:r>
            <w:r w:rsidR="005B3290">
              <w:rPr>
                <w:rFonts w:ascii="Times New Roman" w:hAnsi="Times New Roman" w:cs="Times New Roman"/>
                <w:noProof/>
                <w:sz w:val="24"/>
                <w:szCs w:val="24"/>
              </w:rPr>
              <w:t>(Heck</w:t>
            </w:r>
            <w:r w:rsidR="005B3290" w:rsidRPr="005B3290">
              <w:rPr>
                <w:rFonts w:ascii="Times New Roman" w:hAnsi="Times New Roman" w:cs="Times New Roman"/>
                <w:i/>
                <w:noProof/>
                <w:sz w:val="24"/>
                <w:szCs w:val="24"/>
              </w:rPr>
              <w:t xml:space="preserve"> et al.</w:t>
            </w:r>
            <w:r w:rsidR="005B3290">
              <w:rPr>
                <w:rFonts w:ascii="Times New Roman" w:hAnsi="Times New Roman" w:cs="Times New Roman"/>
                <w:noProof/>
                <w:sz w:val="24"/>
                <w:szCs w:val="24"/>
              </w:rPr>
              <w:t xml:space="preserve"> 2007)</w:t>
            </w:r>
            <w:r w:rsidR="005B3290">
              <w:rPr>
                <w:rFonts w:ascii="Times New Roman" w:hAnsi="Times New Roman" w:cs="Times New Roman"/>
                <w:sz w:val="24"/>
                <w:szCs w:val="24"/>
              </w:rPr>
              <w:fldChar w:fldCharType="end"/>
            </w:r>
          </w:p>
        </w:tc>
      </w:tr>
      <w:tr w:rsidR="002317BE" w:rsidRPr="009218EA" w14:paraId="442295C7" w14:textId="77777777" w:rsidTr="00DC783E">
        <w:trPr>
          <w:trHeight w:val="1035"/>
        </w:trPr>
        <w:tc>
          <w:tcPr>
            <w:tcW w:w="1411" w:type="dxa"/>
            <w:noWrap/>
            <w:hideMark/>
          </w:tcPr>
          <w:p w14:paraId="776E42F9"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VE</w:t>
            </w:r>
            <w:r w:rsidRPr="009218EA">
              <w:rPr>
                <w:rFonts w:ascii="Times New Roman" w:hAnsi="Times New Roman" w:cs="Times New Roman"/>
                <w:sz w:val="24"/>
                <w:szCs w:val="24"/>
              </w:rPr>
              <w:noBreakHyphen/>
              <w:t>cadherin</w:t>
            </w:r>
          </w:p>
        </w:tc>
        <w:tc>
          <w:tcPr>
            <w:tcW w:w="1645" w:type="dxa"/>
            <w:noWrap/>
            <w:hideMark/>
          </w:tcPr>
          <w:p w14:paraId="5C0C3A06"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Cadherin 5 (CDH5)</w:t>
            </w:r>
          </w:p>
        </w:tc>
        <w:tc>
          <w:tcPr>
            <w:tcW w:w="2014" w:type="dxa"/>
            <w:noWrap/>
            <w:hideMark/>
          </w:tcPr>
          <w:p w14:paraId="5C1AE3DA"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Endothelial adherens junction protein</w:t>
            </w:r>
          </w:p>
        </w:tc>
        <w:tc>
          <w:tcPr>
            <w:tcW w:w="4172" w:type="dxa"/>
            <w:noWrap/>
            <w:hideMark/>
          </w:tcPr>
          <w:p w14:paraId="0EA3FCB6"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VE-Cadherin has been identified the pia and arachnoid in the meninges (Mapunda</w:t>
            </w:r>
            <w:r w:rsidRPr="009218EA">
              <w:rPr>
                <w:rFonts w:ascii="Times New Roman" w:hAnsi="Times New Roman" w:cs="Times New Roman"/>
                <w:i/>
                <w:iCs/>
                <w:sz w:val="24"/>
                <w:szCs w:val="24"/>
              </w:rPr>
              <w:t xml:space="preserve"> et al.</w:t>
            </w:r>
            <w:r w:rsidRPr="009218EA">
              <w:rPr>
                <w:rFonts w:ascii="Times New Roman" w:hAnsi="Times New Roman" w:cs="Times New Roman"/>
                <w:sz w:val="24"/>
                <w:szCs w:val="24"/>
              </w:rPr>
              <w:t xml:space="preserve"> 2023)</w:t>
            </w:r>
          </w:p>
        </w:tc>
      </w:tr>
      <w:tr w:rsidR="002317BE" w:rsidRPr="009218EA" w14:paraId="354C2BE8" w14:textId="77777777" w:rsidTr="00DC783E">
        <w:trPr>
          <w:trHeight w:val="1035"/>
        </w:trPr>
        <w:tc>
          <w:tcPr>
            <w:tcW w:w="1411" w:type="dxa"/>
            <w:noWrap/>
            <w:hideMark/>
          </w:tcPr>
          <w:p w14:paraId="7DD8CDF4"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ACTA2</w:t>
            </w:r>
          </w:p>
        </w:tc>
        <w:tc>
          <w:tcPr>
            <w:tcW w:w="1645" w:type="dxa"/>
            <w:noWrap/>
            <w:hideMark/>
          </w:tcPr>
          <w:p w14:paraId="0162019B"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Actin Alpha 2, Smooth Muscle</w:t>
            </w:r>
          </w:p>
        </w:tc>
        <w:tc>
          <w:tcPr>
            <w:tcW w:w="2014" w:type="dxa"/>
            <w:noWrap/>
            <w:hideMark/>
          </w:tcPr>
          <w:p w14:paraId="27E44371"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Contractile cytoskeleton in smooth muscle/pericytes</w:t>
            </w:r>
          </w:p>
        </w:tc>
        <w:tc>
          <w:tcPr>
            <w:tcW w:w="4172" w:type="dxa"/>
            <w:noWrap/>
            <w:hideMark/>
          </w:tcPr>
          <w:p w14:paraId="7AFC1F5D"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Acta2 is used to identify vascular smooth muscle and mural cells in meninges (Kearns</w:t>
            </w:r>
            <w:r w:rsidRPr="009218EA">
              <w:rPr>
                <w:rFonts w:ascii="Times New Roman" w:hAnsi="Times New Roman" w:cs="Times New Roman"/>
                <w:i/>
                <w:iCs/>
                <w:sz w:val="24"/>
                <w:szCs w:val="24"/>
              </w:rPr>
              <w:t xml:space="preserve"> et al.</w:t>
            </w:r>
            <w:r w:rsidRPr="009218EA">
              <w:rPr>
                <w:rFonts w:ascii="Times New Roman" w:hAnsi="Times New Roman" w:cs="Times New Roman"/>
                <w:sz w:val="24"/>
                <w:szCs w:val="24"/>
              </w:rPr>
              <w:t xml:space="preserve"> 2023)</w:t>
            </w:r>
          </w:p>
        </w:tc>
      </w:tr>
      <w:tr w:rsidR="002317BE" w:rsidRPr="009218EA" w14:paraId="5F80859F" w14:textId="77777777" w:rsidTr="00DC783E">
        <w:trPr>
          <w:trHeight w:val="1035"/>
        </w:trPr>
        <w:tc>
          <w:tcPr>
            <w:tcW w:w="1411" w:type="dxa"/>
            <w:noWrap/>
            <w:hideMark/>
          </w:tcPr>
          <w:p w14:paraId="463D41EA"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GFAP</w:t>
            </w:r>
          </w:p>
        </w:tc>
        <w:tc>
          <w:tcPr>
            <w:tcW w:w="1645" w:type="dxa"/>
            <w:noWrap/>
            <w:hideMark/>
          </w:tcPr>
          <w:p w14:paraId="371697A8"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Glial Fibrillary Acidic Protein</w:t>
            </w:r>
          </w:p>
        </w:tc>
        <w:tc>
          <w:tcPr>
            <w:tcW w:w="2014" w:type="dxa"/>
            <w:noWrap/>
            <w:hideMark/>
          </w:tcPr>
          <w:p w14:paraId="78C4E637"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Astrocyte intermediate filament protein</w:t>
            </w:r>
          </w:p>
        </w:tc>
        <w:tc>
          <w:tcPr>
            <w:tcW w:w="4172" w:type="dxa"/>
            <w:noWrap/>
            <w:hideMark/>
          </w:tcPr>
          <w:p w14:paraId="34C0B22F"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Reports of meningeal cells staining positive for GFAP (</w:t>
            </w:r>
            <w:proofErr w:type="spellStart"/>
            <w:r w:rsidRPr="009218EA">
              <w:rPr>
                <w:rFonts w:ascii="Times New Roman" w:hAnsi="Times New Roman" w:cs="Times New Roman"/>
                <w:sz w:val="24"/>
                <w:szCs w:val="24"/>
              </w:rPr>
              <w:t>Hainfellner</w:t>
            </w:r>
            <w:proofErr w:type="spellEnd"/>
            <w:r w:rsidRPr="009218EA">
              <w:rPr>
                <w:rFonts w:ascii="Times New Roman" w:hAnsi="Times New Roman" w:cs="Times New Roman"/>
                <w:i/>
                <w:iCs/>
                <w:sz w:val="24"/>
                <w:szCs w:val="24"/>
              </w:rPr>
              <w:t xml:space="preserve"> et al.</w:t>
            </w:r>
            <w:r w:rsidRPr="009218EA">
              <w:rPr>
                <w:rFonts w:ascii="Times New Roman" w:hAnsi="Times New Roman" w:cs="Times New Roman"/>
                <w:sz w:val="24"/>
                <w:szCs w:val="24"/>
              </w:rPr>
              <w:t xml:space="preserve"> 2001; Xin</w:t>
            </w:r>
            <w:r w:rsidRPr="009218EA">
              <w:rPr>
                <w:rFonts w:ascii="Times New Roman" w:hAnsi="Times New Roman" w:cs="Times New Roman"/>
                <w:i/>
                <w:iCs/>
                <w:sz w:val="24"/>
                <w:szCs w:val="24"/>
              </w:rPr>
              <w:t xml:space="preserve"> et al.</w:t>
            </w:r>
            <w:r w:rsidRPr="009218EA">
              <w:rPr>
                <w:rFonts w:ascii="Times New Roman" w:hAnsi="Times New Roman" w:cs="Times New Roman"/>
                <w:sz w:val="24"/>
                <w:szCs w:val="24"/>
              </w:rPr>
              <w:t xml:space="preserve"> 2010)</w:t>
            </w:r>
          </w:p>
        </w:tc>
      </w:tr>
      <w:tr w:rsidR="002317BE" w:rsidRPr="009218EA" w14:paraId="2BD7B33E" w14:textId="77777777" w:rsidTr="00DC783E">
        <w:trPr>
          <w:trHeight w:val="525"/>
        </w:trPr>
        <w:tc>
          <w:tcPr>
            <w:tcW w:w="1411" w:type="dxa"/>
            <w:noWrap/>
            <w:hideMark/>
          </w:tcPr>
          <w:p w14:paraId="609308B7"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lastRenderedPageBreak/>
              <w:t>S100B</w:t>
            </w:r>
          </w:p>
        </w:tc>
        <w:tc>
          <w:tcPr>
            <w:tcW w:w="1645" w:type="dxa"/>
            <w:noWrap/>
            <w:hideMark/>
          </w:tcPr>
          <w:p w14:paraId="03C23A2A" w14:textId="77777777"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lang w:val="nl-BE"/>
              </w:rPr>
              <w:t>S100 Calcium Binding Protein B</w:t>
            </w:r>
          </w:p>
        </w:tc>
        <w:tc>
          <w:tcPr>
            <w:tcW w:w="2014" w:type="dxa"/>
            <w:noWrap/>
            <w:hideMark/>
          </w:tcPr>
          <w:p w14:paraId="4D3DFD07" w14:textId="77777777" w:rsidR="002317BE" w:rsidRPr="009218EA" w:rsidRDefault="002317BE" w:rsidP="002D336E">
            <w:pPr>
              <w:jc w:val="both"/>
              <w:rPr>
                <w:rFonts w:ascii="Times New Roman" w:hAnsi="Times New Roman" w:cs="Times New Roman"/>
                <w:sz w:val="24"/>
                <w:szCs w:val="24"/>
                <w:lang w:val="de-DE"/>
              </w:rPr>
            </w:pPr>
            <w:r w:rsidRPr="009218EA">
              <w:rPr>
                <w:rFonts w:ascii="Times New Roman" w:hAnsi="Times New Roman" w:cs="Times New Roman"/>
                <w:sz w:val="24"/>
                <w:szCs w:val="24"/>
                <w:lang w:val="de-DE"/>
              </w:rPr>
              <w:t>Calcium</w:t>
            </w:r>
            <w:r w:rsidRPr="009218EA">
              <w:rPr>
                <w:rFonts w:ascii="Times New Roman" w:hAnsi="Times New Roman" w:cs="Times New Roman"/>
                <w:sz w:val="24"/>
                <w:szCs w:val="24"/>
                <w:lang w:val="de-DE"/>
              </w:rPr>
              <w:noBreakHyphen/>
            </w:r>
            <w:proofErr w:type="spellStart"/>
            <w:r w:rsidRPr="009218EA">
              <w:rPr>
                <w:rFonts w:ascii="Times New Roman" w:hAnsi="Times New Roman" w:cs="Times New Roman"/>
                <w:sz w:val="24"/>
                <w:szCs w:val="24"/>
                <w:lang w:val="de-DE"/>
              </w:rPr>
              <w:t>binding</w:t>
            </w:r>
            <w:proofErr w:type="spellEnd"/>
            <w:r w:rsidRPr="009218EA">
              <w:rPr>
                <w:rFonts w:ascii="Times New Roman" w:hAnsi="Times New Roman" w:cs="Times New Roman"/>
                <w:sz w:val="24"/>
                <w:szCs w:val="24"/>
                <w:lang w:val="de-DE"/>
              </w:rPr>
              <w:t xml:space="preserve"> protein; </w:t>
            </w:r>
            <w:proofErr w:type="spellStart"/>
            <w:r w:rsidRPr="009218EA">
              <w:rPr>
                <w:rFonts w:ascii="Times New Roman" w:hAnsi="Times New Roman" w:cs="Times New Roman"/>
                <w:sz w:val="24"/>
                <w:szCs w:val="24"/>
                <w:lang w:val="de-DE"/>
              </w:rPr>
              <w:t>astrocyte</w:t>
            </w:r>
            <w:proofErr w:type="spellEnd"/>
            <w:r w:rsidRPr="009218EA">
              <w:rPr>
                <w:rFonts w:ascii="Times New Roman" w:hAnsi="Times New Roman" w:cs="Times New Roman"/>
                <w:sz w:val="24"/>
                <w:szCs w:val="24"/>
                <w:lang w:val="de-DE"/>
              </w:rPr>
              <w:t xml:space="preserve"> </w:t>
            </w:r>
            <w:proofErr w:type="spellStart"/>
            <w:r w:rsidRPr="009218EA">
              <w:rPr>
                <w:rFonts w:ascii="Times New Roman" w:hAnsi="Times New Roman" w:cs="Times New Roman"/>
                <w:sz w:val="24"/>
                <w:szCs w:val="24"/>
                <w:lang w:val="de-DE"/>
              </w:rPr>
              <w:t>marker</w:t>
            </w:r>
            <w:proofErr w:type="spellEnd"/>
          </w:p>
        </w:tc>
        <w:tc>
          <w:tcPr>
            <w:tcW w:w="4172" w:type="dxa"/>
            <w:noWrap/>
            <w:hideMark/>
          </w:tcPr>
          <w:p w14:paraId="5E20CFFB" w14:textId="4761E7CD" w:rsidR="002317BE" w:rsidRPr="009218EA" w:rsidRDefault="002317BE" w:rsidP="002D336E">
            <w:pPr>
              <w:jc w:val="both"/>
              <w:rPr>
                <w:rFonts w:ascii="Times New Roman" w:hAnsi="Times New Roman" w:cs="Times New Roman"/>
                <w:sz w:val="24"/>
                <w:szCs w:val="24"/>
              </w:rPr>
            </w:pPr>
            <w:r w:rsidRPr="009218EA">
              <w:rPr>
                <w:rFonts w:ascii="Times New Roman" w:hAnsi="Times New Roman" w:cs="Times New Roman"/>
                <w:sz w:val="24"/>
                <w:szCs w:val="24"/>
              </w:rPr>
              <w:t xml:space="preserve">Shown to be present in some meningioma cases </w:t>
            </w:r>
            <w:r w:rsidR="005B3290">
              <w:rPr>
                <w:rFonts w:ascii="Times New Roman" w:hAnsi="Times New Roman" w:cs="Times New Roman"/>
                <w:sz w:val="24"/>
                <w:szCs w:val="24"/>
              </w:rPr>
              <w:fldChar w:fldCharType="begin">
                <w:fldData xml:space="preserve">PEVuZE5vdGU+PENpdGU+PEF1dGhvcj5CZWhsaW5nPC9BdXRob3I+PFllYXI+MjAyMzwvWWVhcj48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</w:fldData>
              </w:fldChar>
            </w:r>
            <w:r w:rsidR="005B3290">
              <w:rPr>
                <w:rFonts w:ascii="Times New Roman" w:hAnsi="Times New Roman" w:cs="Times New Roman"/>
                <w:sz w:val="24"/>
                <w:szCs w:val="24"/>
              </w:rPr>
              <w:instrText xml:space="preserve"> ADDIN EN.JS.CITE </w:instrText>
            </w:r>
            <w:r w:rsidR="005B3290">
              <w:rPr>
                <w:rFonts w:ascii="Times New Roman" w:hAnsi="Times New Roman" w:cs="Times New Roman"/>
                <w:sz w:val="24"/>
                <w:szCs w:val="24"/>
              </w:rPr>
            </w:r>
            <w:r w:rsidR="005B3290">
              <w:rPr>
                <w:rFonts w:ascii="Times New Roman" w:hAnsi="Times New Roman" w:cs="Times New Roman"/>
                <w:sz w:val="24"/>
                <w:szCs w:val="24"/>
              </w:rPr>
              <w:fldChar w:fldCharType="separate"/>
            </w:r>
            <w:r w:rsidR="005B3290">
              <w:rPr>
                <w:rFonts w:ascii="Times New Roman" w:hAnsi="Times New Roman" w:cs="Times New Roman"/>
                <w:noProof/>
                <w:sz w:val="24"/>
                <w:szCs w:val="24"/>
              </w:rPr>
              <w:t>(Behling</w:t>
            </w:r>
            <w:r w:rsidR="005B3290" w:rsidRPr="005B3290">
              <w:rPr>
                <w:rFonts w:ascii="Times New Roman" w:hAnsi="Times New Roman" w:cs="Times New Roman"/>
                <w:i/>
                <w:noProof/>
                <w:sz w:val="24"/>
                <w:szCs w:val="24"/>
              </w:rPr>
              <w:t xml:space="preserve"> et al.</w:t>
            </w:r>
            <w:r w:rsidR="005B3290">
              <w:rPr>
                <w:rFonts w:ascii="Times New Roman" w:hAnsi="Times New Roman" w:cs="Times New Roman"/>
                <w:noProof/>
                <w:sz w:val="24"/>
                <w:szCs w:val="24"/>
              </w:rPr>
              <w:t xml:space="preserve"> 2023)</w:t>
            </w:r>
            <w:r w:rsidR="005B3290">
              <w:rPr>
                <w:rFonts w:ascii="Times New Roman" w:hAnsi="Times New Roman" w:cs="Times New Roman"/>
                <w:sz w:val="24"/>
                <w:szCs w:val="24"/>
              </w:rPr>
              <w:fldChar w:fldCharType="end"/>
            </w:r>
          </w:p>
        </w:tc>
      </w:tr>
    </w:tbl>
    <w:p w14:paraId="1E19BED5" w14:textId="77777777" w:rsidR="00A5544F" w:rsidRPr="009218EA" w:rsidRDefault="00A5544F" w:rsidP="002D336E">
      <w:pPr>
        <w:jc w:val="both"/>
        <w:rPr>
          <w:rFonts w:ascii="Times New Roman" w:hAnsi="Times New Roman" w:cs="Times New Roman"/>
          <w:b/>
          <w:bCs/>
          <w:sz w:val="24"/>
          <w:szCs w:val="24"/>
        </w:rPr>
      </w:pPr>
    </w:p>
    <w:p w14:paraId="44AFE460" w14:textId="58905D3A" w:rsidR="007D7F66" w:rsidRPr="009218EA" w:rsidRDefault="00B25D9E" w:rsidP="002D336E">
      <w:pPr>
        <w:jc w:val="both"/>
        <w:rPr>
          <w:rFonts w:ascii="Times New Roman" w:hAnsi="Times New Roman" w:cs="Times New Roman"/>
          <w:sz w:val="24"/>
          <w:szCs w:val="24"/>
        </w:rPr>
      </w:pPr>
      <w:r w:rsidRPr="009218EA">
        <w:rPr>
          <w:rFonts w:ascii="Times New Roman" w:hAnsi="Times New Roman" w:cs="Times New Roman"/>
          <w:b/>
          <w:bCs/>
          <w:sz w:val="24"/>
          <w:szCs w:val="24"/>
        </w:rPr>
        <w:t>Table S</w:t>
      </w:r>
      <w:r w:rsidR="00A5544F" w:rsidRPr="009218EA">
        <w:rPr>
          <w:rFonts w:ascii="Times New Roman" w:hAnsi="Times New Roman" w:cs="Times New Roman"/>
          <w:b/>
          <w:bCs/>
          <w:sz w:val="24"/>
          <w:szCs w:val="24"/>
        </w:rPr>
        <w:t>4</w:t>
      </w:r>
      <w:r w:rsidRPr="009218EA">
        <w:rPr>
          <w:rFonts w:ascii="Times New Roman" w:hAnsi="Times New Roman" w:cs="Times New Roman"/>
          <w:b/>
          <w:bCs/>
          <w:sz w:val="24"/>
          <w:szCs w:val="24"/>
        </w:rPr>
        <w:t>:</w:t>
      </w:r>
      <w:r w:rsidRPr="009218EA">
        <w:rPr>
          <w:rFonts w:ascii="Times New Roman" w:hAnsi="Times New Roman" w:cs="Times New Roman"/>
          <w:sz w:val="24"/>
          <w:szCs w:val="24"/>
        </w:rPr>
        <w:t xml:space="preserve"> Details of primary and secondary antibodies used in the immunocytochemistry</w:t>
      </w:r>
    </w:p>
    <w:tbl>
      <w:tblPr>
        <w:tblStyle w:val="TableGrid"/>
        <w:tblW w:w="9136" w:type="dxa"/>
        <w:tblLook w:val="04A0" w:firstRow="1" w:lastRow="0" w:firstColumn="1" w:lastColumn="0" w:noHBand="0" w:noVBand="1"/>
      </w:tblPr>
      <w:tblGrid>
        <w:gridCol w:w="1536"/>
        <w:gridCol w:w="963"/>
        <w:gridCol w:w="1516"/>
        <w:gridCol w:w="1675"/>
        <w:gridCol w:w="1433"/>
        <w:gridCol w:w="2013"/>
      </w:tblGrid>
      <w:tr w:rsidR="008E5076" w:rsidRPr="009218EA" w14:paraId="717928D0" w14:textId="77777777" w:rsidTr="00D72AE4">
        <w:trPr>
          <w:trHeight w:val="461"/>
        </w:trPr>
        <w:tc>
          <w:tcPr>
            <w:tcW w:w="1426" w:type="dxa"/>
            <w:hideMark/>
          </w:tcPr>
          <w:p w14:paraId="21D44A24" w14:textId="77777777" w:rsidR="008E5076" w:rsidRPr="009218EA" w:rsidRDefault="008E5076" w:rsidP="002D336E">
            <w:pPr>
              <w:spacing w:after="160" w:line="259" w:lineRule="auto"/>
              <w:jc w:val="both"/>
              <w:rPr>
                <w:rFonts w:ascii="Times New Roman" w:hAnsi="Times New Roman" w:cs="Times New Roman"/>
                <w:b/>
                <w:bCs/>
                <w:sz w:val="24"/>
                <w:szCs w:val="24"/>
              </w:rPr>
            </w:pPr>
            <w:r w:rsidRPr="009218EA">
              <w:rPr>
                <w:rFonts w:ascii="Times New Roman" w:hAnsi="Times New Roman" w:cs="Times New Roman"/>
                <w:b/>
                <w:bCs/>
                <w:sz w:val="24"/>
                <w:szCs w:val="24"/>
              </w:rPr>
              <w:t>Antibody</w:t>
            </w:r>
          </w:p>
        </w:tc>
        <w:tc>
          <w:tcPr>
            <w:tcW w:w="901" w:type="dxa"/>
            <w:hideMark/>
          </w:tcPr>
          <w:p w14:paraId="682D16CD" w14:textId="77777777" w:rsidR="008E5076" w:rsidRPr="009218EA" w:rsidRDefault="008E5076" w:rsidP="002D336E">
            <w:pPr>
              <w:spacing w:after="160" w:line="259" w:lineRule="auto"/>
              <w:jc w:val="both"/>
              <w:rPr>
                <w:rFonts w:ascii="Times New Roman" w:hAnsi="Times New Roman" w:cs="Times New Roman"/>
                <w:b/>
                <w:bCs/>
                <w:sz w:val="24"/>
                <w:szCs w:val="24"/>
              </w:rPr>
            </w:pPr>
            <w:r w:rsidRPr="009218EA">
              <w:rPr>
                <w:rFonts w:ascii="Times New Roman" w:hAnsi="Times New Roman" w:cs="Times New Roman"/>
                <w:b/>
                <w:bCs/>
                <w:sz w:val="24"/>
                <w:szCs w:val="24"/>
              </w:rPr>
              <w:t>Species</w:t>
            </w:r>
          </w:p>
        </w:tc>
        <w:tc>
          <w:tcPr>
            <w:tcW w:w="1528" w:type="dxa"/>
            <w:hideMark/>
          </w:tcPr>
          <w:p w14:paraId="24D09A81" w14:textId="77777777" w:rsidR="008E5076" w:rsidRPr="009218EA" w:rsidRDefault="008E5076" w:rsidP="002D336E">
            <w:pPr>
              <w:spacing w:after="160" w:line="259" w:lineRule="auto"/>
              <w:jc w:val="both"/>
              <w:rPr>
                <w:rFonts w:ascii="Times New Roman" w:hAnsi="Times New Roman" w:cs="Times New Roman"/>
                <w:b/>
                <w:bCs/>
                <w:sz w:val="24"/>
                <w:szCs w:val="24"/>
              </w:rPr>
            </w:pPr>
            <w:r w:rsidRPr="009218EA">
              <w:rPr>
                <w:rFonts w:ascii="Times New Roman" w:hAnsi="Times New Roman" w:cs="Times New Roman"/>
                <w:b/>
                <w:bCs/>
                <w:sz w:val="24"/>
                <w:szCs w:val="24"/>
              </w:rPr>
              <w:t>Product Code</w:t>
            </w:r>
          </w:p>
        </w:tc>
        <w:tc>
          <w:tcPr>
            <w:tcW w:w="1735" w:type="dxa"/>
            <w:hideMark/>
          </w:tcPr>
          <w:p w14:paraId="71C40D25" w14:textId="77777777" w:rsidR="008E5076" w:rsidRPr="009218EA" w:rsidRDefault="008E5076" w:rsidP="002D336E">
            <w:pPr>
              <w:spacing w:after="160" w:line="259" w:lineRule="auto"/>
              <w:jc w:val="both"/>
              <w:rPr>
                <w:rFonts w:ascii="Times New Roman" w:hAnsi="Times New Roman" w:cs="Times New Roman"/>
                <w:b/>
                <w:bCs/>
                <w:sz w:val="24"/>
                <w:szCs w:val="24"/>
              </w:rPr>
            </w:pPr>
            <w:r w:rsidRPr="009218EA">
              <w:rPr>
                <w:rFonts w:ascii="Times New Roman" w:hAnsi="Times New Roman" w:cs="Times New Roman"/>
                <w:b/>
                <w:bCs/>
                <w:sz w:val="24"/>
                <w:szCs w:val="24"/>
              </w:rPr>
              <w:t>Primary Dilution</w:t>
            </w:r>
          </w:p>
        </w:tc>
        <w:tc>
          <w:tcPr>
            <w:tcW w:w="1460" w:type="dxa"/>
          </w:tcPr>
          <w:p w14:paraId="5A9182FE" w14:textId="1B91F9CC" w:rsidR="008E5076" w:rsidRPr="009218EA" w:rsidRDefault="008E5076" w:rsidP="002D336E">
            <w:pPr>
              <w:jc w:val="both"/>
              <w:rPr>
                <w:rFonts w:ascii="Times New Roman" w:hAnsi="Times New Roman" w:cs="Times New Roman"/>
                <w:b/>
                <w:bCs/>
                <w:sz w:val="24"/>
                <w:szCs w:val="24"/>
              </w:rPr>
            </w:pPr>
            <w:r w:rsidRPr="009218EA">
              <w:rPr>
                <w:rFonts w:ascii="Times New Roman" w:hAnsi="Times New Roman" w:cs="Times New Roman"/>
                <w:b/>
                <w:bCs/>
                <w:sz w:val="24"/>
                <w:szCs w:val="24"/>
              </w:rPr>
              <w:t>Product Code</w:t>
            </w:r>
          </w:p>
        </w:tc>
        <w:tc>
          <w:tcPr>
            <w:tcW w:w="2086" w:type="dxa"/>
            <w:hideMark/>
          </w:tcPr>
          <w:p w14:paraId="09392CD2" w14:textId="7A1D8C05" w:rsidR="008E5076" w:rsidRPr="009218EA" w:rsidRDefault="008E5076" w:rsidP="002D336E">
            <w:pPr>
              <w:spacing w:after="160" w:line="259" w:lineRule="auto"/>
              <w:jc w:val="both"/>
              <w:rPr>
                <w:rFonts w:ascii="Times New Roman" w:hAnsi="Times New Roman" w:cs="Times New Roman"/>
                <w:b/>
                <w:bCs/>
                <w:sz w:val="24"/>
                <w:szCs w:val="24"/>
              </w:rPr>
            </w:pPr>
            <w:r w:rsidRPr="009218EA">
              <w:rPr>
                <w:rFonts w:ascii="Times New Roman" w:hAnsi="Times New Roman" w:cs="Times New Roman"/>
                <w:b/>
                <w:bCs/>
                <w:sz w:val="24"/>
                <w:szCs w:val="24"/>
              </w:rPr>
              <w:t>Secondary Dilution</w:t>
            </w:r>
          </w:p>
        </w:tc>
      </w:tr>
      <w:tr w:rsidR="008E5076" w:rsidRPr="009218EA" w14:paraId="44EDAC8C" w14:textId="77777777" w:rsidTr="00D72AE4">
        <w:trPr>
          <w:trHeight w:val="442"/>
        </w:trPr>
        <w:tc>
          <w:tcPr>
            <w:tcW w:w="1426" w:type="dxa"/>
            <w:hideMark/>
          </w:tcPr>
          <w:p w14:paraId="501F9A10" w14:textId="77777777" w:rsidR="008E5076" w:rsidRPr="009218EA" w:rsidRDefault="008E5076" w:rsidP="002D336E">
            <w:pPr>
              <w:spacing w:after="160" w:line="259" w:lineRule="auto"/>
              <w:jc w:val="both"/>
              <w:rPr>
                <w:rFonts w:ascii="Times New Roman" w:hAnsi="Times New Roman" w:cs="Times New Roman"/>
                <w:b/>
                <w:bCs/>
                <w:sz w:val="24"/>
                <w:szCs w:val="24"/>
              </w:rPr>
            </w:pPr>
            <w:r w:rsidRPr="009218EA">
              <w:rPr>
                <w:rFonts w:ascii="Times New Roman" w:hAnsi="Times New Roman" w:cs="Times New Roman"/>
                <w:b/>
                <w:bCs/>
                <w:sz w:val="24"/>
                <w:szCs w:val="24"/>
              </w:rPr>
              <w:t>BMP5</w:t>
            </w:r>
          </w:p>
        </w:tc>
        <w:tc>
          <w:tcPr>
            <w:tcW w:w="901" w:type="dxa"/>
            <w:hideMark/>
          </w:tcPr>
          <w:p w14:paraId="6766443B"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rabbit</w:t>
            </w:r>
          </w:p>
        </w:tc>
        <w:tc>
          <w:tcPr>
            <w:tcW w:w="1528" w:type="dxa"/>
            <w:hideMark/>
          </w:tcPr>
          <w:p w14:paraId="59548544"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bs</w:t>
            </w:r>
            <w:r w:rsidRPr="009218EA">
              <w:rPr>
                <w:rFonts w:ascii="Times New Roman" w:hAnsi="Times New Roman" w:cs="Times New Roman"/>
                <w:sz w:val="24"/>
                <w:szCs w:val="24"/>
              </w:rPr>
              <w:noBreakHyphen/>
              <w:t>6614R</w:t>
            </w:r>
          </w:p>
        </w:tc>
        <w:tc>
          <w:tcPr>
            <w:tcW w:w="1735" w:type="dxa"/>
            <w:hideMark/>
          </w:tcPr>
          <w:p w14:paraId="1A8968E2"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1/200</w:t>
            </w:r>
          </w:p>
        </w:tc>
        <w:tc>
          <w:tcPr>
            <w:tcW w:w="1460" w:type="dxa"/>
          </w:tcPr>
          <w:p w14:paraId="7F8E04BC" w14:textId="14764DF7" w:rsidR="008E5076" w:rsidRPr="009218EA" w:rsidRDefault="004174AB" w:rsidP="002D336E">
            <w:pPr>
              <w:jc w:val="both"/>
              <w:rPr>
                <w:rFonts w:ascii="Times New Roman" w:hAnsi="Times New Roman" w:cs="Times New Roman"/>
                <w:sz w:val="24"/>
                <w:szCs w:val="24"/>
              </w:rPr>
            </w:pPr>
            <w:r w:rsidRPr="009218EA">
              <w:rPr>
                <w:rFonts w:ascii="Times New Roman" w:hAnsi="Times New Roman" w:cs="Times New Roman"/>
                <w:sz w:val="24"/>
                <w:szCs w:val="24"/>
              </w:rPr>
              <w:t>ab175471</w:t>
            </w:r>
          </w:p>
        </w:tc>
        <w:tc>
          <w:tcPr>
            <w:tcW w:w="2086" w:type="dxa"/>
            <w:hideMark/>
          </w:tcPr>
          <w:p w14:paraId="24895E26" w14:textId="51BDF5DD"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1/500</w:t>
            </w:r>
          </w:p>
        </w:tc>
      </w:tr>
      <w:tr w:rsidR="008E5076" w:rsidRPr="009218EA" w14:paraId="1FE1B710" w14:textId="77777777" w:rsidTr="00D72AE4">
        <w:trPr>
          <w:trHeight w:val="461"/>
        </w:trPr>
        <w:tc>
          <w:tcPr>
            <w:tcW w:w="1426" w:type="dxa"/>
            <w:hideMark/>
          </w:tcPr>
          <w:p w14:paraId="6D016168" w14:textId="77777777" w:rsidR="008E5076" w:rsidRPr="009218EA" w:rsidRDefault="008E5076" w:rsidP="002D336E">
            <w:pPr>
              <w:spacing w:after="160" w:line="259" w:lineRule="auto"/>
              <w:jc w:val="both"/>
              <w:rPr>
                <w:rFonts w:ascii="Times New Roman" w:hAnsi="Times New Roman" w:cs="Times New Roman"/>
                <w:b/>
                <w:bCs/>
                <w:sz w:val="24"/>
                <w:szCs w:val="24"/>
              </w:rPr>
            </w:pPr>
            <w:r w:rsidRPr="009218EA">
              <w:rPr>
                <w:rFonts w:ascii="Times New Roman" w:hAnsi="Times New Roman" w:cs="Times New Roman"/>
                <w:b/>
                <w:bCs/>
                <w:sz w:val="24"/>
                <w:szCs w:val="24"/>
              </w:rPr>
              <w:t>NGFR</w:t>
            </w:r>
          </w:p>
        </w:tc>
        <w:tc>
          <w:tcPr>
            <w:tcW w:w="901" w:type="dxa"/>
            <w:hideMark/>
          </w:tcPr>
          <w:p w14:paraId="6902B7DB"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mouse</w:t>
            </w:r>
          </w:p>
        </w:tc>
        <w:tc>
          <w:tcPr>
            <w:tcW w:w="1528" w:type="dxa"/>
            <w:hideMark/>
          </w:tcPr>
          <w:p w14:paraId="28544E1D"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14</w:t>
            </w:r>
            <w:r w:rsidRPr="009218EA">
              <w:rPr>
                <w:rFonts w:ascii="Times New Roman" w:hAnsi="Times New Roman" w:cs="Times New Roman"/>
                <w:sz w:val="24"/>
                <w:szCs w:val="24"/>
              </w:rPr>
              <w:noBreakHyphen/>
              <w:t>9400</w:t>
            </w:r>
            <w:r w:rsidRPr="009218EA">
              <w:rPr>
                <w:rFonts w:ascii="Times New Roman" w:hAnsi="Times New Roman" w:cs="Times New Roman"/>
                <w:sz w:val="24"/>
                <w:szCs w:val="24"/>
              </w:rPr>
              <w:noBreakHyphen/>
              <w:t>82</w:t>
            </w:r>
          </w:p>
        </w:tc>
        <w:tc>
          <w:tcPr>
            <w:tcW w:w="1735" w:type="dxa"/>
            <w:hideMark/>
          </w:tcPr>
          <w:p w14:paraId="4545642F"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1/100</w:t>
            </w:r>
          </w:p>
        </w:tc>
        <w:tc>
          <w:tcPr>
            <w:tcW w:w="1460" w:type="dxa"/>
          </w:tcPr>
          <w:p w14:paraId="082161E9" w14:textId="081F347A" w:rsidR="008E5076" w:rsidRPr="009218EA" w:rsidRDefault="004174AB" w:rsidP="002D336E">
            <w:pPr>
              <w:jc w:val="both"/>
              <w:rPr>
                <w:rFonts w:ascii="Times New Roman" w:hAnsi="Times New Roman" w:cs="Times New Roman"/>
                <w:sz w:val="24"/>
                <w:szCs w:val="24"/>
              </w:rPr>
            </w:pPr>
            <w:r w:rsidRPr="009218EA">
              <w:rPr>
                <w:rFonts w:ascii="Times New Roman" w:hAnsi="Times New Roman" w:cs="Times New Roman"/>
                <w:sz w:val="24"/>
                <w:szCs w:val="24"/>
              </w:rPr>
              <w:t>a</w:t>
            </w:r>
            <w:r w:rsidR="00696EE5" w:rsidRPr="009218EA">
              <w:rPr>
                <w:rFonts w:ascii="Times New Roman" w:hAnsi="Times New Roman" w:cs="Times New Roman"/>
                <w:sz w:val="24"/>
                <w:szCs w:val="24"/>
              </w:rPr>
              <w:t>b150</w:t>
            </w:r>
            <w:r w:rsidR="00F73968" w:rsidRPr="009218EA">
              <w:rPr>
                <w:rFonts w:ascii="Times New Roman" w:hAnsi="Times New Roman" w:cs="Times New Roman"/>
                <w:sz w:val="24"/>
                <w:szCs w:val="24"/>
              </w:rPr>
              <w:t>115</w:t>
            </w:r>
          </w:p>
        </w:tc>
        <w:tc>
          <w:tcPr>
            <w:tcW w:w="2086" w:type="dxa"/>
            <w:hideMark/>
          </w:tcPr>
          <w:p w14:paraId="12213B04" w14:textId="132B888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1/500</w:t>
            </w:r>
          </w:p>
        </w:tc>
      </w:tr>
      <w:tr w:rsidR="008E5076" w:rsidRPr="009218EA" w14:paraId="25E21E2D" w14:textId="77777777" w:rsidTr="00D72AE4">
        <w:trPr>
          <w:trHeight w:val="461"/>
        </w:trPr>
        <w:tc>
          <w:tcPr>
            <w:tcW w:w="1426" w:type="dxa"/>
            <w:hideMark/>
          </w:tcPr>
          <w:p w14:paraId="61E980EE" w14:textId="77777777" w:rsidR="008E5076" w:rsidRPr="009218EA" w:rsidRDefault="008E5076" w:rsidP="002D336E">
            <w:pPr>
              <w:spacing w:after="160" w:line="259" w:lineRule="auto"/>
              <w:jc w:val="both"/>
              <w:rPr>
                <w:rFonts w:ascii="Times New Roman" w:hAnsi="Times New Roman" w:cs="Times New Roman"/>
                <w:b/>
                <w:bCs/>
                <w:sz w:val="24"/>
                <w:szCs w:val="24"/>
              </w:rPr>
            </w:pPr>
            <w:r w:rsidRPr="009218EA">
              <w:rPr>
                <w:rFonts w:ascii="Times New Roman" w:hAnsi="Times New Roman" w:cs="Times New Roman"/>
                <w:b/>
                <w:bCs/>
                <w:sz w:val="24"/>
                <w:szCs w:val="24"/>
              </w:rPr>
              <w:t>ACTA2</w:t>
            </w:r>
          </w:p>
        </w:tc>
        <w:tc>
          <w:tcPr>
            <w:tcW w:w="901" w:type="dxa"/>
            <w:hideMark/>
          </w:tcPr>
          <w:p w14:paraId="56040233"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mouse</w:t>
            </w:r>
          </w:p>
        </w:tc>
        <w:tc>
          <w:tcPr>
            <w:tcW w:w="1528" w:type="dxa"/>
            <w:hideMark/>
          </w:tcPr>
          <w:p w14:paraId="72D55343"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A2547</w:t>
            </w:r>
          </w:p>
        </w:tc>
        <w:tc>
          <w:tcPr>
            <w:tcW w:w="1735" w:type="dxa"/>
            <w:hideMark/>
          </w:tcPr>
          <w:p w14:paraId="7CE83164"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1/500</w:t>
            </w:r>
          </w:p>
        </w:tc>
        <w:tc>
          <w:tcPr>
            <w:tcW w:w="1460" w:type="dxa"/>
          </w:tcPr>
          <w:p w14:paraId="46F59D13" w14:textId="45C8D8D0" w:rsidR="008E5076" w:rsidRPr="009218EA" w:rsidRDefault="004174AB" w:rsidP="002D336E">
            <w:pPr>
              <w:jc w:val="both"/>
              <w:rPr>
                <w:rFonts w:ascii="Times New Roman" w:hAnsi="Times New Roman" w:cs="Times New Roman"/>
                <w:sz w:val="24"/>
                <w:szCs w:val="24"/>
              </w:rPr>
            </w:pPr>
            <w:r w:rsidRPr="009218EA">
              <w:rPr>
                <w:rFonts w:ascii="Times New Roman" w:hAnsi="Times New Roman" w:cs="Times New Roman"/>
                <w:sz w:val="24"/>
                <w:szCs w:val="24"/>
              </w:rPr>
              <w:t>a</w:t>
            </w:r>
            <w:r w:rsidR="00F73968" w:rsidRPr="009218EA">
              <w:rPr>
                <w:rFonts w:ascii="Times New Roman" w:hAnsi="Times New Roman" w:cs="Times New Roman"/>
                <w:sz w:val="24"/>
                <w:szCs w:val="24"/>
              </w:rPr>
              <w:t>b150115</w:t>
            </w:r>
          </w:p>
        </w:tc>
        <w:tc>
          <w:tcPr>
            <w:tcW w:w="2086" w:type="dxa"/>
            <w:hideMark/>
          </w:tcPr>
          <w:p w14:paraId="72BBB380" w14:textId="3E25B09F"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1/500</w:t>
            </w:r>
          </w:p>
        </w:tc>
      </w:tr>
      <w:tr w:rsidR="008E5076" w:rsidRPr="009218EA" w14:paraId="5203193B" w14:textId="77777777" w:rsidTr="00D72AE4">
        <w:trPr>
          <w:trHeight w:val="442"/>
        </w:trPr>
        <w:tc>
          <w:tcPr>
            <w:tcW w:w="1426" w:type="dxa"/>
            <w:hideMark/>
          </w:tcPr>
          <w:p w14:paraId="6EAC74BE" w14:textId="77777777" w:rsidR="008E5076" w:rsidRPr="009218EA" w:rsidRDefault="008E5076" w:rsidP="002D336E">
            <w:pPr>
              <w:spacing w:after="160" w:line="259" w:lineRule="auto"/>
              <w:jc w:val="both"/>
              <w:rPr>
                <w:rFonts w:ascii="Times New Roman" w:hAnsi="Times New Roman" w:cs="Times New Roman"/>
                <w:b/>
                <w:bCs/>
                <w:sz w:val="24"/>
                <w:szCs w:val="24"/>
              </w:rPr>
            </w:pPr>
            <w:r w:rsidRPr="009218EA">
              <w:rPr>
                <w:rFonts w:ascii="Times New Roman" w:hAnsi="Times New Roman" w:cs="Times New Roman"/>
                <w:b/>
                <w:bCs/>
                <w:sz w:val="24"/>
                <w:szCs w:val="24"/>
              </w:rPr>
              <w:t>GFAP</w:t>
            </w:r>
          </w:p>
        </w:tc>
        <w:tc>
          <w:tcPr>
            <w:tcW w:w="901" w:type="dxa"/>
            <w:hideMark/>
          </w:tcPr>
          <w:p w14:paraId="69079967"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rat</w:t>
            </w:r>
          </w:p>
        </w:tc>
        <w:tc>
          <w:tcPr>
            <w:tcW w:w="1528" w:type="dxa"/>
            <w:hideMark/>
          </w:tcPr>
          <w:p w14:paraId="6394F256" w14:textId="24CE4A12" w:rsidR="008E5076" w:rsidRPr="009218EA" w:rsidRDefault="00696EE5"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13-0300</w:t>
            </w:r>
          </w:p>
        </w:tc>
        <w:tc>
          <w:tcPr>
            <w:tcW w:w="1735" w:type="dxa"/>
            <w:hideMark/>
          </w:tcPr>
          <w:p w14:paraId="6421B8FD"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1/750</w:t>
            </w:r>
          </w:p>
        </w:tc>
        <w:tc>
          <w:tcPr>
            <w:tcW w:w="1460" w:type="dxa"/>
          </w:tcPr>
          <w:p w14:paraId="231D0BEB" w14:textId="286476B5" w:rsidR="008E5076" w:rsidRPr="009218EA" w:rsidRDefault="004A7529" w:rsidP="002D336E">
            <w:pPr>
              <w:jc w:val="both"/>
              <w:rPr>
                <w:rFonts w:ascii="Times New Roman" w:hAnsi="Times New Roman" w:cs="Times New Roman"/>
                <w:sz w:val="24"/>
                <w:szCs w:val="24"/>
              </w:rPr>
            </w:pPr>
            <w:r w:rsidRPr="009218EA">
              <w:rPr>
                <w:rFonts w:ascii="Times New Roman" w:hAnsi="Times New Roman" w:cs="Times New Roman"/>
                <w:sz w:val="24"/>
                <w:szCs w:val="24"/>
              </w:rPr>
              <w:t>A48262</w:t>
            </w:r>
          </w:p>
        </w:tc>
        <w:tc>
          <w:tcPr>
            <w:tcW w:w="2086" w:type="dxa"/>
            <w:hideMark/>
          </w:tcPr>
          <w:p w14:paraId="7CC2A363" w14:textId="22F16E31"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1/500</w:t>
            </w:r>
          </w:p>
        </w:tc>
      </w:tr>
      <w:tr w:rsidR="008E5076" w:rsidRPr="009218EA" w14:paraId="7B298B3F" w14:textId="77777777" w:rsidTr="00D72AE4">
        <w:trPr>
          <w:trHeight w:val="442"/>
        </w:trPr>
        <w:tc>
          <w:tcPr>
            <w:tcW w:w="1426" w:type="dxa"/>
            <w:hideMark/>
          </w:tcPr>
          <w:p w14:paraId="35E897D5" w14:textId="77777777" w:rsidR="008E5076" w:rsidRPr="009218EA" w:rsidRDefault="008E5076" w:rsidP="002D336E">
            <w:pPr>
              <w:spacing w:after="160" w:line="259" w:lineRule="auto"/>
              <w:jc w:val="both"/>
              <w:rPr>
                <w:rFonts w:ascii="Times New Roman" w:hAnsi="Times New Roman" w:cs="Times New Roman"/>
                <w:b/>
                <w:bCs/>
                <w:sz w:val="24"/>
                <w:szCs w:val="24"/>
              </w:rPr>
            </w:pPr>
            <w:r w:rsidRPr="009218EA">
              <w:rPr>
                <w:rFonts w:ascii="Times New Roman" w:hAnsi="Times New Roman" w:cs="Times New Roman"/>
                <w:b/>
                <w:bCs/>
                <w:sz w:val="24"/>
                <w:szCs w:val="24"/>
              </w:rPr>
              <w:t>Fibronectin</w:t>
            </w:r>
          </w:p>
        </w:tc>
        <w:tc>
          <w:tcPr>
            <w:tcW w:w="901" w:type="dxa"/>
            <w:hideMark/>
          </w:tcPr>
          <w:p w14:paraId="37159129"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rabbit</w:t>
            </w:r>
          </w:p>
        </w:tc>
        <w:tc>
          <w:tcPr>
            <w:tcW w:w="1528" w:type="dxa"/>
            <w:hideMark/>
          </w:tcPr>
          <w:p w14:paraId="516E9002"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ab271831</w:t>
            </w:r>
          </w:p>
        </w:tc>
        <w:tc>
          <w:tcPr>
            <w:tcW w:w="1735" w:type="dxa"/>
            <w:hideMark/>
          </w:tcPr>
          <w:p w14:paraId="19978CD2"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1/500</w:t>
            </w:r>
          </w:p>
        </w:tc>
        <w:tc>
          <w:tcPr>
            <w:tcW w:w="1460" w:type="dxa"/>
          </w:tcPr>
          <w:p w14:paraId="0A92F15F" w14:textId="12515163" w:rsidR="008E5076" w:rsidRPr="009218EA" w:rsidRDefault="004174AB" w:rsidP="002D336E">
            <w:pPr>
              <w:jc w:val="both"/>
              <w:rPr>
                <w:rFonts w:ascii="Times New Roman" w:hAnsi="Times New Roman" w:cs="Times New Roman"/>
                <w:sz w:val="24"/>
                <w:szCs w:val="24"/>
              </w:rPr>
            </w:pPr>
            <w:r w:rsidRPr="009218EA">
              <w:rPr>
                <w:rFonts w:ascii="Times New Roman" w:hAnsi="Times New Roman" w:cs="Times New Roman"/>
                <w:sz w:val="24"/>
                <w:szCs w:val="24"/>
              </w:rPr>
              <w:t>ab175471</w:t>
            </w:r>
          </w:p>
        </w:tc>
        <w:tc>
          <w:tcPr>
            <w:tcW w:w="2086" w:type="dxa"/>
            <w:hideMark/>
          </w:tcPr>
          <w:p w14:paraId="660223F0" w14:textId="53E81C4F"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1/1000</w:t>
            </w:r>
          </w:p>
        </w:tc>
      </w:tr>
      <w:tr w:rsidR="008E5076" w:rsidRPr="009218EA" w14:paraId="64271EF0" w14:textId="77777777" w:rsidTr="00D72AE4">
        <w:trPr>
          <w:trHeight w:val="461"/>
        </w:trPr>
        <w:tc>
          <w:tcPr>
            <w:tcW w:w="1426" w:type="dxa"/>
            <w:hideMark/>
          </w:tcPr>
          <w:p w14:paraId="03CFE0A8" w14:textId="77777777" w:rsidR="008E5076" w:rsidRPr="009218EA" w:rsidRDefault="008E5076" w:rsidP="002D336E">
            <w:pPr>
              <w:spacing w:after="160" w:line="259" w:lineRule="auto"/>
              <w:jc w:val="both"/>
              <w:rPr>
                <w:rFonts w:ascii="Times New Roman" w:hAnsi="Times New Roman" w:cs="Times New Roman"/>
                <w:b/>
                <w:bCs/>
                <w:sz w:val="24"/>
                <w:szCs w:val="24"/>
              </w:rPr>
            </w:pPr>
            <w:r w:rsidRPr="009218EA">
              <w:rPr>
                <w:rFonts w:ascii="Times New Roman" w:hAnsi="Times New Roman" w:cs="Times New Roman"/>
                <w:b/>
                <w:bCs/>
                <w:sz w:val="24"/>
                <w:szCs w:val="24"/>
              </w:rPr>
              <w:t>VE</w:t>
            </w:r>
            <w:r w:rsidRPr="009218EA">
              <w:rPr>
                <w:rFonts w:ascii="Times New Roman" w:hAnsi="Times New Roman" w:cs="Times New Roman"/>
                <w:b/>
                <w:bCs/>
                <w:sz w:val="24"/>
                <w:szCs w:val="24"/>
              </w:rPr>
              <w:noBreakHyphen/>
              <w:t>cadherin</w:t>
            </w:r>
          </w:p>
        </w:tc>
        <w:tc>
          <w:tcPr>
            <w:tcW w:w="901" w:type="dxa"/>
            <w:hideMark/>
          </w:tcPr>
          <w:p w14:paraId="58EA4EBE"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rabbit</w:t>
            </w:r>
          </w:p>
        </w:tc>
        <w:tc>
          <w:tcPr>
            <w:tcW w:w="1528" w:type="dxa"/>
            <w:hideMark/>
          </w:tcPr>
          <w:p w14:paraId="2FDBB454"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ab33168</w:t>
            </w:r>
          </w:p>
        </w:tc>
        <w:tc>
          <w:tcPr>
            <w:tcW w:w="1735" w:type="dxa"/>
            <w:hideMark/>
          </w:tcPr>
          <w:p w14:paraId="1AA1C42C"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1/500</w:t>
            </w:r>
          </w:p>
        </w:tc>
        <w:tc>
          <w:tcPr>
            <w:tcW w:w="1460" w:type="dxa"/>
          </w:tcPr>
          <w:p w14:paraId="51DFC1F1" w14:textId="28549557" w:rsidR="008E5076" w:rsidRPr="009218EA" w:rsidRDefault="004174AB" w:rsidP="002D336E">
            <w:pPr>
              <w:jc w:val="both"/>
              <w:rPr>
                <w:rFonts w:ascii="Times New Roman" w:hAnsi="Times New Roman" w:cs="Times New Roman"/>
                <w:sz w:val="24"/>
                <w:szCs w:val="24"/>
              </w:rPr>
            </w:pPr>
            <w:r w:rsidRPr="009218EA">
              <w:rPr>
                <w:rFonts w:ascii="Times New Roman" w:hAnsi="Times New Roman" w:cs="Times New Roman"/>
                <w:sz w:val="24"/>
                <w:szCs w:val="24"/>
              </w:rPr>
              <w:t>ab175471</w:t>
            </w:r>
          </w:p>
        </w:tc>
        <w:tc>
          <w:tcPr>
            <w:tcW w:w="2086" w:type="dxa"/>
            <w:hideMark/>
          </w:tcPr>
          <w:p w14:paraId="4AEF94AA" w14:textId="19F472AB"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1/500</w:t>
            </w:r>
          </w:p>
        </w:tc>
      </w:tr>
      <w:tr w:rsidR="008E5076" w:rsidRPr="009218EA" w14:paraId="033F3554" w14:textId="77777777" w:rsidTr="00D72AE4">
        <w:trPr>
          <w:trHeight w:val="442"/>
        </w:trPr>
        <w:tc>
          <w:tcPr>
            <w:tcW w:w="1426" w:type="dxa"/>
            <w:hideMark/>
          </w:tcPr>
          <w:p w14:paraId="4BDACD94" w14:textId="77777777" w:rsidR="008E5076" w:rsidRPr="009218EA" w:rsidRDefault="008E5076" w:rsidP="002D336E">
            <w:pPr>
              <w:spacing w:after="160" w:line="259" w:lineRule="auto"/>
              <w:jc w:val="both"/>
              <w:rPr>
                <w:rFonts w:ascii="Times New Roman" w:hAnsi="Times New Roman" w:cs="Times New Roman"/>
                <w:b/>
                <w:bCs/>
                <w:sz w:val="24"/>
                <w:szCs w:val="24"/>
              </w:rPr>
            </w:pPr>
            <w:r w:rsidRPr="009218EA">
              <w:rPr>
                <w:rFonts w:ascii="Times New Roman" w:hAnsi="Times New Roman" w:cs="Times New Roman"/>
                <w:b/>
                <w:bCs/>
                <w:sz w:val="24"/>
                <w:szCs w:val="24"/>
              </w:rPr>
              <w:t>S100B</w:t>
            </w:r>
          </w:p>
        </w:tc>
        <w:tc>
          <w:tcPr>
            <w:tcW w:w="901" w:type="dxa"/>
            <w:hideMark/>
          </w:tcPr>
          <w:p w14:paraId="240D924A"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rabbit</w:t>
            </w:r>
          </w:p>
        </w:tc>
        <w:tc>
          <w:tcPr>
            <w:tcW w:w="1528" w:type="dxa"/>
            <w:hideMark/>
          </w:tcPr>
          <w:p w14:paraId="37B1ED76" w14:textId="12C58721" w:rsidR="008E5076" w:rsidRPr="009218EA" w:rsidRDefault="00DD3D12"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ab52642</w:t>
            </w:r>
          </w:p>
        </w:tc>
        <w:tc>
          <w:tcPr>
            <w:tcW w:w="1735" w:type="dxa"/>
            <w:hideMark/>
          </w:tcPr>
          <w:p w14:paraId="3FEF93C5"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1/400</w:t>
            </w:r>
          </w:p>
        </w:tc>
        <w:tc>
          <w:tcPr>
            <w:tcW w:w="1460" w:type="dxa"/>
          </w:tcPr>
          <w:p w14:paraId="55577302" w14:textId="43D04083" w:rsidR="008E5076" w:rsidRPr="009218EA" w:rsidRDefault="004174AB" w:rsidP="002D336E">
            <w:pPr>
              <w:jc w:val="both"/>
              <w:rPr>
                <w:rFonts w:ascii="Times New Roman" w:hAnsi="Times New Roman" w:cs="Times New Roman"/>
                <w:sz w:val="24"/>
                <w:szCs w:val="24"/>
              </w:rPr>
            </w:pPr>
            <w:r w:rsidRPr="009218EA">
              <w:rPr>
                <w:rFonts w:ascii="Times New Roman" w:hAnsi="Times New Roman" w:cs="Times New Roman"/>
                <w:sz w:val="24"/>
                <w:szCs w:val="24"/>
              </w:rPr>
              <w:t>ab175471</w:t>
            </w:r>
          </w:p>
        </w:tc>
        <w:tc>
          <w:tcPr>
            <w:tcW w:w="2086" w:type="dxa"/>
            <w:hideMark/>
          </w:tcPr>
          <w:p w14:paraId="6504C67A" w14:textId="6C10A359"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1/500</w:t>
            </w:r>
          </w:p>
        </w:tc>
      </w:tr>
      <w:tr w:rsidR="008E5076" w:rsidRPr="009218EA" w14:paraId="2668D127" w14:textId="77777777" w:rsidTr="00D72AE4">
        <w:trPr>
          <w:trHeight w:val="461"/>
        </w:trPr>
        <w:tc>
          <w:tcPr>
            <w:tcW w:w="1426" w:type="dxa"/>
            <w:hideMark/>
          </w:tcPr>
          <w:p w14:paraId="2AED866C" w14:textId="77777777" w:rsidR="008E5076" w:rsidRPr="009218EA" w:rsidRDefault="008E5076" w:rsidP="002D336E">
            <w:pPr>
              <w:spacing w:after="160" w:line="259" w:lineRule="auto"/>
              <w:jc w:val="both"/>
              <w:rPr>
                <w:rFonts w:ascii="Times New Roman" w:hAnsi="Times New Roman" w:cs="Times New Roman"/>
                <w:b/>
                <w:bCs/>
                <w:sz w:val="24"/>
                <w:szCs w:val="24"/>
              </w:rPr>
            </w:pPr>
            <w:r w:rsidRPr="009218EA">
              <w:rPr>
                <w:rFonts w:ascii="Times New Roman" w:hAnsi="Times New Roman" w:cs="Times New Roman"/>
                <w:b/>
                <w:bCs/>
                <w:sz w:val="24"/>
                <w:szCs w:val="24"/>
              </w:rPr>
              <w:t>CRABP2</w:t>
            </w:r>
          </w:p>
        </w:tc>
        <w:tc>
          <w:tcPr>
            <w:tcW w:w="901" w:type="dxa"/>
            <w:hideMark/>
          </w:tcPr>
          <w:p w14:paraId="754AABD5"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rabbit</w:t>
            </w:r>
          </w:p>
        </w:tc>
        <w:tc>
          <w:tcPr>
            <w:tcW w:w="1528" w:type="dxa"/>
            <w:hideMark/>
          </w:tcPr>
          <w:p w14:paraId="4CAF0FFA"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10225</w:t>
            </w:r>
            <w:r w:rsidRPr="009218EA">
              <w:rPr>
                <w:rFonts w:ascii="Times New Roman" w:hAnsi="Times New Roman" w:cs="Times New Roman"/>
                <w:sz w:val="24"/>
                <w:szCs w:val="24"/>
              </w:rPr>
              <w:noBreakHyphen/>
              <w:t>1</w:t>
            </w:r>
            <w:r w:rsidRPr="009218EA">
              <w:rPr>
                <w:rFonts w:ascii="Times New Roman" w:hAnsi="Times New Roman" w:cs="Times New Roman"/>
                <w:sz w:val="24"/>
                <w:szCs w:val="24"/>
              </w:rPr>
              <w:noBreakHyphen/>
              <w:t>AP</w:t>
            </w:r>
          </w:p>
        </w:tc>
        <w:tc>
          <w:tcPr>
            <w:tcW w:w="1735" w:type="dxa"/>
            <w:hideMark/>
          </w:tcPr>
          <w:p w14:paraId="7304BE90" w14:textId="77777777"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1/400</w:t>
            </w:r>
          </w:p>
        </w:tc>
        <w:tc>
          <w:tcPr>
            <w:tcW w:w="1460" w:type="dxa"/>
          </w:tcPr>
          <w:p w14:paraId="2D437A20" w14:textId="2D27E89F" w:rsidR="008E5076" w:rsidRPr="009218EA" w:rsidRDefault="004174AB" w:rsidP="002D336E">
            <w:pPr>
              <w:jc w:val="both"/>
              <w:rPr>
                <w:rFonts w:ascii="Times New Roman" w:hAnsi="Times New Roman" w:cs="Times New Roman"/>
                <w:sz w:val="24"/>
                <w:szCs w:val="24"/>
              </w:rPr>
            </w:pPr>
            <w:r w:rsidRPr="009218EA">
              <w:rPr>
                <w:rFonts w:ascii="Times New Roman" w:hAnsi="Times New Roman" w:cs="Times New Roman"/>
                <w:sz w:val="24"/>
                <w:szCs w:val="24"/>
              </w:rPr>
              <w:t>ab175471</w:t>
            </w:r>
          </w:p>
        </w:tc>
        <w:tc>
          <w:tcPr>
            <w:tcW w:w="2086" w:type="dxa"/>
            <w:hideMark/>
          </w:tcPr>
          <w:p w14:paraId="180F84DD" w14:textId="5A208963" w:rsidR="008E5076" w:rsidRPr="009218EA" w:rsidRDefault="008E5076"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1/500</w:t>
            </w:r>
          </w:p>
        </w:tc>
      </w:tr>
    </w:tbl>
    <w:p w14:paraId="24C5D8BF" w14:textId="77777777" w:rsidR="008D45B4" w:rsidRPr="009218EA" w:rsidRDefault="008D45B4" w:rsidP="002D336E">
      <w:pPr>
        <w:jc w:val="both"/>
        <w:rPr>
          <w:rFonts w:ascii="Times New Roman" w:hAnsi="Times New Roman" w:cs="Times New Roman"/>
          <w:sz w:val="24"/>
          <w:szCs w:val="24"/>
        </w:rPr>
      </w:pPr>
    </w:p>
    <w:p w14:paraId="03A2C6E0" w14:textId="2F5D6C58" w:rsidR="008D45B4" w:rsidRPr="009218EA" w:rsidRDefault="008D45B4" w:rsidP="002D336E">
      <w:pPr>
        <w:jc w:val="both"/>
        <w:rPr>
          <w:rFonts w:ascii="Times New Roman" w:hAnsi="Times New Roman" w:cs="Times New Roman"/>
          <w:sz w:val="24"/>
          <w:szCs w:val="24"/>
        </w:rPr>
      </w:pPr>
      <w:r w:rsidRPr="009218EA">
        <w:rPr>
          <w:rFonts w:ascii="Times New Roman" w:hAnsi="Times New Roman" w:cs="Times New Roman"/>
          <w:b/>
          <w:bCs/>
          <w:sz w:val="24"/>
          <w:szCs w:val="24"/>
        </w:rPr>
        <w:t>Table S</w:t>
      </w:r>
      <w:r w:rsidR="00A5544F" w:rsidRPr="009218EA">
        <w:rPr>
          <w:rFonts w:ascii="Times New Roman" w:hAnsi="Times New Roman" w:cs="Times New Roman"/>
          <w:b/>
          <w:bCs/>
          <w:sz w:val="24"/>
          <w:szCs w:val="24"/>
        </w:rPr>
        <w:t>5</w:t>
      </w:r>
      <w:r w:rsidRPr="009218EA">
        <w:rPr>
          <w:rFonts w:ascii="Times New Roman" w:hAnsi="Times New Roman" w:cs="Times New Roman"/>
          <w:b/>
          <w:bCs/>
          <w:sz w:val="24"/>
          <w:szCs w:val="24"/>
        </w:rPr>
        <w:t>:</w:t>
      </w:r>
      <w:r w:rsidRPr="009218EA">
        <w:rPr>
          <w:rFonts w:ascii="Times New Roman" w:hAnsi="Times New Roman" w:cs="Times New Roman"/>
          <w:sz w:val="24"/>
          <w:szCs w:val="24"/>
        </w:rPr>
        <w:t xml:space="preserve"> Details of primary and secondary antibodies used in the immunohistochemistry</w:t>
      </w:r>
    </w:p>
    <w:tbl>
      <w:tblPr>
        <w:tblStyle w:val="TableGrid"/>
        <w:tblW w:w="9017" w:type="dxa"/>
        <w:tblLook w:val="04A0" w:firstRow="1" w:lastRow="0" w:firstColumn="1" w:lastColumn="0" w:noHBand="0" w:noVBand="1"/>
      </w:tblPr>
      <w:tblGrid>
        <w:gridCol w:w="1627"/>
        <w:gridCol w:w="1726"/>
        <w:gridCol w:w="1402"/>
        <w:gridCol w:w="2086"/>
        <w:gridCol w:w="2176"/>
      </w:tblGrid>
      <w:tr w:rsidR="008D45B4" w:rsidRPr="009218EA" w14:paraId="6E856376" w14:textId="77777777" w:rsidTr="00D935C7">
        <w:trPr>
          <w:trHeight w:val="456"/>
        </w:trPr>
        <w:tc>
          <w:tcPr>
            <w:tcW w:w="0" w:type="auto"/>
            <w:hideMark/>
          </w:tcPr>
          <w:p w14:paraId="505914C6"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Antibody</w:t>
            </w:r>
          </w:p>
        </w:tc>
        <w:tc>
          <w:tcPr>
            <w:tcW w:w="0" w:type="auto"/>
            <w:hideMark/>
          </w:tcPr>
          <w:p w14:paraId="047EC13B"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Product Code</w:t>
            </w:r>
          </w:p>
        </w:tc>
        <w:tc>
          <w:tcPr>
            <w:tcW w:w="0" w:type="auto"/>
            <w:hideMark/>
          </w:tcPr>
          <w:p w14:paraId="0DC7AAFC"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Clone</w:t>
            </w:r>
          </w:p>
        </w:tc>
        <w:tc>
          <w:tcPr>
            <w:tcW w:w="0" w:type="auto"/>
            <w:hideMark/>
          </w:tcPr>
          <w:p w14:paraId="3FF74204"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Primary Dilution</w:t>
            </w:r>
          </w:p>
        </w:tc>
        <w:tc>
          <w:tcPr>
            <w:tcW w:w="0" w:type="auto"/>
            <w:hideMark/>
          </w:tcPr>
          <w:p w14:paraId="0BAC5D56"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Antigen Retrieval</w:t>
            </w:r>
          </w:p>
        </w:tc>
      </w:tr>
      <w:tr w:rsidR="008D45B4" w:rsidRPr="009218EA" w14:paraId="394468F0" w14:textId="77777777" w:rsidTr="00D935C7">
        <w:trPr>
          <w:trHeight w:val="456"/>
        </w:trPr>
        <w:tc>
          <w:tcPr>
            <w:tcW w:w="0" w:type="auto"/>
            <w:hideMark/>
          </w:tcPr>
          <w:p w14:paraId="0E45A10D"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BMP5</w:t>
            </w:r>
          </w:p>
        </w:tc>
        <w:tc>
          <w:tcPr>
            <w:tcW w:w="0" w:type="auto"/>
            <w:hideMark/>
          </w:tcPr>
          <w:p w14:paraId="20403AE1"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bs-6614R</w:t>
            </w:r>
          </w:p>
        </w:tc>
        <w:tc>
          <w:tcPr>
            <w:tcW w:w="0" w:type="auto"/>
            <w:hideMark/>
          </w:tcPr>
          <w:p w14:paraId="5B1F8455"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Polyclonal</w:t>
            </w:r>
          </w:p>
        </w:tc>
        <w:tc>
          <w:tcPr>
            <w:tcW w:w="0" w:type="auto"/>
            <w:hideMark/>
          </w:tcPr>
          <w:p w14:paraId="63248C5D"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1/200</w:t>
            </w:r>
          </w:p>
        </w:tc>
        <w:tc>
          <w:tcPr>
            <w:tcW w:w="0" w:type="auto"/>
            <w:hideMark/>
          </w:tcPr>
          <w:p w14:paraId="0C29C3AD"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ER1 (pH6) 1AR</w:t>
            </w:r>
          </w:p>
        </w:tc>
      </w:tr>
      <w:tr w:rsidR="008D45B4" w:rsidRPr="009218EA" w14:paraId="370501B2" w14:textId="77777777" w:rsidTr="00D935C7">
        <w:trPr>
          <w:trHeight w:val="443"/>
        </w:trPr>
        <w:tc>
          <w:tcPr>
            <w:tcW w:w="0" w:type="auto"/>
            <w:hideMark/>
          </w:tcPr>
          <w:p w14:paraId="107A95A8"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NGFR</w:t>
            </w:r>
          </w:p>
        </w:tc>
        <w:tc>
          <w:tcPr>
            <w:tcW w:w="0" w:type="auto"/>
            <w:hideMark/>
          </w:tcPr>
          <w:p w14:paraId="49CC1909"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14-9400-82</w:t>
            </w:r>
          </w:p>
        </w:tc>
        <w:tc>
          <w:tcPr>
            <w:tcW w:w="0" w:type="auto"/>
            <w:hideMark/>
          </w:tcPr>
          <w:p w14:paraId="35E9414B"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ME20.4</w:t>
            </w:r>
          </w:p>
        </w:tc>
        <w:tc>
          <w:tcPr>
            <w:tcW w:w="0" w:type="auto"/>
            <w:hideMark/>
          </w:tcPr>
          <w:p w14:paraId="507A979D"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1/100</w:t>
            </w:r>
          </w:p>
        </w:tc>
        <w:tc>
          <w:tcPr>
            <w:tcW w:w="0" w:type="auto"/>
            <w:hideMark/>
          </w:tcPr>
          <w:p w14:paraId="0A1732D0"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ER1 (pH6) 1AR</w:t>
            </w:r>
          </w:p>
        </w:tc>
      </w:tr>
      <w:tr w:rsidR="008D45B4" w:rsidRPr="009218EA" w14:paraId="72263F0C" w14:textId="77777777" w:rsidTr="00D935C7">
        <w:trPr>
          <w:trHeight w:val="456"/>
        </w:trPr>
        <w:tc>
          <w:tcPr>
            <w:tcW w:w="0" w:type="auto"/>
            <w:hideMark/>
          </w:tcPr>
          <w:p w14:paraId="6908E842"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ACTA2</w:t>
            </w:r>
          </w:p>
        </w:tc>
        <w:tc>
          <w:tcPr>
            <w:tcW w:w="0" w:type="auto"/>
            <w:hideMark/>
          </w:tcPr>
          <w:p w14:paraId="15C310FC"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A2547</w:t>
            </w:r>
          </w:p>
        </w:tc>
        <w:tc>
          <w:tcPr>
            <w:tcW w:w="0" w:type="auto"/>
            <w:hideMark/>
          </w:tcPr>
          <w:p w14:paraId="776F4153"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1A4</w:t>
            </w:r>
          </w:p>
        </w:tc>
        <w:tc>
          <w:tcPr>
            <w:tcW w:w="0" w:type="auto"/>
            <w:hideMark/>
          </w:tcPr>
          <w:p w14:paraId="022A0CAF"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1/2000</w:t>
            </w:r>
          </w:p>
        </w:tc>
        <w:tc>
          <w:tcPr>
            <w:tcW w:w="0" w:type="auto"/>
            <w:hideMark/>
          </w:tcPr>
          <w:p w14:paraId="22354F0C"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ER1 (pH6) 1AR</w:t>
            </w:r>
          </w:p>
        </w:tc>
      </w:tr>
      <w:tr w:rsidR="008D45B4" w:rsidRPr="009218EA" w14:paraId="4004FACF" w14:textId="77777777" w:rsidTr="00D935C7">
        <w:trPr>
          <w:trHeight w:val="456"/>
        </w:trPr>
        <w:tc>
          <w:tcPr>
            <w:tcW w:w="0" w:type="auto"/>
            <w:hideMark/>
          </w:tcPr>
          <w:p w14:paraId="1D388D41"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Fibronectin</w:t>
            </w:r>
          </w:p>
        </w:tc>
        <w:tc>
          <w:tcPr>
            <w:tcW w:w="0" w:type="auto"/>
            <w:hideMark/>
          </w:tcPr>
          <w:p w14:paraId="1D8FAC30"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ab271831</w:t>
            </w:r>
          </w:p>
        </w:tc>
        <w:tc>
          <w:tcPr>
            <w:tcW w:w="0" w:type="auto"/>
            <w:hideMark/>
          </w:tcPr>
          <w:p w14:paraId="2BCD8268"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F1</w:t>
            </w:r>
          </w:p>
        </w:tc>
        <w:tc>
          <w:tcPr>
            <w:tcW w:w="0" w:type="auto"/>
            <w:hideMark/>
          </w:tcPr>
          <w:p w14:paraId="0610A8E0"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1/1000</w:t>
            </w:r>
          </w:p>
        </w:tc>
        <w:tc>
          <w:tcPr>
            <w:tcW w:w="0" w:type="auto"/>
            <w:hideMark/>
          </w:tcPr>
          <w:p w14:paraId="482B4BBA"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ER1 (pH6) 1AR</w:t>
            </w:r>
          </w:p>
        </w:tc>
      </w:tr>
      <w:tr w:rsidR="008D45B4" w:rsidRPr="009218EA" w14:paraId="13499F72" w14:textId="77777777" w:rsidTr="00D935C7">
        <w:trPr>
          <w:trHeight w:val="443"/>
        </w:trPr>
        <w:tc>
          <w:tcPr>
            <w:tcW w:w="0" w:type="auto"/>
            <w:hideMark/>
          </w:tcPr>
          <w:p w14:paraId="1A16A1AE"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VE-cadherin</w:t>
            </w:r>
          </w:p>
        </w:tc>
        <w:tc>
          <w:tcPr>
            <w:tcW w:w="0" w:type="auto"/>
            <w:hideMark/>
          </w:tcPr>
          <w:p w14:paraId="714558D0"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ab33168</w:t>
            </w:r>
          </w:p>
        </w:tc>
        <w:tc>
          <w:tcPr>
            <w:tcW w:w="0" w:type="auto"/>
            <w:hideMark/>
          </w:tcPr>
          <w:p w14:paraId="0C6D2425"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Polyclonal</w:t>
            </w:r>
          </w:p>
        </w:tc>
        <w:tc>
          <w:tcPr>
            <w:tcW w:w="0" w:type="auto"/>
            <w:hideMark/>
          </w:tcPr>
          <w:p w14:paraId="5210473A"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1/500</w:t>
            </w:r>
          </w:p>
        </w:tc>
        <w:tc>
          <w:tcPr>
            <w:tcW w:w="0" w:type="auto"/>
            <w:hideMark/>
          </w:tcPr>
          <w:p w14:paraId="55896737"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ER1 (pH6) 1AR</w:t>
            </w:r>
          </w:p>
        </w:tc>
      </w:tr>
      <w:tr w:rsidR="008D45B4" w:rsidRPr="009218EA" w14:paraId="43CEA20E" w14:textId="77777777" w:rsidTr="00D935C7">
        <w:trPr>
          <w:trHeight w:val="456"/>
        </w:trPr>
        <w:tc>
          <w:tcPr>
            <w:tcW w:w="0" w:type="auto"/>
            <w:hideMark/>
          </w:tcPr>
          <w:p w14:paraId="0A769290"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CRABP2</w:t>
            </w:r>
          </w:p>
        </w:tc>
        <w:tc>
          <w:tcPr>
            <w:tcW w:w="0" w:type="auto"/>
            <w:hideMark/>
          </w:tcPr>
          <w:p w14:paraId="01E14FFE"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10225-1-AP</w:t>
            </w:r>
          </w:p>
        </w:tc>
        <w:tc>
          <w:tcPr>
            <w:tcW w:w="0" w:type="auto"/>
            <w:hideMark/>
          </w:tcPr>
          <w:p w14:paraId="3BC68729"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Polyclonal</w:t>
            </w:r>
          </w:p>
        </w:tc>
        <w:tc>
          <w:tcPr>
            <w:tcW w:w="0" w:type="auto"/>
            <w:hideMark/>
          </w:tcPr>
          <w:p w14:paraId="4A3BF91A"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1/400</w:t>
            </w:r>
          </w:p>
        </w:tc>
        <w:tc>
          <w:tcPr>
            <w:tcW w:w="0" w:type="auto"/>
            <w:hideMark/>
          </w:tcPr>
          <w:p w14:paraId="79D036AE" w14:textId="77777777" w:rsidR="008D45B4" w:rsidRPr="009218EA" w:rsidRDefault="008D45B4" w:rsidP="002D336E">
            <w:pPr>
              <w:spacing w:after="160" w:line="259" w:lineRule="auto"/>
              <w:jc w:val="both"/>
              <w:rPr>
                <w:rFonts w:ascii="Times New Roman" w:hAnsi="Times New Roman" w:cs="Times New Roman"/>
                <w:sz w:val="24"/>
                <w:szCs w:val="24"/>
              </w:rPr>
            </w:pPr>
            <w:r w:rsidRPr="009218EA">
              <w:rPr>
                <w:rFonts w:ascii="Times New Roman" w:hAnsi="Times New Roman" w:cs="Times New Roman"/>
                <w:sz w:val="24"/>
                <w:szCs w:val="24"/>
              </w:rPr>
              <w:t>ER1 (pH6) 1AR</w:t>
            </w:r>
          </w:p>
        </w:tc>
      </w:tr>
    </w:tbl>
    <w:p w14:paraId="7ACE53B8" w14:textId="77777777" w:rsidR="00085B5D" w:rsidRDefault="00085B5D" w:rsidP="002D336E">
      <w:pPr>
        <w:jc w:val="both"/>
        <w:rPr>
          <w:rFonts w:ascii="Times New Roman" w:hAnsi="Times New Roman" w:cs="Times New Roman"/>
          <w:b/>
          <w:bCs/>
          <w:sz w:val="24"/>
          <w:szCs w:val="24"/>
          <w:u w:val="single"/>
        </w:rPr>
      </w:pPr>
    </w:p>
    <w:p w14:paraId="2713FDD7" w14:textId="77777777" w:rsidR="005B3290" w:rsidRDefault="005B3290" w:rsidP="002D336E">
      <w:pPr>
        <w:jc w:val="both"/>
        <w:rPr>
          <w:rFonts w:ascii="Times New Roman" w:hAnsi="Times New Roman" w:cs="Times New Roman"/>
          <w:b/>
          <w:bCs/>
          <w:sz w:val="24"/>
          <w:szCs w:val="24"/>
          <w:u w:val="single"/>
        </w:rPr>
      </w:pPr>
    </w:p>
    <w:p w14:paraId="5CADFD50" w14:textId="77777777" w:rsidR="005B3290" w:rsidRDefault="005B3290" w:rsidP="002D336E">
      <w:pPr>
        <w:jc w:val="both"/>
        <w:rPr>
          <w:rFonts w:ascii="Times New Roman" w:hAnsi="Times New Roman" w:cs="Times New Roman"/>
          <w:b/>
          <w:bCs/>
          <w:sz w:val="24"/>
          <w:szCs w:val="24"/>
          <w:u w:val="single"/>
        </w:rPr>
      </w:pPr>
    </w:p>
    <w:p w14:paraId="1E919044" w14:textId="77777777" w:rsidR="005B3290" w:rsidRDefault="005B3290" w:rsidP="002D336E">
      <w:pPr>
        <w:jc w:val="both"/>
        <w:rPr>
          <w:rFonts w:ascii="Times New Roman" w:hAnsi="Times New Roman" w:cs="Times New Roman"/>
          <w:b/>
          <w:bCs/>
          <w:sz w:val="24"/>
          <w:szCs w:val="24"/>
          <w:u w:val="single"/>
        </w:rPr>
      </w:pPr>
    </w:p>
    <w:p w14:paraId="402716C3" w14:textId="77777777" w:rsidR="005B3290" w:rsidRDefault="005B3290" w:rsidP="002D336E">
      <w:pPr>
        <w:jc w:val="both"/>
        <w:rPr>
          <w:rFonts w:ascii="Times New Roman" w:hAnsi="Times New Roman" w:cs="Times New Roman"/>
          <w:b/>
          <w:bCs/>
          <w:sz w:val="24"/>
          <w:szCs w:val="24"/>
          <w:u w:val="single"/>
        </w:rPr>
      </w:pPr>
    </w:p>
    <w:p w14:paraId="5BECF62D" w14:textId="77777777" w:rsidR="005B3290" w:rsidRDefault="005B3290" w:rsidP="002D336E">
      <w:pPr>
        <w:jc w:val="both"/>
        <w:rPr>
          <w:rFonts w:ascii="Times New Roman" w:hAnsi="Times New Roman" w:cs="Times New Roman"/>
          <w:b/>
          <w:bCs/>
          <w:sz w:val="24"/>
          <w:szCs w:val="24"/>
          <w:u w:val="single"/>
        </w:rPr>
      </w:pPr>
    </w:p>
    <w:p w14:paraId="68FD9107" w14:textId="77777777" w:rsidR="005B3290" w:rsidRDefault="005B3290" w:rsidP="002D336E">
      <w:pPr>
        <w:jc w:val="both"/>
        <w:rPr>
          <w:rFonts w:ascii="Times New Roman" w:hAnsi="Times New Roman" w:cs="Times New Roman"/>
          <w:b/>
          <w:bCs/>
          <w:sz w:val="24"/>
          <w:szCs w:val="24"/>
          <w:u w:val="single"/>
        </w:rPr>
      </w:pPr>
    </w:p>
    <w:p w14:paraId="663DDA62" w14:textId="3D48363C" w:rsidR="001F0D63" w:rsidRPr="009218EA" w:rsidRDefault="00085B5D" w:rsidP="002D336E">
      <w:pPr>
        <w:jc w:val="both"/>
        <w:rPr>
          <w:rFonts w:ascii="Times New Roman" w:hAnsi="Times New Roman" w:cs="Times New Roman"/>
          <w:b/>
          <w:bCs/>
          <w:sz w:val="24"/>
          <w:szCs w:val="24"/>
          <w:u w:val="single"/>
        </w:rPr>
      </w:pPr>
      <w:r>
        <w:rPr>
          <w:rFonts w:ascii="Times New Roman" w:hAnsi="Times New Roman" w:cs="Times New Roman"/>
          <w:b/>
          <w:bCs/>
          <w:sz w:val="24"/>
          <w:szCs w:val="24"/>
          <w:u w:val="single"/>
        </w:rPr>
        <w:lastRenderedPageBreak/>
        <w:t>R</w:t>
      </w:r>
      <w:r w:rsidR="00A811E0" w:rsidRPr="009218EA">
        <w:rPr>
          <w:rFonts w:ascii="Times New Roman" w:hAnsi="Times New Roman" w:cs="Times New Roman"/>
          <w:b/>
          <w:bCs/>
          <w:sz w:val="24"/>
          <w:szCs w:val="24"/>
          <w:u w:val="single"/>
        </w:rPr>
        <w:t xml:space="preserve">eferences: </w:t>
      </w:r>
    </w:p>
    <w:sdt>
      <w:sdtPr>
        <w:tag w:val="EndNote.ReferenceList"/>
        <w:id w:val="1906482385"/>
        <w:placeholder>
          <w:docPart w:val="DefaultPlaceholder_-1854013440"/>
        </w:placeholder>
      </w:sdtPr>
      <w:sdtContent>
        <w:p w14:paraId="3D4D620C" w14:textId="3A4D0BFA" w:rsidR="005B3290" w:rsidRPr="005B3290" w:rsidRDefault="005B3290" w:rsidP="005B3290">
          <w:pPr>
            <w:pStyle w:val="EndNoteBibliography"/>
            <w:ind w:left="720" w:hanging="720"/>
          </w:pPr>
          <w:r w:rsidRPr="005B3290">
            <w:t xml:space="preserve">Behling, F., Fodi, C., Skardelly, M., Paulsen, F., Tabatabai, G., Honegger, J., Tatagiba, M. and Schittenhelm, J. (2023) 'The prognostic role of the immunohistochemical expression of S100 in meningiomas', </w:t>
          </w:r>
          <w:r w:rsidRPr="005B3290">
            <w:rPr>
              <w:i/>
            </w:rPr>
            <w:t>Journal of Cancer Research and Clinical Oncology</w:t>
          </w:r>
          <w:r w:rsidRPr="005B3290">
            <w:t>, 149(7), 2975-2985.</w:t>
          </w:r>
        </w:p>
        <w:p w14:paraId="7A74D53C" w14:textId="77777777" w:rsidR="005B3290" w:rsidRPr="005B3290" w:rsidRDefault="005B3290" w:rsidP="005B3290">
          <w:pPr>
            <w:pStyle w:val="EndNoteBibliography"/>
            <w:spacing w:after="0"/>
          </w:pPr>
        </w:p>
        <w:p w14:paraId="3DDD34B9" w14:textId="77777777" w:rsidR="005B3290" w:rsidRPr="005B3290" w:rsidRDefault="005B3290" w:rsidP="005B3290">
          <w:pPr>
            <w:pStyle w:val="EndNoteBibliography"/>
            <w:ind w:left="720" w:hanging="720"/>
          </w:pPr>
          <w:r w:rsidRPr="005B3290">
            <w:t xml:space="preserve">Greaney, A.J., Abubaker, M., McCarthy, C.M., Reardon, E.C. and Mulvihill, J.J.E. (2025) 'Mechanical contrast between brain and leptomeninges: Insights into leptomeningeal cell and astrocyte responses to mechanical stiffness alterations', </w:t>
          </w:r>
          <w:r w:rsidRPr="005B3290">
            <w:rPr>
              <w:i/>
            </w:rPr>
            <w:t>Acta Biomaterialia</w:t>
          </w:r>
          <w:r w:rsidRPr="005B3290">
            <w:t>.</w:t>
          </w:r>
        </w:p>
        <w:p w14:paraId="2A7F5240" w14:textId="77777777" w:rsidR="005B3290" w:rsidRPr="005B3290" w:rsidRDefault="005B3290" w:rsidP="005B3290">
          <w:pPr>
            <w:pStyle w:val="EndNoteBibliography"/>
            <w:spacing w:after="0"/>
          </w:pPr>
        </w:p>
        <w:p w14:paraId="2A93469E" w14:textId="77777777" w:rsidR="005B3290" w:rsidRPr="005B3290" w:rsidRDefault="005B3290" w:rsidP="005B3290">
          <w:pPr>
            <w:pStyle w:val="EndNoteBibliography"/>
            <w:ind w:left="720" w:hanging="720"/>
          </w:pPr>
          <w:r w:rsidRPr="005B3290">
            <w:t xml:space="preserve">Heck, N., Garwood, J., Dobbertin, A., Calco, V., Sirko, S., Mittmann, T., Eysel, U.T. and Faissner, A. (2007) 'Evidence for distinct leptomeningeal cell-dependent paracrine and EGF-linked autocrine regulatory pathways for suppression of fibrillar collagens in astrocytes', </w:t>
          </w:r>
          <w:r w:rsidRPr="005B3290">
            <w:rPr>
              <w:i/>
            </w:rPr>
            <w:t>Molecular and Cellular Neuroscience</w:t>
          </w:r>
          <w:r w:rsidRPr="005B3290">
            <w:t>, 36(1), 71-85.</w:t>
          </w:r>
        </w:p>
        <w:p w14:paraId="43287430" w14:textId="77777777" w:rsidR="005B3290" w:rsidRPr="005B3290" w:rsidRDefault="005B3290" w:rsidP="005B3290">
          <w:pPr>
            <w:pStyle w:val="EndNoteBibliography"/>
            <w:spacing w:after="0"/>
          </w:pPr>
        </w:p>
        <w:p w14:paraId="6D1781A1" w14:textId="77777777" w:rsidR="005B3290" w:rsidRPr="005B3290" w:rsidRDefault="005B3290" w:rsidP="005B3290">
          <w:pPr>
            <w:pStyle w:val="EndNoteBibliography"/>
            <w:ind w:left="720" w:hanging="720"/>
          </w:pPr>
          <w:r w:rsidRPr="005B3290">
            <w:t xml:space="preserve">Ma, J., van den Beucken, J.J.J.P., Yang, F., Both, S.K., Cui, F.-Z., Pan, J. and Jansen, J.A. (2011) 'Coculture of osteoblasts and endothelial cells: optimization of culture medium and cell ratio', </w:t>
          </w:r>
          <w:r w:rsidRPr="005B3290">
            <w:rPr>
              <w:i/>
            </w:rPr>
            <w:t>Tissue Engineering Part C: Methods</w:t>
          </w:r>
          <w:r w:rsidRPr="005B3290">
            <w:t>, 17(3), 349-357.</w:t>
          </w:r>
        </w:p>
        <w:p w14:paraId="365277E2" w14:textId="14CDE814" w:rsidR="005B3290" w:rsidRPr="005B3290" w:rsidRDefault="005B3290" w:rsidP="005B3290">
          <w:pPr>
            <w:pStyle w:val="EndNoteBibliography"/>
          </w:pPr>
        </w:p>
      </w:sdtContent>
    </w:sdt>
    <w:p w14:paraId="11AB2AC7" w14:textId="39D4DDEC" w:rsidR="006D2566" w:rsidRPr="002A0320" w:rsidRDefault="006D2566" w:rsidP="002D336E">
      <w:pPr>
        <w:jc w:val="both"/>
        <w:rPr>
          <w:rFonts w:ascii="Times New Roman" w:hAnsi="Times New Roman" w:cs="Times New Roman"/>
        </w:rPr>
      </w:pPr>
    </w:p>
    <w:sectPr w:rsidR="006D2566" w:rsidRPr="002A0320">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0A8C44" w14:textId="77777777" w:rsidR="00294020" w:rsidRDefault="00294020" w:rsidP="003C5E52">
      <w:pPr>
        <w:spacing w:after="0" w:line="240" w:lineRule="auto"/>
      </w:pPr>
      <w:r>
        <w:separator/>
      </w:r>
    </w:p>
  </w:endnote>
  <w:endnote w:type="continuationSeparator" w:id="0">
    <w:p w14:paraId="719126EC" w14:textId="77777777" w:rsidR="00294020" w:rsidRDefault="00294020" w:rsidP="003C5E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1F22C0" w14:textId="77777777" w:rsidR="00294020" w:rsidRDefault="00294020" w:rsidP="003C5E52">
      <w:pPr>
        <w:spacing w:after="0" w:line="240" w:lineRule="auto"/>
      </w:pPr>
      <w:r>
        <w:separator/>
      </w:r>
    </w:p>
  </w:footnote>
  <w:footnote w:type="continuationSeparator" w:id="0">
    <w:p w14:paraId="45E381F7" w14:textId="77777777" w:rsidR="00294020" w:rsidRDefault="00294020" w:rsidP="003C5E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4FC637" w14:textId="77777777" w:rsidR="003C5E52" w:rsidRDefault="003C5E52">
    <w:pPr>
      <w:pStyle w:val="Header"/>
    </w:pPr>
  </w:p>
  <w:p w14:paraId="32549554" w14:textId="77777777" w:rsidR="003C5E52" w:rsidRDefault="003C5E52">
    <w:pPr>
      <w:pStyle w:val="Header"/>
    </w:pPr>
  </w:p>
  <w:p w14:paraId="59D293B5" w14:textId="77777777" w:rsidR="003C5E52" w:rsidRDefault="003C5E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0593073"/>
    <w:multiLevelType w:val="hybridMultilevel"/>
    <w:tmpl w:val="524C9474"/>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16cid:durableId="214080149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Harvard_UL&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ENLayout&gt;"/>
    <w:docVar w:name="EN.Libraries" w:val="&lt;Libraries&gt;&lt;/Libraries&gt;"/>
  </w:docVars>
  <w:rsids>
    <w:rsidRoot w:val="006D2566"/>
    <w:rsid w:val="00031FE6"/>
    <w:rsid w:val="0004163A"/>
    <w:rsid w:val="00077231"/>
    <w:rsid w:val="00085B5D"/>
    <w:rsid w:val="000A6D06"/>
    <w:rsid w:val="000A7D89"/>
    <w:rsid w:val="000C6287"/>
    <w:rsid w:val="000E63B7"/>
    <w:rsid w:val="000F1769"/>
    <w:rsid w:val="001348C6"/>
    <w:rsid w:val="001469D1"/>
    <w:rsid w:val="00155B43"/>
    <w:rsid w:val="00172855"/>
    <w:rsid w:val="001B44D8"/>
    <w:rsid w:val="001C668B"/>
    <w:rsid w:val="001D4E11"/>
    <w:rsid w:val="001F0D63"/>
    <w:rsid w:val="001F45E1"/>
    <w:rsid w:val="002317BE"/>
    <w:rsid w:val="002439B4"/>
    <w:rsid w:val="00277521"/>
    <w:rsid w:val="00294020"/>
    <w:rsid w:val="002A0320"/>
    <w:rsid w:val="002B163B"/>
    <w:rsid w:val="002D336E"/>
    <w:rsid w:val="002F6615"/>
    <w:rsid w:val="002F6C95"/>
    <w:rsid w:val="00302C59"/>
    <w:rsid w:val="003126A7"/>
    <w:rsid w:val="0036069C"/>
    <w:rsid w:val="003C5E52"/>
    <w:rsid w:val="0041476C"/>
    <w:rsid w:val="004174AB"/>
    <w:rsid w:val="00422660"/>
    <w:rsid w:val="00456781"/>
    <w:rsid w:val="004A7529"/>
    <w:rsid w:val="004B1F7C"/>
    <w:rsid w:val="0052458F"/>
    <w:rsid w:val="00536385"/>
    <w:rsid w:val="00553326"/>
    <w:rsid w:val="005B3290"/>
    <w:rsid w:val="005B4410"/>
    <w:rsid w:val="005C1F7F"/>
    <w:rsid w:val="005F379D"/>
    <w:rsid w:val="00645201"/>
    <w:rsid w:val="00667A56"/>
    <w:rsid w:val="00696EE5"/>
    <w:rsid w:val="006D2566"/>
    <w:rsid w:val="006E165C"/>
    <w:rsid w:val="006E2BE4"/>
    <w:rsid w:val="0074260D"/>
    <w:rsid w:val="007D7F66"/>
    <w:rsid w:val="008435A1"/>
    <w:rsid w:val="00856D51"/>
    <w:rsid w:val="008B193C"/>
    <w:rsid w:val="008B29A3"/>
    <w:rsid w:val="008D45B4"/>
    <w:rsid w:val="008D7202"/>
    <w:rsid w:val="008E5076"/>
    <w:rsid w:val="009218EA"/>
    <w:rsid w:val="009B36DA"/>
    <w:rsid w:val="009B45F7"/>
    <w:rsid w:val="00A05D41"/>
    <w:rsid w:val="00A5544F"/>
    <w:rsid w:val="00A73C14"/>
    <w:rsid w:val="00A74B23"/>
    <w:rsid w:val="00A811E0"/>
    <w:rsid w:val="00AB24B6"/>
    <w:rsid w:val="00B170E8"/>
    <w:rsid w:val="00B25D9E"/>
    <w:rsid w:val="00B31AAC"/>
    <w:rsid w:val="00B36CCE"/>
    <w:rsid w:val="00B405D4"/>
    <w:rsid w:val="00B8360C"/>
    <w:rsid w:val="00B83CD8"/>
    <w:rsid w:val="00BA4E94"/>
    <w:rsid w:val="00BA544B"/>
    <w:rsid w:val="00C6244E"/>
    <w:rsid w:val="00C6598F"/>
    <w:rsid w:val="00C824B7"/>
    <w:rsid w:val="00CE0AD5"/>
    <w:rsid w:val="00D13A93"/>
    <w:rsid w:val="00D20AE7"/>
    <w:rsid w:val="00D347DD"/>
    <w:rsid w:val="00D34FA6"/>
    <w:rsid w:val="00D72AE4"/>
    <w:rsid w:val="00D82E74"/>
    <w:rsid w:val="00D86F82"/>
    <w:rsid w:val="00DC1442"/>
    <w:rsid w:val="00DC783E"/>
    <w:rsid w:val="00DD3D12"/>
    <w:rsid w:val="00DE5405"/>
    <w:rsid w:val="00DE5573"/>
    <w:rsid w:val="00E24576"/>
    <w:rsid w:val="00E56F38"/>
    <w:rsid w:val="00EE275B"/>
    <w:rsid w:val="00F126DE"/>
    <w:rsid w:val="00F20DFB"/>
    <w:rsid w:val="00F73968"/>
    <w:rsid w:val="00FF6327"/>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23AFDB"/>
  <w15:chartTrackingRefBased/>
  <w15:docId w15:val="{C0220676-5CA4-4E3F-90D7-94FFA92C5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IE"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45B4"/>
  </w:style>
  <w:style w:type="paragraph" w:styleId="Heading1">
    <w:name w:val="heading 1"/>
    <w:basedOn w:val="Normal"/>
    <w:next w:val="Normal"/>
    <w:link w:val="Heading1Char"/>
    <w:uiPriority w:val="9"/>
    <w:qFormat/>
    <w:rsid w:val="006D256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D256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D256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D256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D256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D256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D256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D256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D256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256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D256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D256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D256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D256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D256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D256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D256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D2566"/>
    <w:rPr>
      <w:rFonts w:eastAsiaTheme="majorEastAsia" w:cstheme="majorBidi"/>
      <w:color w:val="272727" w:themeColor="text1" w:themeTint="D8"/>
    </w:rPr>
  </w:style>
  <w:style w:type="paragraph" w:styleId="Title">
    <w:name w:val="Title"/>
    <w:basedOn w:val="Normal"/>
    <w:next w:val="Normal"/>
    <w:link w:val="TitleChar"/>
    <w:uiPriority w:val="10"/>
    <w:qFormat/>
    <w:rsid w:val="006D256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D256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D256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D256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D2566"/>
    <w:pPr>
      <w:spacing w:before="160"/>
      <w:jc w:val="center"/>
    </w:pPr>
    <w:rPr>
      <w:i/>
      <w:iCs/>
      <w:color w:val="404040" w:themeColor="text1" w:themeTint="BF"/>
    </w:rPr>
  </w:style>
  <w:style w:type="character" w:customStyle="1" w:styleId="QuoteChar">
    <w:name w:val="Quote Char"/>
    <w:basedOn w:val="DefaultParagraphFont"/>
    <w:link w:val="Quote"/>
    <w:uiPriority w:val="29"/>
    <w:rsid w:val="006D2566"/>
    <w:rPr>
      <w:i/>
      <w:iCs/>
      <w:color w:val="404040" w:themeColor="text1" w:themeTint="BF"/>
    </w:rPr>
  </w:style>
  <w:style w:type="paragraph" w:styleId="ListParagraph">
    <w:name w:val="List Paragraph"/>
    <w:basedOn w:val="Normal"/>
    <w:uiPriority w:val="34"/>
    <w:qFormat/>
    <w:rsid w:val="006D2566"/>
    <w:pPr>
      <w:ind w:left="720"/>
      <w:contextualSpacing/>
    </w:pPr>
  </w:style>
  <w:style w:type="character" w:styleId="IntenseEmphasis">
    <w:name w:val="Intense Emphasis"/>
    <w:basedOn w:val="DefaultParagraphFont"/>
    <w:uiPriority w:val="21"/>
    <w:qFormat/>
    <w:rsid w:val="006D2566"/>
    <w:rPr>
      <w:i/>
      <w:iCs/>
      <w:color w:val="2F5496" w:themeColor="accent1" w:themeShade="BF"/>
    </w:rPr>
  </w:style>
  <w:style w:type="paragraph" w:styleId="IntenseQuote">
    <w:name w:val="Intense Quote"/>
    <w:basedOn w:val="Normal"/>
    <w:next w:val="Normal"/>
    <w:link w:val="IntenseQuoteChar"/>
    <w:uiPriority w:val="30"/>
    <w:qFormat/>
    <w:rsid w:val="006D256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D2566"/>
    <w:rPr>
      <w:i/>
      <w:iCs/>
      <w:color w:val="2F5496" w:themeColor="accent1" w:themeShade="BF"/>
    </w:rPr>
  </w:style>
  <w:style w:type="character" w:styleId="IntenseReference">
    <w:name w:val="Intense Reference"/>
    <w:basedOn w:val="DefaultParagraphFont"/>
    <w:uiPriority w:val="32"/>
    <w:qFormat/>
    <w:rsid w:val="006D2566"/>
    <w:rPr>
      <w:b/>
      <w:bCs/>
      <w:smallCaps/>
      <w:color w:val="2F5496" w:themeColor="accent1" w:themeShade="BF"/>
      <w:spacing w:val="5"/>
    </w:rPr>
  </w:style>
  <w:style w:type="table" w:styleId="TableGrid">
    <w:name w:val="Table Grid"/>
    <w:basedOn w:val="TableNormal"/>
    <w:uiPriority w:val="39"/>
    <w:rsid w:val="006D256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C5E5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5E52"/>
  </w:style>
  <w:style w:type="paragraph" w:styleId="Footer">
    <w:name w:val="footer"/>
    <w:basedOn w:val="Normal"/>
    <w:link w:val="FooterChar"/>
    <w:uiPriority w:val="99"/>
    <w:unhideWhenUsed/>
    <w:rsid w:val="003C5E5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5E52"/>
  </w:style>
  <w:style w:type="character" w:styleId="CommentReference">
    <w:name w:val="annotation reference"/>
    <w:basedOn w:val="DefaultParagraphFont"/>
    <w:uiPriority w:val="99"/>
    <w:semiHidden/>
    <w:unhideWhenUsed/>
    <w:rsid w:val="00E56F38"/>
    <w:rPr>
      <w:sz w:val="16"/>
      <w:szCs w:val="16"/>
    </w:rPr>
  </w:style>
  <w:style w:type="paragraph" w:styleId="CommentText">
    <w:name w:val="annotation text"/>
    <w:basedOn w:val="Normal"/>
    <w:link w:val="CommentTextChar"/>
    <w:uiPriority w:val="99"/>
    <w:unhideWhenUsed/>
    <w:rsid w:val="00E56F38"/>
    <w:pPr>
      <w:spacing w:line="240" w:lineRule="auto"/>
    </w:pPr>
    <w:rPr>
      <w:sz w:val="20"/>
      <w:szCs w:val="20"/>
    </w:rPr>
  </w:style>
  <w:style w:type="character" w:customStyle="1" w:styleId="CommentTextChar">
    <w:name w:val="Comment Text Char"/>
    <w:basedOn w:val="DefaultParagraphFont"/>
    <w:link w:val="CommentText"/>
    <w:uiPriority w:val="99"/>
    <w:rsid w:val="00E56F38"/>
    <w:rPr>
      <w:sz w:val="20"/>
      <w:szCs w:val="20"/>
    </w:rPr>
  </w:style>
  <w:style w:type="paragraph" w:customStyle="1" w:styleId="EndNoteBibliographyTitle">
    <w:name w:val="EndNote Bibliography Title"/>
    <w:basedOn w:val="Normal"/>
    <w:link w:val="EndNoteBibliographyTitleChar"/>
    <w:rsid w:val="001F0D63"/>
    <w:pPr>
      <w:spacing w:after="0"/>
      <w:jc w:val="center"/>
    </w:pPr>
    <w:rPr>
      <w:rFonts w:ascii="Calibri" w:hAnsi="Calibri" w:cs="Calibri"/>
      <w:noProof/>
    </w:rPr>
  </w:style>
  <w:style w:type="character" w:customStyle="1" w:styleId="EndNoteBibliographyTitleChar">
    <w:name w:val="EndNote Bibliography Title Char"/>
    <w:basedOn w:val="DefaultParagraphFont"/>
    <w:link w:val="EndNoteBibliographyTitle"/>
    <w:rsid w:val="001F0D63"/>
    <w:rPr>
      <w:rFonts w:ascii="Calibri" w:hAnsi="Calibri" w:cs="Calibri"/>
      <w:noProof/>
    </w:rPr>
  </w:style>
  <w:style w:type="paragraph" w:customStyle="1" w:styleId="EndNoteBibliography">
    <w:name w:val="EndNote Bibliography"/>
    <w:basedOn w:val="Normal"/>
    <w:link w:val="EndNoteBibliographyChar"/>
    <w:rsid w:val="001F0D63"/>
    <w:pPr>
      <w:spacing w:line="240" w:lineRule="auto"/>
    </w:pPr>
    <w:rPr>
      <w:rFonts w:ascii="Calibri" w:hAnsi="Calibri" w:cs="Calibri"/>
      <w:noProof/>
    </w:rPr>
  </w:style>
  <w:style w:type="character" w:customStyle="1" w:styleId="EndNoteBibliographyChar">
    <w:name w:val="EndNote Bibliography Char"/>
    <w:basedOn w:val="DefaultParagraphFont"/>
    <w:link w:val="EndNoteBibliography"/>
    <w:rsid w:val="001F0D63"/>
    <w:rPr>
      <w:rFonts w:ascii="Calibri" w:hAnsi="Calibri" w:cs="Calibri"/>
      <w:noProof/>
    </w:rPr>
  </w:style>
  <w:style w:type="character" w:styleId="Hyperlink">
    <w:name w:val="Hyperlink"/>
    <w:basedOn w:val="DefaultParagraphFont"/>
    <w:uiPriority w:val="99"/>
    <w:unhideWhenUsed/>
    <w:rsid w:val="007D7F66"/>
    <w:rPr>
      <w:color w:val="0563C1" w:themeColor="hyperlink"/>
      <w:u w:val="single"/>
    </w:rPr>
  </w:style>
  <w:style w:type="character" w:styleId="UnresolvedMention">
    <w:name w:val="Unresolved Mention"/>
    <w:basedOn w:val="DefaultParagraphFont"/>
    <w:uiPriority w:val="99"/>
    <w:semiHidden/>
    <w:unhideWhenUsed/>
    <w:rsid w:val="007D7F66"/>
    <w:rPr>
      <w:color w:val="605E5C"/>
      <w:shd w:val="clear" w:color="auto" w:fill="E1DFDD"/>
    </w:rPr>
  </w:style>
  <w:style w:type="character" w:styleId="PlaceholderText">
    <w:name w:val="Placeholder Text"/>
    <w:basedOn w:val="DefaultParagraphFont"/>
    <w:uiPriority w:val="99"/>
    <w:semiHidden/>
    <w:rsid w:val="005B329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205040">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glossaryDocument" Target="glossary/document.xml"/><Relationship Id="rId4" Type="http://schemas.openxmlformats.org/officeDocument/2006/relationships/webSettings" Target="webSetting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FC082EF-4A59-434F-A977-C6BB90482CD4}"/>
      </w:docPartPr>
      <w:docPartBody>
        <w:p w:rsidR="00C939B4" w:rsidRDefault="008934B8">
          <w:r w:rsidRPr="005D25A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Light">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34B8"/>
    <w:rsid w:val="008934B8"/>
    <w:rsid w:val="00BA544B"/>
    <w:rsid w:val="00C939B4"/>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IE"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34B8"/>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0</TotalTime>
  <Pages>6</Pages>
  <Words>1179</Words>
  <Characters>6721</Characters>
  <Application>Microsoft Office Word</Application>
  <DocSecurity>0</DocSecurity>
  <Lines>56</Lines>
  <Paragraphs>15</Paragraphs>
  <ScaleCrop>false</ScaleCrop>
  <Company>University of Limerick</Company>
  <LinksUpToDate>false</LinksUpToDate>
  <CharactersWithSpaces>7885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ULPG:Reardon.Erin</dc:creator>
  <cp:keywords/>
  <dc:description/>
  <cp:lastModifiedBy>ULPG:Reardon.Erin</cp:lastModifiedBy>
  <cp:revision>80</cp:revision>
  <dcterms:created xsi:type="dcterms:W3CDTF">2026-07-23T09:55:00Z</dcterms:created>
  <dcterms:modified xsi:type="dcterms:W3CDTF">2026-09-30T16:17:00Z</dcterms:modified>
</cp:coreProperties>
</file>