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ManuscriptTitle"/>
      </w:pPr>
      <w:r>
        <w:t xml:space="preserve">Supplementary Information</w:t>
      </w:r>
    </w:p>
    <w:p>
      <w:pPr>
        <w:pStyle w:val="AuthorList"/>
      </w:pPr>
      <w:r>
        <w:rPr>
          <w:b/>
          <w:bCs/>
        </w:rPr>
        <w:t xml:space="preserve">Net zero weakens the land carbon sink but land-based mitigation compensates</w:t>
      </w:r>
    </w:p>
    <w:p>
      <w:pPr>
        <w:pStyle w:val="Affiliation"/>
      </w:pPr>
      <w:r>
        <w:t xml:space="preserve">Florian Humpenöder</w:t>
      </w:r>
      <w:r>
        <w:rPr>
          <w:vertAlign w:val="superscript"/>
        </w:rPr>
        <w:t xml:space="preserve">1,*</w:t>
      </w:r>
      <w:r>
        <w:t xml:space="preserve">, Michael Crawford</w:t>
      </w:r>
      <w:r>
        <w:rPr>
          <w:vertAlign w:val="superscript"/>
        </w:rPr>
        <w:t xml:space="preserve">1</w:t>
      </w:r>
      <w:r>
        <w:t xml:space="preserve">, Jens Heinke</w:t>
      </w:r>
      <w:r>
        <w:rPr>
          <w:vertAlign w:val="superscript"/>
        </w:rPr>
        <w:t xml:space="preserve">1</w:t>
      </w:r>
      <w:r>
        <w:t xml:space="preserve">, Kristine Karstens</w:t>
      </w:r>
      <w:r>
        <w:rPr>
          <w:vertAlign w:val="superscript"/>
        </w:rPr>
        <w:t xml:space="preserve">1,2</w:t>
      </w:r>
      <w:r>
        <w:t xml:space="preserve">, Felicitas Beier</w:t>
      </w:r>
      <w:r>
        <w:rPr>
          <w:vertAlign w:val="superscript"/>
        </w:rPr>
        <w:t xml:space="preserve">1</w:t>
      </w:r>
      <w:r>
        <w:t xml:space="preserve">, Miodrag Stevanović</w:t>
      </w:r>
      <w:r>
        <w:rPr>
          <w:vertAlign w:val="superscript"/>
        </w:rPr>
        <w:t xml:space="preserve">1</w:t>
      </w:r>
      <w:r>
        <w:t xml:space="preserve">, Laurin Köhler-Schindler</w:t>
      </w:r>
      <w:r>
        <w:rPr>
          <w:vertAlign w:val="superscript"/>
        </w:rPr>
        <w:t xml:space="preserve">1</w:t>
      </w:r>
      <w:r>
        <w:t xml:space="preserve">, Nico Bauer</w:t>
      </w:r>
      <w:r>
        <w:rPr>
          <w:vertAlign w:val="superscript"/>
        </w:rPr>
        <w:t xml:space="preserve">1</w:t>
      </w:r>
      <w:r>
        <w:t xml:space="preserve">, Gabriel Abrahão</w:t>
      </w:r>
      <w:r>
        <w:rPr>
          <w:vertAlign w:val="superscript"/>
        </w:rPr>
        <w:t xml:space="preserve">1</w:t>
      </w:r>
      <w:r>
        <w:t xml:space="preserve">, Elmar Kriegler</w:t>
      </w:r>
      <w:r>
        <w:rPr>
          <w:vertAlign w:val="superscript"/>
        </w:rPr>
        <w:t xml:space="preserve">1</w:t>
      </w:r>
      <w:r>
        <w:t xml:space="preserve">, Jan Philipp Dietrich</w:t>
      </w:r>
      <w:r>
        <w:rPr>
          <w:vertAlign w:val="superscript"/>
        </w:rPr>
        <w:t xml:space="preserve">1</w:t>
      </w:r>
      <w:r>
        <w:t xml:space="preserve">, Hermann Lotze-Campen</w:t>
      </w:r>
      <w:r>
        <w:rPr>
          <w:vertAlign w:val="superscript"/>
        </w:rPr>
        <w:t xml:space="preserve">1,2</w:t>
      </w:r>
      <w:r>
        <w:t xml:space="preserve">, Alexander Popp</w:t>
      </w:r>
      <w:r>
        <w:rPr>
          <w:vertAlign w:val="superscript"/>
        </w:rPr>
        <w:t xml:space="preserve">1,3</w:t>
      </w:r>
    </w:p>
    <w:p>
      <w:pPr>
        <w:pStyle w:val="Affiliation"/>
      </w:pPr>
      <w:r>
        <w:rPr>
          <w:vertAlign w:val="superscript"/>
        </w:rPr>
        <w:t xml:space="preserve">1</w:t>
      </w:r>
      <w:r>
        <w:t xml:space="preserve"> </w:t>
      </w:r>
      <w:r>
        <w:t xml:space="preserve">Potsdam Institute for Climate Impact Research (PIK), Member of the Leibniz Association, Potsdam, Germany.</w:t>
      </w:r>
    </w:p>
    <w:p>
      <w:pPr>
        <w:pStyle w:val="Affiliation"/>
      </w:pPr>
      <w:r>
        <w:rPr>
          <w:vertAlign w:val="superscript"/>
        </w:rPr>
        <w:t xml:space="preserve">2</w:t>
      </w:r>
      <w:r>
        <w:t xml:space="preserve"> </w:t>
      </w:r>
      <w:r>
        <w:t xml:space="preserve">Albrecht Daniel Thaer-Institute of Agricultural and Horticultural Sciences, Humboldt University of Berlin, Germany.</w:t>
      </w:r>
    </w:p>
    <w:p>
      <w:pPr>
        <w:pStyle w:val="Affiliation"/>
      </w:pPr>
      <w:r>
        <w:rPr>
          <w:vertAlign w:val="superscript"/>
        </w:rPr>
        <w:t xml:space="preserve">3</w:t>
      </w:r>
      <w:r>
        <w:t xml:space="preserve"> </w:t>
      </w:r>
      <w:r>
        <w:t xml:space="preserve">Faculty of Organic Agricultural Sciences, University of Kassel, Witzenhausen, Germany.</w:t>
      </w:r>
    </w:p>
    <w:p>
      <w:pPr>
        <w:pStyle w:val="Affiliation"/>
      </w:pPr>
      <w:r>
        <w:rPr>
          <w:vertAlign w:val="superscript"/>
        </w:rPr>
        <w:t xml:space="preserve">*</w:t>
      </w:r>
      <w:r>
        <w:t xml:space="preserve"> </w:t>
      </w:r>
      <w:r>
        <w:t xml:space="preserve">Correspondence and requests for materials should be addressed to Florian Humpenöder (humpenoeder@pik-potsdam.de).</w:t>
      </w:r>
    </w:p>
    <w:p>
      <w:pPr>
        <w:pStyle w:val="TableTitle"/>
      </w:pPr>
      <w:r>
        <w:rPr>
          <w:b/>
          <w:bCs/>
        </w:rPr>
        <w:t xml:space="preserve">Supplementary Table 1 | The twelve world regions and the countries and territories they contain</w:t>
      </w:r>
    </w:p>
    <w:tbl>
      <w:tblPr>
        <w:tblStyle w:val="Table"/>
        <w:tblW w:type="pct" w:w="5000"/>
        <w:tblLayout w:type="fixed"/>
        <w:tblLook w:firstRow="1" w:lastRow="0" w:firstColumn="0" w:lastColumn="0" w:noHBand="0" w:noVBand="0" w:val="0020"/>
      </w:tblPr>
      <w:tblGrid>
        <w:gridCol w:w="625"/>
        <w:gridCol w:w="2084"/>
        <w:gridCol w:w="5210"/>
      </w:tblGrid>
      <w:tr>
        <w:trPr>
          <w:tblHeader w:val="on"/>
        </w:trPr>
        <w:tc>
          <w:tcPr/>
          <w:p>
            <w:pPr>
              <w:pStyle w:val="Compact"/>
            </w:pPr>
            <w:r>
              <w:t xml:space="preserve">Code</w:t>
            </w:r>
          </w:p>
        </w:tc>
        <w:tc>
          <w:tcPr/>
          <w:p>
            <w:pPr>
              <w:pStyle w:val="Compact"/>
            </w:pPr>
            <w:r>
              <w:t xml:space="preserve">Region</w:t>
            </w:r>
          </w:p>
        </w:tc>
        <w:tc>
          <w:tcPr/>
          <w:p>
            <w:pPr>
              <w:pStyle w:val="Compact"/>
            </w:pPr>
            <w:r>
              <w:t xml:space="preserve">Countries and territories</w:t>
            </w:r>
          </w:p>
        </w:tc>
      </w:tr>
      <w:tr>
        <w:tc>
          <w:tcPr/>
          <w:p>
            <w:pPr>
              <w:pStyle w:val="Compact"/>
            </w:pPr>
            <w:r>
              <w:t xml:space="preserve">CAZ</w:t>
            </w:r>
          </w:p>
        </w:tc>
        <w:tc>
          <w:tcPr/>
          <w:p>
            <w:pPr>
              <w:pStyle w:val="Compact"/>
            </w:pPr>
            <w:r>
              <w:t xml:space="preserve">Canada, Australia and New Zealand</w:t>
            </w:r>
          </w:p>
        </w:tc>
        <w:tc>
          <w:tcPr/>
          <w:p>
            <w:pPr>
              <w:pStyle w:val="Compact"/>
            </w:pPr>
            <w:r>
              <w:t xml:space="preserve">Australia, Canada, Heard Island and McDonald Islands, New Zealand, Saint Pierre and Miquelon</w:t>
            </w:r>
          </w:p>
        </w:tc>
      </w:tr>
      <w:tr>
        <w:tc>
          <w:tcPr/>
          <w:p>
            <w:pPr>
              <w:pStyle w:val="Compact"/>
            </w:pPr>
            <w:r>
              <w:t xml:space="preserve">CHA</w:t>
            </w:r>
          </w:p>
        </w:tc>
        <w:tc>
          <w:tcPr/>
          <w:p>
            <w:pPr>
              <w:pStyle w:val="Compact"/>
            </w:pPr>
            <w:r>
              <w:t xml:space="preserve">China</w:t>
            </w:r>
          </w:p>
        </w:tc>
        <w:tc>
          <w:tcPr/>
          <w:p>
            <w:pPr>
              <w:pStyle w:val="Compact"/>
            </w:pPr>
            <w:r>
              <w:t xml:space="preserve">China, Hong Kong, Macao, Taiwan</w:t>
            </w:r>
          </w:p>
        </w:tc>
      </w:tr>
      <w:tr>
        <w:tc>
          <w:tcPr/>
          <w:p>
            <w:pPr>
              <w:pStyle w:val="Compact"/>
            </w:pPr>
            <w:r>
              <w:t xml:space="preserve">EUR</w:t>
            </w:r>
          </w:p>
        </w:tc>
        <w:tc>
          <w:tcPr/>
          <w:p>
            <w:pPr>
              <w:pStyle w:val="Compact"/>
            </w:pPr>
            <w:r>
              <w:t xml:space="preserve">European Union and United Kingdom</w:t>
            </w:r>
          </w:p>
        </w:tc>
        <w:tc>
          <w:tcPr/>
          <w:p>
            <w:pPr>
              <w:pStyle w:val="Compact"/>
            </w:pPr>
            <w:r>
              <w:t xml:space="preserve">Åland Islands, Austria, Belgium, Bulgaria, Croatia, Cyprus, Czech Republic, Denmark, Estonia, Faroe Islands, Finland, France, Germany, Gibraltar, Greece, Guernsey, Hungary, Ireland, Isle of Man, Italy, Jersey, Latvia, Lithuania, Luxembourg, Malta, Netherlands, Poland, Portugal, Romania, Slovakia, Slovenia, Spain, Sweden, United Kingdom</w:t>
            </w:r>
          </w:p>
        </w:tc>
      </w:tr>
      <w:tr>
        <w:tc>
          <w:tcPr/>
          <w:p>
            <w:pPr>
              <w:pStyle w:val="Compact"/>
            </w:pPr>
            <w:r>
              <w:t xml:space="preserve">IND</w:t>
            </w:r>
          </w:p>
        </w:tc>
        <w:tc>
          <w:tcPr/>
          <w:p>
            <w:pPr>
              <w:pStyle w:val="Compact"/>
            </w:pPr>
            <w:r>
              <w:t xml:space="preserve">India</w:t>
            </w:r>
          </w:p>
        </w:tc>
        <w:tc>
          <w:tcPr/>
          <w:p>
            <w:pPr>
              <w:pStyle w:val="Compact"/>
            </w:pPr>
            <w:r>
              <w:t xml:space="preserve">India</w:t>
            </w:r>
          </w:p>
        </w:tc>
      </w:tr>
      <w:tr>
        <w:tc>
          <w:tcPr/>
          <w:p>
            <w:pPr>
              <w:pStyle w:val="Compact"/>
            </w:pPr>
            <w:r>
              <w:t xml:space="preserve">JPN</w:t>
            </w:r>
          </w:p>
        </w:tc>
        <w:tc>
          <w:tcPr/>
          <w:p>
            <w:pPr>
              <w:pStyle w:val="Compact"/>
            </w:pPr>
            <w:r>
              <w:t xml:space="preserve">Japan</w:t>
            </w:r>
          </w:p>
        </w:tc>
        <w:tc>
          <w:tcPr/>
          <w:p>
            <w:pPr>
              <w:pStyle w:val="Compact"/>
            </w:pPr>
            <w:r>
              <w:t xml:space="preserve">Japan</w:t>
            </w:r>
          </w:p>
        </w:tc>
      </w:tr>
      <w:tr>
        <w:tc>
          <w:tcPr/>
          <w:p>
            <w:pPr>
              <w:pStyle w:val="Compact"/>
            </w:pPr>
            <w:r>
              <w:t xml:space="preserve">LAM</w:t>
            </w:r>
          </w:p>
        </w:tc>
        <w:tc>
          <w:tcPr/>
          <w:p>
            <w:pPr>
              <w:pStyle w:val="Compact"/>
            </w:pPr>
            <w:r>
              <w:t xml:space="preserve">Latin America and the Caribbean</w:t>
            </w:r>
          </w:p>
        </w:tc>
        <w:tc>
          <w:tcPr/>
          <w:p>
            <w:pPr>
              <w:pStyle w:val="Compact"/>
            </w:pPr>
            <w:r>
              <w:t xml:space="preserve">Anguilla, Antarctica, Antigua and Barbuda, Argentina, Aruba, Bahamas, Barbados, Belize, Bermuda, Bolivia, Bouvet Island, Brazil, British Virgin Islands, Caribbean Netherlands, Cayman Islands, Chile, Colombia, Costa Rica, Cuba, Curaçao, Dominica, Dominican Republic, Ecuador, El Salvador, Falkland Islands, French Guiana, Grenada, Guadeloupe, Guatemala, Guyana, Haiti, Honduras, Jamaica, Martinique, Mexico, Montserrat, Nicaragua, Panama, Paraguay, Peru, Puerto Rico, Saint Barthélemy, Saint Kitts and Nevis, Saint Lucia, Saint Martin (French part), Saint Vincent and the Grenadines, Sint Maarten (Dutch part), South Georgia and the South Sandwich Islands, Suriname, Trinidad and Tobago, Turks and Caicos Islands, US Virgin Islands, Uruguay, Venezuela</w:t>
            </w:r>
          </w:p>
        </w:tc>
      </w:tr>
      <w:tr>
        <w:tc>
          <w:tcPr/>
          <w:p>
            <w:pPr>
              <w:pStyle w:val="Compact"/>
            </w:pPr>
            <w:r>
              <w:t xml:space="preserve">MEA</w:t>
            </w:r>
          </w:p>
        </w:tc>
        <w:tc>
          <w:tcPr/>
          <w:p>
            <w:pPr>
              <w:pStyle w:val="Compact"/>
            </w:pPr>
            <w:r>
              <w:t xml:space="preserve">Middle East and North Africa</w:t>
            </w:r>
          </w:p>
        </w:tc>
        <w:tc>
          <w:tcPr/>
          <w:p>
            <w:pPr>
              <w:pStyle w:val="Compact"/>
            </w:pPr>
            <w:r>
              <w:t xml:space="preserve">Algeria, Bahrain, Egypt, Iran, Iraq, Israel, Jordan, Kuwait, Lebanon, Libya, Morocco, Oman, Palestine, Qatar, Saudi Arabia, Sudan, Syria, Tunisia, United Arab Emirates, Western Sahara, Yemen</w:t>
            </w:r>
          </w:p>
        </w:tc>
      </w:tr>
      <w:tr>
        <w:tc>
          <w:tcPr/>
          <w:p>
            <w:pPr>
              <w:pStyle w:val="Compact"/>
            </w:pPr>
            <w:r>
              <w:t xml:space="preserve">NEU</w:t>
            </w:r>
          </w:p>
        </w:tc>
        <w:tc>
          <w:tcPr/>
          <w:p>
            <w:pPr>
              <w:pStyle w:val="Compact"/>
            </w:pPr>
            <w:r>
              <w:t xml:space="preserve">Non-EU Europe</w:t>
            </w:r>
          </w:p>
        </w:tc>
        <w:tc>
          <w:tcPr/>
          <w:p>
            <w:pPr>
              <w:pStyle w:val="Compact"/>
            </w:pPr>
            <w:r>
              <w:t xml:space="preserve">Albania, Andorra, Bosnia and Herzegovina, Greenland, Iceland, Liechtenstein, Monaco, Montenegro, North Macedonia, Norway, San Marino, Serbia, Svalbard and Jan Mayen, Switzerland, Turkey, Vatican City</w:t>
            </w:r>
          </w:p>
        </w:tc>
      </w:tr>
      <w:tr>
        <w:tc>
          <w:tcPr/>
          <w:p>
            <w:pPr>
              <w:pStyle w:val="Compact"/>
            </w:pPr>
            <w:r>
              <w:t xml:space="preserve">OAS</w:t>
            </w:r>
          </w:p>
        </w:tc>
        <w:tc>
          <w:tcPr/>
          <w:p>
            <w:pPr>
              <w:pStyle w:val="Compact"/>
            </w:pPr>
            <w:r>
              <w:t xml:space="preserve">Other Asia</w:t>
            </w:r>
          </w:p>
        </w:tc>
        <w:tc>
          <w:tcPr/>
          <w:p>
            <w:pPr>
              <w:pStyle w:val="Compact"/>
            </w:pPr>
            <w:r>
              <w:t xml:space="preserve">Afghanistan, American Samoa, Bangladesh, Bhutan, British Indian Ocean Territory, Brunei, Cambodia, Christmas Island, Cocos (Keeling) Islands, Cook Islands, Fiji, French Polynesia, French Southern Territories, Guam, Indonesia, Kiribati, Laos, Malaysia, Maldives, Marshall Islands, Micronesia, Mongolia, Myanmar, Nauru, Nepal, New Caledonia, Niue, Norfolk Island, North Korea, Northern Mariana Islands, Pakistan, Palau, Papua New Guinea, Philippines, Pitcairn, Samoa, Singapore, Solomon Islands, South Korea, Sri Lanka, Thailand, Timor-Leste, Tokelau, Tonga, Tuvalu, United States Minor Outlying Islands, Vanuatu, Vietnam, Wallis and Futuna</w:t>
            </w:r>
          </w:p>
        </w:tc>
      </w:tr>
      <w:tr>
        <w:tc>
          <w:tcPr/>
          <w:p>
            <w:pPr>
              <w:pStyle w:val="Compact"/>
            </w:pPr>
            <w:r>
              <w:t xml:space="preserve">REF</w:t>
            </w:r>
          </w:p>
        </w:tc>
        <w:tc>
          <w:tcPr/>
          <w:p>
            <w:pPr>
              <w:pStyle w:val="Compact"/>
            </w:pPr>
            <w:r>
              <w:t xml:space="preserve">Reforming economies of the former Soviet Union</w:t>
            </w:r>
          </w:p>
        </w:tc>
        <w:tc>
          <w:tcPr/>
          <w:p>
            <w:pPr>
              <w:pStyle w:val="Compact"/>
            </w:pPr>
            <w:r>
              <w:t xml:space="preserve">Armenia, Azerbaijan, Belarus, Georgia, Kazakhstan, Kyrgyzstan, Moldova, Russia, Tajikistan, Turkmenistan, Ukraine, Uzbekistan</w:t>
            </w:r>
          </w:p>
        </w:tc>
      </w:tr>
      <w:tr>
        <w:tc>
          <w:tcPr/>
          <w:p>
            <w:pPr>
              <w:pStyle w:val="Compact"/>
            </w:pPr>
            <w:r>
              <w:t xml:space="preserve">SSA</w:t>
            </w:r>
          </w:p>
        </w:tc>
        <w:tc>
          <w:tcPr/>
          <w:p>
            <w:pPr>
              <w:pStyle w:val="Compact"/>
            </w:pPr>
            <w:r>
              <w:t xml:space="preserve">Sub-Saharan Africa</w:t>
            </w:r>
          </w:p>
        </w:tc>
        <w:tc>
          <w:tcPr/>
          <w:p>
            <w:pPr>
              <w:pStyle w:val="Compact"/>
            </w:pPr>
            <w:r>
              <w:t xml:space="preserve">Angola, Benin, Botswana, Burkina Faso, Burundi, Cameroon, Cape Verde, Central African Republic, Chad, Comoros, Côte d’Ivoire, Democratic Republic of the Congo, Djibouti, Equatorial Guinea, Eritrea, Eswatini, Ethiopia, Gabon, Gambia, Ghana, Guinea, Guinea-Bissau, Kenya, Lesotho, Liberia, Madagascar, Malawi, Mali, Mauritania, Mauritius, Mayotte, Mozambique, Namibia, Niger, Nigeria, Republic of the Congo, Réunion, Rwanda, Saint Helena, Sao Tome and Principe, Senegal, Seychelles, Sierra Leone, Somalia, South Africa, South Sudan, Tanzania, Togo, Uganda, Zambia, Zimbabwe</w:t>
            </w:r>
          </w:p>
        </w:tc>
      </w:tr>
      <w:tr>
        <w:tc>
          <w:tcPr/>
          <w:p>
            <w:pPr>
              <w:pStyle w:val="Compact"/>
            </w:pPr>
            <w:r>
              <w:t xml:space="preserve">USA</w:t>
            </w:r>
          </w:p>
        </w:tc>
        <w:tc>
          <w:tcPr/>
          <w:p>
            <w:pPr>
              <w:pStyle w:val="Compact"/>
            </w:pPr>
            <w:r>
              <w:t xml:space="preserve">United States</w:t>
            </w:r>
          </w:p>
        </w:tc>
        <w:tc>
          <w:tcPr/>
          <w:p>
            <w:pPr>
              <w:pStyle w:val="Compact"/>
            </w:pPr>
            <w:r>
              <w:t xml:space="preserve">United States</w:t>
            </w:r>
          </w:p>
        </w:tc>
      </w:tr>
    </w:tbl>
    <w:p>
      <w:pPr>
        <w:pStyle w:val="TableNote"/>
      </w:pPr>
      <w:r>
        <w:t xml:space="preserve">The regions are those of MAgPIE and REMIND. All regional results use this mapping, and the country-level benchmarks (Extended Data Tables 2 and 3b) are aggregated to the regions with it.</w:t>
      </w:r>
    </w:p>
    <w:p>
      <w:pPr>
        <w:pStyle w:val="TableTitle"/>
      </w:pPr>
      <w:r>
        <w:rPr>
          <w:b/>
          <w:bCs/>
        </w:rPr>
        <w:t xml:space="preserve">Supplementary Table 2 | The net land-use flux and its main groups with and without climate impacts, World, 2050 and 2100 (GtCO</w:t>
      </w:r>
      <w:r>
        <w:rPr>
          <w:b/>
          <w:bCs/>
          <w:vertAlign w:val="subscript"/>
        </w:rPr>
        <w:t xml:space="preserve">2</w:t>
      </w:r>
      <w:r>
        <w:rPr>
          <w:b/>
          <w:bCs/>
        </w:rPr>
        <w:t xml:space="preserve"> </w:t>
      </w:r>
      <w:r>
        <w:rPr>
          <w:b/>
          <w:bCs/>
        </w:rPr>
        <w:t xml:space="preserve">yr</w:t>
      </w:r>
      <w:r>
        <w:rPr>
          <w:b/>
          <w:bCs/>
          <w:vertAlign w:val="superscript"/>
        </w:rPr>
        <w:t xml:space="preserve">−1</w:t>
      </w:r>
      <w:r>
        <w:rPr>
          <w:b/>
          <w:bCs/>
        </w:rPr>
        <w:t xml:space="preserve">)</w:t>
      </w:r>
    </w:p>
    <w:p>
      <w:pPr>
        <w:pStyle w:val="PartLabel"/>
      </w:pPr>
      <w:r>
        <w:rPr>
          <w:b/>
          <w:bCs/>
        </w:rPr>
        <w:t xml:space="preserve">(a)</w:t>
      </w:r>
      <w:r>
        <w:t xml:space="preserve"> </w:t>
      </w:r>
      <w:r>
        <w:t xml:space="preserve">2050</w:t>
      </w:r>
    </w:p>
    <w:tbl>
      <w:tblPr>
        <w:tblStyle w:val="Table"/>
        <w:tblW w:type="pct" w:w="5000"/>
        <w:tblLayout w:type="fixed"/>
        <w:tblLook w:firstRow="1" w:lastRow="0" w:firstColumn="0" w:lastColumn="0" w:noHBand="0" w:noVBand="0" w:val="0020"/>
      </w:tblPr>
      <w:tblGrid>
        <w:gridCol w:w="1213"/>
        <w:gridCol w:w="1117"/>
        <w:gridCol w:w="1117"/>
        <w:gridCol w:w="1117"/>
        <w:gridCol w:w="1117"/>
        <w:gridCol w:w="1117"/>
        <w:gridCol w:w="1117"/>
      </w:tblGrid>
      <w:tr>
        <w:trPr>
          <w:tblHeader w:val="on"/>
        </w:trPr>
        <w:tc>
          <w:tcPr/>
          <w:p>
            <w:pPr>
              <w:pStyle w:val="Compact"/>
            </w:pPr>
            <w:r>
              <w:t xml:space="preserve">Flux</w:t>
            </w:r>
          </w:p>
        </w:tc>
        <w:tc>
          <w:tcPr/>
          <w:p>
            <w:pPr>
              <w:pStyle w:val="Compact"/>
            </w:pPr>
            <w:r>
              <w:t xml:space="preserve">H-SSP3</w:t>
            </w:r>
          </w:p>
        </w:tc>
        <w:tc>
          <w:tcPr/>
          <w:p>
            <w:pPr>
              <w:pStyle w:val="Compact"/>
            </w:pPr>
            <w:r>
              <w:t xml:space="preserve">M-SSP2</w:t>
            </w:r>
          </w:p>
        </w:tc>
        <w:tc>
          <w:tcPr/>
          <w:p>
            <w:pPr>
              <w:pStyle w:val="Compact"/>
            </w:pPr>
            <w:r>
              <w:t xml:space="preserve">ML-SSP2</w:t>
            </w:r>
          </w:p>
        </w:tc>
        <w:tc>
          <w:tcPr/>
          <w:p>
            <w:pPr>
              <w:pStyle w:val="Compact"/>
            </w:pPr>
            <w:r>
              <w:t xml:space="preserve">L-SSP2</w:t>
            </w:r>
          </w:p>
        </w:tc>
        <w:tc>
          <w:tcPr/>
          <w:p>
            <w:pPr>
              <w:pStyle w:val="Compact"/>
            </w:pPr>
            <w:r>
              <w:t xml:space="preserve">LN-SSP2</w:t>
            </w:r>
          </w:p>
        </w:tc>
        <w:tc>
          <w:tcPr/>
          <w:p>
            <w:pPr>
              <w:pStyle w:val="Compact"/>
            </w:pPr>
            <w:r>
              <w:t xml:space="preserve">VL-SSP1</w:t>
            </w:r>
          </w:p>
        </w:tc>
      </w:tr>
      <w:tr>
        <w:tc>
          <w:tcPr/>
          <w:p>
            <w:pPr>
              <w:pStyle w:val="Compact"/>
            </w:pPr>
            <w:r>
              <w:t xml:space="preserve">Net land-use flux</w:t>
            </w:r>
          </w:p>
        </w:tc>
        <w:tc>
          <w:tcPr/>
          <w:p>
            <w:pPr>
              <w:pStyle w:val="Compact"/>
            </w:pPr>
            <w:r>
              <w:t xml:space="preserve">+1.68 / +2.52</w:t>
            </w:r>
          </w:p>
        </w:tc>
        <w:tc>
          <w:tcPr/>
          <w:p>
            <w:pPr>
              <w:pStyle w:val="Compact"/>
            </w:pPr>
            <w:r>
              <w:t xml:space="preserve">+1.01 / +1.80</w:t>
            </w:r>
          </w:p>
        </w:tc>
        <w:tc>
          <w:tcPr/>
          <w:p>
            <w:pPr>
              <w:pStyle w:val="Compact"/>
            </w:pPr>
            <w:r>
              <w:t xml:space="preserve">−0.61 / −0.18</w:t>
            </w:r>
          </w:p>
        </w:tc>
        <w:tc>
          <w:tcPr/>
          <w:p>
            <w:pPr>
              <w:pStyle w:val="Compact"/>
            </w:pPr>
            <w:r>
              <w:t xml:space="preserve">−2.67 / −2.18</w:t>
            </w:r>
          </w:p>
        </w:tc>
        <w:tc>
          <w:tcPr/>
          <w:p>
            <w:pPr>
              <w:pStyle w:val="Compact"/>
            </w:pPr>
            <w:r>
              <w:t xml:space="preserve">−1.58 / −1.30</w:t>
            </w:r>
          </w:p>
        </w:tc>
        <w:tc>
          <w:tcPr/>
          <w:p>
            <w:pPr>
              <w:pStyle w:val="Compact"/>
            </w:pPr>
            <w:r>
              <w:t xml:space="preserve">−3.67 / −3.29</w:t>
            </w:r>
          </w:p>
        </w:tc>
      </w:tr>
      <w:tr>
        <w:tc>
          <w:tcPr/>
          <w:p>
            <w:pPr>
              <w:pStyle w:val="Compact"/>
            </w:pPr>
            <w:r>
              <w:t xml:space="preserve">Net land-use flux, difference</w:t>
            </w:r>
          </w:p>
        </w:tc>
        <w:tc>
          <w:tcPr/>
          <w:p>
            <w:pPr>
              <w:pStyle w:val="Compact"/>
            </w:pPr>
            <w:r>
              <w:t xml:space="preserve">−0.84</w:t>
            </w:r>
          </w:p>
        </w:tc>
        <w:tc>
          <w:tcPr/>
          <w:p>
            <w:pPr>
              <w:pStyle w:val="Compact"/>
            </w:pPr>
            <w:r>
              <w:t xml:space="preserve">−0.79</w:t>
            </w:r>
          </w:p>
        </w:tc>
        <w:tc>
          <w:tcPr/>
          <w:p>
            <w:pPr>
              <w:pStyle w:val="Compact"/>
            </w:pPr>
            <w:r>
              <w:t xml:space="preserve">−0.43</w:t>
            </w:r>
          </w:p>
        </w:tc>
        <w:tc>
          <w:tcPr/>
          <w:p>
            <w:pPr>
              <w:pStyle w:val="Compact"/>
            </w:pPr>
            <w:r>
              <w:t xml:space="preserve">−0.49</w:t>
            </w:r>
          </w:p>
        </w:tc>
        <w:tc>
          <w:tcPr/>
          <w:p>
            <w:pPr>
              <w:pStyle w:val="Compact"/>
            </w:pPr>
            <w:r>
              <w:t xml:space="preserve">−0.28</w:t>
            </w:r>
          </w:p>
        </w:tc>
        <w:tc>
          <w:tcPr/>
          <w:p>
            <w:pPr>
              <w:pStyle w:val="Compact"/>
            </w:pPr>
            <w:r>
              <w:t xml:space="preserve">−0.38</w:t>
            </w:r>
          </w:p>
        </w:tc>
      </w:tr>
      <w:tr>
        <w:tc>
          <w:tcPr/>
          <w:p>
            <w:pPr>
              <w:pStyle w:val="Compact"/>
            </w:pPr>
            <w:r>
              <w:t xml:space="preserve">AR</w:t>
            </w:r>
          </w:p>
        </w:tc>
        <w:tc>
          <w:tcPr/>
          <w:p>
            <w:pPr>
              <w:pStyle w:val="Compact"/>
            </w:pPr>
            <w:r>
              <w:t xml:space="preserve">−0.29 / −0.27</w:t>
            </w:r>
          </w:p>
        </w:tc>
        <w:tc>
          <w:tcPr/>
          <w:p>
            <w:pPr>
              <w:pStyle w:val="Compact"/>
            </w:pPr>
            <w:r>
              <w:t xml:space="preserve">−0.38 / −0.35</w:t>
            </w:r>
          </w:p>
        </w:tc>
        <w:tc>
          <w:tcPr/>
          <w:p>
            <w:pPr>
              <w:pStyle w:val="Compact"/>
            </w:pPr>
            <w:r>
              <w:t xml:space="preserve">−0.47 / −0.38</w:t>
            </w:r>
          </w:p>
        </w:tc>
        <w:tc>
          <w:tcPr/>
          <w:p>
            <w:pPr>
              <w:pStyle w:val="Compact"/>
            </w:pPr>
            <w:r>
              <w:t xml:space="preserve">−1.12 / −0.98</w:t>
            </w:r>
          </w:p>
        </w:tc>
        <w:tc>
          <w:tcPr/>
          <w:p>
            <w:pPr>
              <w:pStyle w:val="Compact"/>
            </w:pPr>
            <w:r>
              <w:t xml:space="preserve">−1.23 / −1.15</w:t>
            </w:r>
          </w:p>
        </w:tc>
        <w:tc>
          <w:tcPr/>
          <w:p>
            <w:pPr>
              <w:pStyle w:val="Compact"/>
            </w:pPr>
            <w:r>
              <w:t xml:space="preserve">−1.49 / −1.42</w:t>
            </w:r>
          </w:p>
        </w:tc>
      </w:tr>
      <w:tr>
        <w:tc>
          <w:tcPr/>
          <w:p>
            <w:pPr>
              <w:pStyle w:val="Compact"/>
            </w:pPr>
            <w:r>
              <w:t xml:space="preserve">Deforestation and other land conversion</w:t>
            </w:r>
          </w:p>
        </w:tc>
        <w:tc>
          <w:tcPr/>
          <w:p>
            <w:pPr>
              <w:pStyle w:val="Compact"/>
            </w:pPr>
            <w:r>
              <w:t xml:space="preserve">+1.43 / +1.80</w:t>
            </w:r>
          </w:p>
        </w:tc>
        <w:tc>
          <w:tcPr/>
          <w:p>
            <w:pPr>
              <w:pStyle w:val="Compact"/>
            </w:pPr>
            <w:r>
              <w:t xml:space="preserve">+1.14 / +1.52</w:t>
            </w:r>
          </w:p>
        </w:tc>
        <w:tc>
          <w:tcPr/>
          <w:p>
            <w:pPr>
              <w:pStyle w:val="Compact"/>
            </w:pPr>
            <w:r>
              <w:t xml:space="preserve">+0.07 / +0.08</w:t>
            </w:r>
          </w:p>
        </w:tc>
        <w:tc>
          <w:tcPr/>
          <w:p>
            <w:pPr>
              <w:pStyle w:val="Compact"/>
            </w:pPr>
            <w:r>
              <w:t xml:space="preserve">+0.02 / +0.03</w:t>
            </w:r>
          </w:p>
        </w:tc>
        <w:tc>
          <w:tcPr/>
          <w:p>
            <w:pPr>
              <w:pStyle w:val="Compact"/>
            </w:pPr>
            <w:r>
              <w:t xml:space="preserve">+0.50 / +0.44</w:t>
            </w:r>
          </w:p>
        </w:tc>
        <w:tc>
          <w:tcPr/>
          <w:p>
            <w:pPr>
              <w:pStyle w:val="Compact"/>
            </w:pPr>
            <w:r>
              <w:t xml:space="preserve">+0.00 / +0.00</w:t>
            </w:r>
          </w:p>
        </w:tc>
      </w:tr>
      <w:tr>
        <w:tc>
          <w:tcPr/>
          <w:p>
            <w:pPr>
              <w:pStyle w:val="Compact"/>
            </w:pPr>
            <w:r>
              <w:t xml:space="preserve">Management</w:t>
            </w:r>
          </w:p>
        </w:tc>
        <w:tc>
          <w:tcPr/>
          <w:p>
            <w:pPr>
              <w:pStyle w:val="Compact"/>
            </w:pPr>
            <w:r>
              <w:t xml:space="preserve">+0.83 / +1.28</w:t>
            </w:r>
          </w:p>
        </w:tc>
        <w:tc>
          <w:tcPr/>
          <w:p>
            <w:pPr>
              <w:pStyle w:val="Compact"/>
            </w:pPr>
            <w:r>
              <w:t xml:space="preserve">+0.53 / +0.92</w:t>
            </w:r>
          </w:p>
        </w:tc>
        <w:tc>
          <w:tcPr/>
          <w:p>
            <w:pPr>
              <w:pStyle w:val="Compact"/>
            </w:pPr>
            <w:r>
              <w:t xml:space="preserve">+0.05 / +0.39</w:t>
            </w:r>
          </w:p>
        </w:tc>
        <w:tc>
          <w:tcPr/>
          <w:p>
            <w:pPr>
              <w:pStyle w:val="Compact"/>
            </w:pPr>
            <w:r>
              <w:t xml:space="preserve">−1.30 / −0.97</w:t>
            </w:r>
          </w:p>
        </w:tc>
        <w:tc>
          <w:tcPr/>
          <w:p>
            <w:pPr>
              <w:pStyle w:val="Compact"/>
            </w:pPr>
            <w:r>
              <w:t xml:space="preserve">−0.75 / −0.47</w:t>
            </w:r>
          </w:p>
        </w:tc>
        <w:tc>
          <w:tcPr/>
          <w:p>
            <w:pPr>
              <w:pStyle w:val="Compact"/>
            </w:pPr>
            <w:r>
              <w:t xml:space="preserve">−1.90 / −1.58</w:t>
            </w:r>
          </w:p>
        </w:tc>
      </w:tr>
    </w:tbl>
    <w:p>
      <w:pPr>
        <w:pStyle w:val="PartLabel"/>
      </w:pPr>
      <w:r>
        <w:rPr>
          <w:b/>
          <w:bCs/>
        </w:rPr>
        <w:t xml:space="preserve">(b)</w:t>
      </w:r>
      <w:r>
        <w:t xml:space="preserve"> </w:t>
      </w:r>
      <w:r>
        <w:t xml:space="preserve">2100</w:t>
      </w:r>
    </w:p>
    <w:tbl>
      <w:tblPr>
        <w:tblStyle w:val="Table"/>
        <w:tblW w:type="pct" w:w="5000"/>
        <w:tblLayout w:type="fixed"/>
        <w:tblLook w:firstRow="1" w:lastRow="0" w:firstColumn="0" w:lastColumn="0" w:noHBand="0" w:noVBand="0" w:val="0020"/>
      </w:tblPr>
      <w:tblGrid>
        <w:gridCol w:w="1213"/>
        <w:gridCol w:w="1117"/>
        <w:gridCol w:w="1117"/>
        <w:gridCol w:w="1117"/>
        <w:gridCol w:w="1117"/>
        <w:gridCol w:w="1117"/>
        <w:gridCol w:w="1117"/>
      </w:tblGrid>
      <w:tr>
        <w:trPr>
          <w:tblHeader w:val="on"/>
        </w:trPr>
        <w:tc>
          <w:tcPr/>
          <w:p>
            <w:pPr>
              <w:pStyle w:val="Compact"/>
            </w:pPr>
            <w:r>
              <w:t xml:space="preserve">Flux</w:t>
            </w:r>
          </w:p>
        </w:tc>
        <w:tc>
          <w:tcPr/>
          <w:p>
            <w:pPr>
              <w:pStyle w:val="Compact"/>
            </w:pPr>
            <w:r>
              <w:t xml:space="preserve">H-SSP3</w:t>
            </w:r>
          </w:p>
        </w:tc>
        <w:tc>
          <w:tcPr/>
          <w:p>
            <w:pPr>
              <w:pStyle w:val="Compact"/>
            </w:pPr>
            <w:r>
              <w:t xml:space="preserve">M-SSP2</w:t>
            </w:r>
          </w:p>
        </w:tc>
        <w:tc>
          <w:tcPr/>
          <w:p>
            <w:pPr>
              <w:pStyle w:val="Compact"/>
            </w:pPr>
            <w:r>
              <w:t xml:space="preserve">ML-SSP2</w:t>
            </w:r>
          </w:p>
        </w:tc>
        <w:tc>
          <w:tcPr/>
          <w:p>
            <w:pPr>
              <w:pStyle w:val="Compact"/>
            </w:pPr>
            <w:r>
              <w:t xml:space="preserve">L-SSP2</w:t>
            </w:r>
          </w:p>
        </w:tc>
        <w:tc>
          <w:tcPr/>
          <w:p>
            <w:pPr>
              <w:pStyle w:val="Compact"/>
            </w:pPr>
            <w:r>
              <w:t xml:space="preserve">LN-SSP2</w:t>
            </w:r>
          </w:p>
        </w:tc>
        <w:tc>
          <w:tcPr/>
          <w:p>
            <w:pPr>
              <w:pStyle w:val="Compact"/>
            </w:pPr>
            <w:r>
              <w:t xml:space="preserve">VL-SSP1</w:t>
            </w:r>
          </w:p>
        </w:tc>
      </w:tr>
      <w:tr>
        <w:tc>
          <w:tcPr/>
          <w:p>
            <w:pPr>
              <w:pStyle w:val="Compact"/>
            </w:pPr>
            <w:r>
              <w:t xml:space="preserve">Net land-use flux</w:t>
            </w:r>
          </w:p>
        </w:tc>
        <w:tc>
          <w:tcPr/>
          <w:p>
            <w:pPr>
              <w:pStyle w:val="Compact"/>
            </w:pPr>
            <w:r>
              <w:t xml:space="preserve">+5.18 / +5.58</w:t>
            </w:r>
          </w:p>
        </w:tc>
        <w:tc>
          <w:tcPr/>
          <w:p>
            <w:pPr>
              <w:pStyle w:val="Compact"/>
            </w:pPr>
            <w:r>
              <w:t xml:space="preserve">+0.91 / +2.97</w:t>
            </w:r>
          </w:p>
        </w:tc>
        <w:tc>
          <w:tcPr/>
          <w:p>
            <w:pPr>
              <w:pStyle w:val="Compact"/>
            </w:pPr>
            <w:r>
              <w:t xml:space="preserve">−2.17 / −1.21</w:t>
            </w:r>
          </w:p>
        </w:tc>
        <w:tc>
          <w:tcPr/>
          <w:p>
            <w:pPr>
              <w:pStyle w:val="Compact"/>
            </w:pPr>
            <w:r>
              <w:t xml:space="preserve">−3.32 / −2.22</w:t>
            </w:r>
          </w:p>
        </w:tc>
        <w:tc>
          <w:tcPr/>
          <w:p>
            <w:pPr>
              <w:pStyle w:val="Compact"/>
            </w:pPr>
            <w:r>
              <w:t xml:space="preserve">−5.80 / −5.41</w:t>
            </w:r>
          </w:p>
        </w:tc>
        <w:tc>
          <w:tcPr/>
          <w:p>
            <w:pPr>
              <w:pStyle w:val="Compact"/>
            </w:pPr>
            <w:r>
              <w:t xml:space="preserve">−5.05 / −4.71</w:t>
            </w:r>
          </w:p>
        </w:tc>
      </w:tr>
      <w:tr>
        <w:tc>
          <w:tcPr/>
          <w:p>
            <w:pPr>
              <w:pStyle w:val="Compact"/>
            </w:pPr>
            <w:r>
              <w:t xml:space="preserve">Net land-use flux, difference</w:t>
            </w:r>
          </w:p>
        </w:tc>
        <w:tc>
          <w:tcPr/>
          <w:p>
            <w:pPr>
              <w:pStyle w:val="Compact"/>
            </w:pPr>
            <w:r>
              <w:t xml:space="preserve">−0.41</w:t>
            </w:r>
          </w:p>
        </w:tc>
        <w:tc>
          <w:tcPr/>
          <w:p>
            <w:pPr>
              <w:pStyle w:val="Compact"/>
            </w:pPr>
            <w:r>
              <w:t xml:space="preserve">−2.06</w:t>
            </w:r>
          </w:p>
        </w:tc>
        <w:tc>
          <w:tcPr/>
          <w:p>
            <w:pPr>
              <w:pStyle w:val="Compact"/>
            </w:pPr>
            <w:r>
              <w:t xml:space="preserve">−0.96</w:t>
            </w:r>
          </w:p>
        </w:tc>
        <w:tc>
          <w:tcPr/>
          <w:p>
            <w:pPr>
              <w:pStyle w:val="Compact"/>
            </w:pPr>
            <w:r>
              <w:t xml:space="preserve">−1.10</w:t>
            </w:r>
          </w:p>
        </w:tc>
        <w:tc>
          <w:tcPr/>
          <w:p>
            <w:pPr>
              <w:pStyle w:val="Compact"/>
            </w:pPr>
            <w:r>
              <w:t xml:space="preserve">−0.39</w:t>
            </w:r>
          </w:p>
        </w:tc>
        <w:tc>
          <w:tcPr/>
          <w:p>
            <w:pPr>
              <w:pStyle w:val="Compact"/>
            </w:pPr>
            <w:r>
              <w:t xml:space="preserve">−0.34</w:t>
            </w:r>
          </w:p>
        </w:tc>
      </w:tr>
      <w:tr>
        <w:tc>
          <w:tcPr/>
          <w:p>
            <w:pPr>
              <w:pStyle w:val="Compact"/>
            </w:pPr>
            <w:r>
              <w:t xml:space="preserve">AR</w:t>
            </w:r>
          </w:p>
        </w:tc>
        <w:tc>
          <w:tcPr/>
          <w:p>
            <w:pPr>
              <w:pStyle w:val="Compact"/>
            </w:pPr>
            <w:r>
              <w:t xml:space="preserve">−0.27 / −0.21</w:t>
            </w:r>
          </w:p>
        </w:tc>
        <w:tc>
          <w:tcPr/>
          <w:p>
            <w:pPr>
              <w:pStyle w:val="Compact"/>
            </w:pPr>
            <w:r>
              <w:t xml:space="preserve">−0.40 / −0.32</w:t>
            </w:r>
          </w:p>
        </w:tc>
        <w:tc>
          <w:tcPr/>
          <w:p>
            <w:pPr>
              <w:pStyle w:val="Compact"/>
            </w:pPr>
            <w:r>
              <w:t xml:space="preserve">−1.17 / −0.90</w:t>
            </w:r>
          </w:p>
        </w:tc>
        <w:tc>
          <w:tcPr/>
          <w:p>
            <w:pPr>
              <w:pStyle w:val="Compact"/>
            </w:pPr>
            <w:r>
              <w:t xml:space="preserve">−1.76 / −1.49</w:t>
            </w:r>
          </w:p>
        </w:tc>
        <w:tc>
          <w:tcPr/>
          <w:p>
            <w:pPr>
              <w:pStyle w:val="Compact"/>
            </w:pPr>
            <w:r>
              <w:t xml:space="preserve">−5.11 / −5.06</w:t>
            </w:r>
          </w:p>
        </w:tc>
        <w:tc>
          <w:tcPr/>
          <w:p>
            <w:pPr>
              <w:pStyle w:val="Compact"/>
            </w:pPr>
            <w:r>
              <w:t xml:space="preserve">−3.01 / −2.87</w:t>
            </w:r>
          </w:p>
        </w:tc>
      </w:tr>
      <w:tr>
        <w:tc>
          <w:tcPr/>
          <w:p>
            <w:pPr>
              <w:pStyle w:val="Compact"/>
            </w:pPr>
            <w:r>
              <w:t xml:space="preserve">Deforestation and other land conversion</w:t>
            </w:r>
          </w:p>
        </w:tc>
        <w:tc>
          <w:tcPr/>
          <w:p>
            <w:pPr>
              <w:pStyle w:val="Compact"/>
            </w:pPr>
            <w:r>
              <w:t xml:space="preserve">+3.74 / +3.27</w:t>
            </w:r>
          </w:p>
        </w:tc>
        <w:tc>
          <w:tcPr/>
          <w:p>
            <w:pPr>
              <w:pStyle w:val="Compact"/>
            </w:pPr>
            <w:r>
              <w:t xml:space="preserve">+1.12 / +2.17</w:t>
            </w:r>
          </w:p>
        </w:tc>
        <w:tc>
          <w:tcPr/>
          <w:p>
            <w:pPr>
              <w:pStyle w:val="Compact"/>
            </w:pPr>
            <w:r>
              <w:t xml:space="preserve">+0.01 / +0.07</w:t>
            </w:r>
          </w:p>
        </w:tc>
        <w:tc>
          <w:tcPr/>
          <w:p>
            <w:pPr>
              <w:pStyle w:val="Compact"/>
            </w:pPr>
            <w:r>
              <w:t xml:space="preserve">+0.00 / +0.00</w:t>
            </w:r>
          </w:p>
        </w:tc>
        <w:tc>
          <w:tcPr/>
          <w:p>
            <w:pPr>
              <w:pStyle w:val="Compact"/>
            </w:pPr>
            <w:r>
              <w:t xml:space="preserve">+0.01 / +0.01</w:t>
            </w:r>
          </w:p>
        </w:tc>
        <w:tc>
          <w:tcPr/>
          <w:p>
            <w:pPr>
              <w:pStyle w:val="Compact"/>
            </w:pPr>
            <w:r>
              <w:t xml:space="preserve">+0.00 / +0.00</w:t>
            </w:r>
          </w:p>
        </w:tc>
      </w:tr>
      <w:tr>
        <w:tc>
          <w:tcPr/>
          <w:p>
            <w:pPr>
              <w:pStyle w:val="Compact"/>
            </w:pPr>
            <w:r>
              <w:t xml:space="preserve">Management</w:t>
            </w:r>
          </w:p>
        </w:tc>
        <w:tc>
          <w:tcPr/>
          <w:p>
            <w:pPr>
              <w:pStyle w:val="Compact"/>
            </w:pPr>
            <w:r>
              <w:t xml:space="preserve">+2.00 / +2.82</w:t>
            </w:r>
          </w:p>
        </w:tc>
        <w:tc>
          <w:tcPr/>
          <w:p>
            <w:pPr>
              <w:pStyle w:val="Compact"/>
            </w:pPr>
            <w:r>
              <w:t xml:space="preserve">+0.27 / +1.23</w:t>
            </w:r>
          </w:p>
        </w:tc>
        <w:tc>
          <w:tcPr/>
          <w:p>
            <w:pPr>
              <w:pStyle w:val="Compact"/>
            </w:pPr>
            <w:r>
              <w:t xml:space="preserve">−0.96 / −0.30</w:t>
            </w:r>
          </w:p>
        </w:tc>
        <w:tc>
          <w:tcPr/>
          <w:p>
            <w:pPr>
              <w:pStyle w:val="Compact"/>
            </w:pPr>
            <w:r>
              <w:t xml:space="preserve">−1.45 / −0.63</w:t>
            </w:r>
          </w:p>
        </w:tc>
        <w:tc>
          <w:tcPr/>
          <w:p>
            <w:pPr>
              <w:pStyle w:val="Compact"/>
            </w:pPr>
            <w:r>
              <w:t xml:space="preserve">−0.54 / −0.22</w:t>
            </w:r>
          </w:p>
        </w:tc>
        <w:tc>
          <w:tcPr/>
          <w:p>
            <w:pPr>
              <w:pStyle w:val="Compact"/>
            </w:pPr>
            <w:r>
              <w:t xml:space="preserve">−1.96 / −1.77</w:t>
            </w:r>
          </w:p>
        </w:tc>
      </w:tr>
    </w:tbl>
    <w:p>
      <w:pPr>
        <w:pStyle w:val="TableNote"/>
      </w:pPr>
      <w:r>
        <w:t xml:space="preserve">Positive = emissions, negative = removals from the atmosphere. Each cell gives the value with climate impacts, then the value without, in (a) 2050 and (b) 2100. The difference row is with minus without, negative where climate impacts give a larger net removal or a smaller net emission. Climate impacts are the response of yields, water availability and carbon densities to each scenario’s climate and CO</w:t>
      </w:r>
      <w:r>
        <w:rPr>
          <w:vertAlign w:val="subscript"/>
        </w:rPr>
        <w:t xml:space="preserve">2</w:t>
      </w:r>
      <w:r>
        <w:t xml:space="preserve"> </w:t>
      </w:r>
      <w:r>
        <w:t xml:space="preserve">(Introduction, Methods). The scenarios without climate impacts are the six as submitted to ScenarioMIP (Discussion), computed with the same model version and settings. The land-use flux differs between the sets because climate impacts change the areas the model allocates, through yields and water, and the carbon density that regrowing stands reach, through LPJmL’s response to climate and CO</w:t>
      </w:r>
      <w:r>
        <w:rPr>
          <w:vertAlign w:val="subscript"/>
        </w:rPr>
        <w:t xml:space="preserve">2</w:t>
      </w:r>
      <w:r>
        <w:t xml:space="preserve"> </w:t>
      </w:r>
      <w:r>
        <w:t xml:space="preserve">(Methods). The groups are those of Fig. 3a: AR is carbon-price AR and NPi/NDC AR; management is wood harvest netted against the regrowth of natural land and of plantations, peatland, and soil carbon. The net land-use flux and management are net of their emissions and removals; AR holds removals only, deforestation and other land conversion emissions only. In the weak-policy scenarios deforestation itself is lower with climate impacts than without in both years; the group rises in H-SSP3 by 2100 because the conversion of other natural land rises. Harvested wood products, cropland tree cover and a residual (at most 0.3 GtCO</w:t>
      </w:r>
      <w:r>
        <w:rPr>
          <w:vertAlign w:val="subscript"/>
        </w:rPr>
        <w:t xml:space="preserve">2</w:t>
      </w:r>
      <w:r>
        <w:t xml:space="preserve"> </w:t>
      </w:r>
      <w:r>
        <w:t xml:space="preserve">yr</w:t>
      </w:r>
      <w:r>
        <w:rPr>
          <w:vertAlign w:val="superscript"/>
        </w:rPr>
        <w:t xml:space="preserve">−1</w:t>
      </w:r>
      <w:r>
        <w:t xml:space="preserve">) are not shown, so the three groups do not sum exactly to the net land-use flux.</w:t>
      </w:r>
    </w:p>
    <w:p>
      <w:pPr>
        <w:pStyle w:val="TableTitle"/>
      </w:pPr>
      <w:r>
        <w:rPr>
          <w:b/>
          <w:bCs/>
        </w:rPr>
        <w:t xml:space="preserve">Supplementary Table 3 | Land use with and without climate impacts, World, 2050 and 2100 (Mha)</w:t>
      </w:r>
    </w:p>
    <w:p>
      <w:pPr>
        <w:pStyle w:val="PartLabel"/>
      </w:pPr>
      <w:r>
        <w:rPr>
          <w:b/>
          <w:bCs/>
        </w:rPr>
        <w:t xml:space="preserve">(a)</w:t>
      </w:r>
      <w:r>
        <w:t xml:space="preserve"> </w:t>
      </w:r>
      <w:r>
        <w:t xml:space="preserve">2050</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Land class</w:t>
            </w:r>
          </w:p>
        </w:tc>
        <w:tc>
          <w:tcPr/>
          <w:p>
            <w:pPr>
              <w:pStyle w:val="Compact"/>
            </w:pPr>
            <w:r>
              <w:t xml:space="preserve">H-SSP3</w:t>
            </w:r>
          </w:p>
        </w:tc>
        <w:tc>
          <w:tcPr/>
          <w:p>
            <w:pPr>
              <w:pStyle w:val="Compact"/>
            </w:pPr>
            <w:r>
              <w:t xml:space="preserve">M-SSP2</w:t>
            </w:r>
          </w:p>
        </w:tc>
        <w:tc>
          <w:tcPr/>
          <w:p>
            <w:pPr>
              <w:pStyle w:val="Compact"/>
            </w:pPr>
            <w:r>
              <w:t xml:space="preserve">ML-SSP2</w:t>
            </w:r>
          </w:p>
        </w:tc>
        <w:tc>
          <w:tcPr/>
          <w:p>
            <w:pPr>
              <w:pStyle w:val="Compact"/>
            </w:pPr>
            <w:r>
              <w:t xml:space="preserve">L-SSP2</w:t>
            </w:r>
          </w:p>
        </w:tc>
        <w:tc>
          <w:tcPr/>
          <w:p>
            <w:pPr>
              <w:pStyle w:val="Compact"/>
            </w:pPr>
            <w:r>
              <w:t xml:space="preserve">LN-SSP2</w:t>
            </w:r>
          </w:p>
        </w:tc>
        <w:tc>
          <w:tcPr/>
          <w:p>
            <w:pPr>
              <w:pStyle w:val="Compact"/>
            </w:pPr>
            <w:r>
              <w:t xml:space="preserve">VL-SSP1</w:t>
            </w:r>
          </w:p>
        </w:tc>
      </w:tr>
      <w:tr>
        <w:tc>
          <w:tcPr/>
          <w:p>
            <w:pPr>
              <w:pStyle w:val="Compact"/>
            </w:pPr>
            <w:r>
              <w:t xml:space="preserve">Cropland</w:t>
            </w:r>
          </w:p>
        </w:tc>
        <w:tc>
          <w:tcPr/>
          <w:p>
            <w:pPr>
              <w:pStyle w:val="Compact"/>
            </w:pPr>
            <w:r>
              <w:t xml:space="preserve">1,686 / 1,691</w:t>
            </w:r>
          </w:p>
        </w:tc>
        <w:tc>
          <w:tcPr/>
          <w:p>
            <w:pPr>
              <w:pStyle w:val="Compact"/>
            </w:pPr>
            <w:r>
              <w:t xml:space="preserve">1,646 / 1,654</w:t>
            </w:r>
          </w:p>
        </w:tc>
        <w:tc>
          <w:tcPr/>
          <w:p>
            <w:pPr>
              <w:pStyle w:val="Compact"/>
            </w:pPr>
            <w:r>
              <w:t xml:space="preserve">1,626 / 1,633</w:t>
            </w:r>
          </w:p>
        </w:tc>
        <w:tc>
          <w:tcPr/>
          <w:p>
            <w:pPr>
              <w:pStyle w:val="Compact"/>
            </w:pPr>
            <w:r>
              <w:t xml:space="preserve">1,474 / 1,467</w:t>
            </w:r>
          </w:p>
        </w:tc>
        <w:tc>
          <w:tcPr/>
          <w:p>
            <w:pPr>
              <w:pStyle w:val="Compact"/>
            </w:pPr>
            <w:r>
              <w:t xml:space="preserve">1,518 / 1,512</w:t>
            </w:r>
          </w:p>
        </w:tc>
        <w:tc>
          <w:tcPr/>
          <w:p>
            <w:pPr>
              <w:pStyle w:val="Compact"/>
            </w:pPr>
            <w:r>
              <w:t xml:space="preserve">1,457 / 1,463</w:t>
            </w:r>
          </w:p>
        </w:tc>
      </w:tr>
      <w:tr>
        <w:tc>
          <w:tcPr/>
          <w:p>
            <w:pPr>
              <w:pStyle w:val="Compact"/>
            </w:pPr>
            <w:r>
              <w:t xml:space="preserve">Pasture</w:t>
            </w:r>
          </w:p>
        </w:tc>
        <w:tc>
          <w:tcPr/>
          <w:p>
            <w:pPr>
              <w:pStyle w:val="Compact"/>
            </w:pPr>
            <w:r>
              <w:t xml:space="preserve">3,337 / 3,346</w:t>
            </w:r>
          </w:p>
        </w:tc>
        <w:tc>
          <w:tcPr/>
          <w:p>
            <w:pPr>
              <w:pStyle w:val="Compact"/>
            </w:pPr>
            <w:r>
              <w:t xml:space="preserve">3,321 / 3,336</w:t>
            </w:r>
          </w:p>
        </w:tc>
        <w:tc>
          <w:tcPr/>
          <w:p>
            <w:pPr>
              <w:pStyle w:val="Compact"/>
            </w:pPr>
            <w:r>
              <w:t xml:space="preserve">3,269 / 3,306</w:t>
            </w:r>
          </w:p>
        </w:tc>
        <w:tc>
          <w:tcPr/>
          <w:p>
            <w:pPr>
              <w:pStyle w:val="Compact"/>
            </w:pPr>
            <w:r>
              <w:t xml:space="preserve">3,095 / 3,129</w:t>
            </w:r>
          </w:p>
        </w:tc>
        <w:tc>
          <w:tcPr/>
          <w:p>
            <w:pPr>
              <w:pStyle w:val="Compact"/>
            </w:pPr>
            <w:r>
              <w:t xml:space="preserve">3,139 / 3,175</w:t>
            </w:r>
          </w:p>
        </w:tc>
        <w:tc>
          <w:tcPr/>
          <w:p>
            <w:pPr>
              <w:pStyle w:val="Compact"/>
            </w:pPr>
            <w:r>
              <w:t xml:space="preserve">3,007 / 3,032</w:t>
            </w:r>
          </w:p>
        </w:tc>
      </w:tr>
      <w:tr>
        <w:tc>
          <w:tcPr/>
          <w:p>
            <w:pPr>
              <w:pStyle w:val="Compact"/>
            </w:pPr>
            <w:r>
              <w:t xml:space="preserve">Primary forest</w:t>
            </w:r>
          </w:p>
        </w:tc>
        <w:tc>
          <w:tcPr/>
          <w:p>
            <w:pPr>
              <w:pStyle w:val="Compact"/>
            </w:pPr>
            <w:r>
              <w:t xml:space="preserve">1,304 / 1,296</w:t>
            </w:r>
          </w:p>
        </w:tc>
        <w:tc>
          <w:tcPr/>
          <w:p>
            <w:pPr>
              <w:pStyle w:val="Compact"/>
            </w:pPr>
            <w:r>
              <w:t xml:space="preserve">1,300 / 1,293</w:t>
            </w:r>
          </w:p>
        </w:tc>
        <w:tc>
          <w:tcPr/>
          <w:p>
            <w:pPr>
              <w:pStyle w:val="Compact"/>
            </w:pPr>
            <w:r>
              <w:t xml:space="preserve">1,305 / 1,304</w:t>
            </w:r>
          </w:p>
        </w:tc>
        <w:tc>
          <w:tcPr/>
          <w:p>
            <w:pPr>
              <w:pStyle w:val="Compact"/>
            </w:pPr>
            <w:r>
              <w:t xml:space="preserve">1,310 / 1,306</w:t>
            </w:r>
          </w:p>
        </w:tc>
        <w:tc>
          <w:tcPr/>
          <w:p>
            <w:pPr>
              <w:pStyle w:val="Compact"/>
            </w:pPr>
            <w:r>
              <w:t xml:space="preserve">1,305 / 1,307</w:t>
            </w:r>
          </w:p>
        </w:tc>
        <w:tc>
          <w:tcPr/>
          <w:p>
            <w:pPr>
              <w:pStyle w:val="Compact"/>
            </w:pPr>
            <w:r>
              <w:t xml:space="preserve">1,310 / 1,313</w:t>
            </w:r>
          </w:p>
        </w:tc>
      </w:tr>
      <w:tr>
        <w:tc>
          <w:tcPr/>
          <w:p>
            <w:pPr>
              <w:pStyle w:val="Compact"/>
            </w:pPr>
            <w:r>
              <w:t xml:space="preserve">Secondary forest</w:t>
            </w:r>
          </w:p>
        </w:tc>
        <w:tc>
          <w:tcPr/>
          <w:p>
            <w:pPr>
              <w:pStyle w:val="Compact"/>
            </w:pPr>
            <w:r>
              <w:t xml:space="preserve">2,305 / 2,301</w:t>
            </w:r>
          </w:p>
        </w:tc>
        <w:tc>
          <w:tcPr/>
          <w:p>
            <w:pPr>
              <w:pStyle w:val="Compact"/>
            </w:pPr>
            <w:r>
              <w:t xml:space="preserve">2,330 / 2,315</w:t>
            </w:r>
          </w:p>
        </w:tc>
        <w:tc>
          <w:tcPr/>
          <w:p>
            <w:pPr>
              <w:pStyle w:val="Compact"/>
            </w:pPr>
            <w:r>
              <w:t xml:space="preserve">2,338 / 2,320</w:t>
            </w:r>
          </w:p>
        </w:tc>
        <w:tc>
          <w:tcPr/>
          <w:p>
            <w:pPr>
              <w:pStyle w:val="Compact"/>
            </w:pPr>
            <w:r>
              <w:t xml:space="preserve">2,410 / 2,414</w:t>
            </w:r>
          </w:p>
        </w:tc>
        <w:tc>
          <w:tcPr/>
          <w:p>
            <w:pPr>
              <w:pStyle w:val="Compact"/>
            </w:pPr>
            <w:r>
              <w:t xml:space="preserve">2,327 / 2,323</w:t>
            </w:r>
          </w:p>
        </w:tc>
        <w:tc>
          <w:tcPr/>
          <w:p>
            <w:pPr>
              <w:pStyle w:val="Compact"/>
            </w:pPr>
            <w:r>
              <w:t xml:space="preserve">2,415 / 2,413</w:t>
            </w:r>
          </w:p>
        </w:tc>
      </w:tr>
      <w:tr>
        <w:tc>
          <w:tcPr/>
          <w:p>
            <w:pPr>
              <w:pStyle w:val="Compact"/>
            </w:pPr>
            <w:r>
              <w:t xml:space="preserve">AR</w:t>
            </w:r>
          </w:p>
        </w:tc>
        <w:tc>
          <w:tcPr/>
          <w:p>
            <w:pPr>
              <w:pStyle w:val="Compact"/>
            </w:pPr>
            <w:r>
              <w:t xml:space="preserve">159 / 155</w:t>
            </w:r>
          </w:p>
        </w:tc>
        <w:tc>
          <w:tcPr/>
          <w:p>
            <w:pPr>
              <w:pStyle w:val="Compact"/>
            </w:pPr>
            <w:r>
              <w:t xml:space="preserve">197 / 197</w:t>
            </w:r>
          </w:p>
        </w:tc>
        <w:tc>
          <w:tcPr/>
          <w:p>
            <w:pPr>
              <w:pStyle w:val="Compact"/>
            </w:pPr>
            <w:r>
              <w:t xml:space="preserve">221 / 206</w:t>
            </w:r>
          </w:p>
        </w:tc>
        <w:tc>
          <w:tcPr/>
          <w:p>
            <w:pPr>
              <w:pStyle w:val="Compact"/>
            </w:pPr>
            <w:r>
              <w:t xml:space="preserve">382 / 363</w:t>
            </w:r>
          </w:p>
        </w:tc>
        <w:tc>
          <w:tcPr/>
          <w:p>
            <w:pPr>
              <w:pStyle w:val="Compact"/>
            </w:pPr>
            <w:r>
              <w:t xml:space="preserve">463 / 441</w:t>
            </w:r>
          </w:p>
        </w:tc>
        <w:tc>
          <w:tcPr/>
          <w:p>
            <w:pPr>
              <w:pStyle w:val="Compact"/>
            </w:pPr>
            <w:r>
              <w:t xml:space="preserve">497 / 483</w:t>
            </w:r>
          </w:p>
        </w:tc>
      </w:tr>
      <w:tr>
        <w:tc>
          <w:tcPr/>
          <w:p>
            <w:pPr>
              <w:pStyle w:val="Compact"/>
            </w:pPr>
            <w:r>
              <w:t xml:space="preserve">Timber plantations</w:t>
            </w:r>
          </w:p>
        </w:tc>
        <w:tc>
          <w:tcPr/>
          <w:p>
            <w:pPr>
              <w:pStyle w:val="Compact"/>
            </w:pPr>
            <w:r>
              <w:t xml:space="preserve">189 / 192</w:t>
            </w:r>
          </w:p>
        </w:tc>
        <w:tc>
          <w:tcPr/>
          <w:p>
            <w:pPr>
              <w:pStyle w:val="Compact"/>
            </w:pPr>
            <w:r>
              <w:t xml:space="preserve">178 / 181</w:t>
            </w:r>
          </w:p>
        </w:tc>
        <w:tc>
          <w:tcPr/>
          <w:p>
            <w:pPr>
              <w:pStyle w:val="Compact"/>
            </w:pPr>
            <w:r>
              <w:t xml:space="preserve">176 / 179</w:t>
            </w:r>
          </w:p>
        </w:tc>
        <w:tc>
          <w:tcPr/>
          <w:p>
            <w:pPr>
              <w:pStyle w:val="Compact"/>
            </w:pPr>
            <w:r>
              <w:t xml:space="preserve">172 / 173</w:t>
            </w:r>
          </w:p>
        </w:tc>
        <w:tc>
          <w:tcPr/>
          <w:p>
            <w:pPr>
              <w:pStyle w:val="Compact"/>
            </w:pPr>
            <w:r>
              <w:t xml:space="preserve">172 / 175</w:t>
            </w:r>
          </w:p>
        </w:tc>
        <w:tc>
          <w:tcPr/>
          <w:p>
            <w:pPr>
              <w:pStyle w:val="Compact"/>
            </w:pPr>
            <w:r>
              <w:t xml:space="preserve">167 / 169</w:t>
            </w:r>
          </w:p>
        </w:tc>
      </w:tr>
      <w:tr>
        <w:tc>
          <w:tcPr/>
          <w:p>
            <w:pPr>
              <w:pStyle w:val="Compact"/>
            </w:pPr>
            <w:r>
              <w:t xml:space="preserve">Other natural land</w:t>
            </w:r>
          </w:p>
        </w:tc>
        <w:tc>
          <w:tcPr/>
          <w:p>
            <w:pPr>
              <w:pStyle w:val="Compact"/>
            </w:pPr>
            <w:r>
              <w:t xml:space="preserve">3,917 / 3,916</w:t>
            </w:r>
          </w:p>
        </w:tc>
        <w:tc>
          <w:tcPr/>
          <w:p>
            <w:pPr>
              <w:pStyle w:val="Compact"/>
            </w:pPr>
            <w:r>
              <w:t xml:space="preserve">3,914 / 3,909</w:t>
            </w:r>
          </w:p>
        </w:tc>
        <w:tc>
          <w:tcPr/>
          <w:p>
            <w:pPr>
              <w:pStyle w:val="Compact"/>
            </w:pPr>
            <w:r>
              <w:t xml:space="preserve">3,952 / 3,939</w:t>
            </w:r>
          </w:p>
        </w:tc>
        <w:tc>
          <w:tcPr/>
          <w:p>
            <w:pPr>
              <w:pStyle w:val="Compact"/>
            </w:pPr>
            <w:r>
              <w:t xml:space="preserve">4,045 / 4,035</w:t>
            </w:r>
          </w:p>
        </w:tc>
        <w:tc>
          <w:tcPr/>
          <w:p>
            <w:pPr>
              <w:pStyle w:val="Compact"/>
            </w:pPr>
            <w:r>
              <w:t xml:space="preserve">3,962 / 3,953</w:t>
            </w:r>
          </w:p>
        </w:tc>
        <w:tc>
          <w:tcPr/>
          <w:p>
            <w:pPr>
              <w:pStyle w:val="Compact"/>
            </w:pPr>
            <w:r>
              <w:t xml:space="preserve">4,029 / 4,010</w:t>
            </w:r>
          </w:p>
        </w:tc>
      </w:tr>
    </w:tbl>
    <w:p>
      <w:pPr>
        <w:pStyle w:val="PartLabel"/>
      </w:pPr>
      <w:r>
        <w:rPr>
          <w:b/>
          <w:bCs/>
        </w:rPr>
        <w:t xml:space="preserve">(b)</w:t>
      </w:r>
      <w:r>
        <w:t xml:space="preserve"> </w:t>
      </w:r>
      <w:r>
        <w:t xml:space="preserve">2100</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Land class</w:t>
            </w:r>
          </w:p>
        </w:tc>
        <w:tc>
          <w:tcPr/>
          <w:p>
            <w:pPr>
              <w:pStyle w:val="Compact"/>
            </w:pPr>
            <w:r>
              <w:t xml:space="preserve">H-SSP3</w:t>
            </w:r>
          </w:p>
        </w:tc>
        <w:tc>
          <w:tcPr/>
          <w:p>
            <w:pPr>
              <w:pStyle w:val="Compact"/>
            </w:pPr>
            <w:r>
              <w:t xml:space="preserve">M-SSP2</w:t>
            </w:r>
          </w:p>
        </w:tc>
        <w:tc>
          <w:tcPr/>
          <w:p>
            <w:pPr>
              <w:pStyle w:val="Compact"/>
            </w:pPr>
            <w:r>
              <w:t xml:space="preserve">ML-SSP2</w:t>
            </w:r>
          </w:p>
        </w:tc>
        <w:tc>
          <w:tcPr/>
          <w:p>
            <w:pPr>
              <w:pStyle w:val="Compact"/>
            </w:pPr>
            <w:r>
              <w:t xml:space="preserve">L-SSP2</w:t>
            </w:r>
          </w:p>
        </w:tc>
        <w:tc>
          <w:tcPr/>
          <w:p>
            <w:pPr>
              <w:pStyle w:val="Compact"/>
            </w:pPr>
            <w:r>
              <w:t xml:space="preserve">LN-SSP2</w:t>
            </w:r>
          </w:p>
        </w:tc>
        <w:tc>
          <w:tcPr/>
          <w:p>
            <w:pPr>
              <w:pStyle w:val="Compact"/>
            </w:pPr>
            <w:r>
              <w:t xml:space="preserve">VL-SSP1</w:t>
            </w:r>
          </w:p>
        </w:tc>
      </w:tr>
      <w:tr>
        <w:tc>
          <w:tcPr/>
          <w:p>
            <w:pPr>
              <w:pStyle w:val="Compact"/>
            </w:pPr>
            <w:r>
              <w:t xml:space="preserve">Cropland</w:t>
            </w:r>
          </w:p>
        </w:tc>
        <w:tc>
          <w:tcPr/>
          <w:p>
            <w:pPr>
              <w:pStyle w:val="Compact"/>
            </w:pPr>
            <w:r>
              <w:t xml:space="preserve">2,234 / 2,171</w:t>
            </w:r>
          </w:p>
        </w:tc>
        <w:tc>
          <w:tcPr/>
          <w:p>
            <w:pPr>
              <w:pStyle w:val="Compact"/>
            </w:pPr>
            <w:r>
              <w:t xml:space="preserve">1,904 / 1,912</w:t>
            </w:r>
          </w:p>
        </w:tc>
        <w:tc>
          <w:tcPr/>
          <w:p>
            <w:pPr>
              <w:pStyle w:val="Compact"/>
            </w:pPr>
            <w:r>
              <w:t xml:space="preserve">1,731 / 1,709</w:t>
            </w:r>
          </w:p>
        </w:tc>
        <w:tc>
          <w:tcPr/>
          <w:p>
            <w:pPr>
              <w:pStyle w:val="Compact"/>
            </w:pPr>
            <w:r>
              <w:t xml:space="preserve">1,528 / 1,524</w:t>
            </w:r>
          </w:p>
        </w:tc>
        <w:tc>
          <w:tcPr/>
          <w:p>
            <w:pPr>
              <w:pStyle w:val="Compact"/>
            </w:pPr>
            <w:r>
              <w:t xml:space="preserve">1,492 / 1,451</w:t>
            </w:r>
          </w:p>
        </w:tc>
        <w:tc>
          <w:tcPr/>
          <w:p>
            <w:pPr>
              <w:pStyle w:val="Compact"/>
            </w:pPr>
            <w:r>
              <w:t xml:space="preserve">1,353 / 1,335</w:t>
            </w:r>
          </w:p>
        </w:tc>
      </w:tr>
      <w:tr>
        <w:tc>
          <w:tcPr/>
          <w:p>
            <w:pPr>
              <w:pStyle w:val="Compact"/>
            </w:pPr>
            <w:r>
              <w:t xml:space="preserve">Pasture</w:t>
            </w:r>
          </w:p>
        </w:tc>
        <w:tc>
          <w:tcPr/>
          <w:p>
            <w:pPr>
              <w:pStyle w:val="Compact"/>
            </w:pPr>
            <w:r>
              <w:t xml:space="preserve">3,247 / 3,323</w:t>
            </w:r>
          </w:p>
        </w:tc>
        <w:tc>
          <w:tcPr/>
          <w:p>
            <w:pPr>
              <w:pStyle w:val="Compact"/>
            </w:pPr>
            <w:r>
              <w:t xml:space="preserve">3,292 / 3,351</w:t>
            </w:r>
          </w:p>
        </w:tc>
        <w:tc>
          <w:tcPr/>
          <w:p>
            <w:pPr>
              <w:pStyle w:val="Compact"/>
            </w:pPr>
            <w:r>
              <w:t xml:space="preserve">3,090 / 3,173</w:t>
            </w:r>
          </w:p>
        </w:tc>
        <w:tc>
          <w:tcPr/>
          <w:p>
            <w:pPr>
              <w:pStyle w:val="Compact"/>
            </w:pPr>
            <w:r>
              <w:t xml:space="preserve">2,895 / 2,909</w:t>
            </w:r>
          </w:p>
        </w:tc>
        <w:tc>
          <w:tcPr/>
          <w:p>
            <w:pPr>
              <w:pStyle w:val="Compact"/>
            </w:pPr>
            <w:r>
              <w:t xml:space="preserve">2,727 / 2,753</w:t>
            </w:r>
          </w:p>
        </w:tc>
        <w:tc>
          <w:tcPr/>
          <w:p>
            <w:pPr>
              <w:pStyle w:val="Compact"/>
            </w:pPr>
            <w:r>
              <w:t xml:space="preserve">2,747 / 2,751</w:t>
            </w:r>
          </w:p>
        </w:tc>
      </w:tr>
      <w:tr>
        <w:tc>
          <w:tcPr/>
          <w:p>
            <w:pPr>
              <w:pStyle w:val="Compact"/>
            </w:pPr>
            <w:r>
              <w:t xml:space="preserve">Primary forest</w:t>
            </w:r>
          </w:p>
        </w:tc>
        <w:tc>
          <w:tcPr/>
          <w:p>
            <w:pPr>
              <w:pStyle w:val="Compact"/>
            </w:pPr>
            <w:r>
              <w:t xml:space="preserve">1,235 / 1,181</w:t>
            </w:r>
          </w:p>
        </w:tc>
        <w:tc>
          <w:tcPr/>
          <w:p>
            <w:pPr>
              <w:pStyle w:val="Compact"/>
            </w:pPr>
            <w:r>
              <w:t xml:space="preserve">1,261 / 1,261</w:t>
            </w:r>
          </w:p>
        </w:tc>
        <w:tc>
          <w:tcPr/>
          <w:p>
            <w:pPr>
              <w:pStyle w:val="Compact"/>
            </w:pPr>
            <w:r>
              <w:t xml:space="preserve">1,274 / 1,287</w:t>
            </w:r>
          </w:p>
        </w:tc>
        <w:tc>
          <w:tcPr/>
          <w:p>
            <w:pPr>
              <w:pStyle w:val="Compact"/>
            </w:pPr>
            <w:r>
              <w:t xml:space="preserve">1,278 / 1,290</w:t>
            </w:r>
          </w:p>
        </w:tc>
        <w:tc>
          <w:tcPr/>
          <w:p>
            <w:pPr>
              <w:pStyle w:val="Compact"/>
            </w:pPr>
            <w:r>
              <w:t xml:space="preserve">1,278 / 1,290</w:t>
            </w:r>
          </w:p>
        </w:tc>
        <w:tc>
          <w:tcPr/>
          <w:p>
            <w:pPr>
              <w:pStyle w:val="Compact"/>
            </w:pPr>
            <w:r>
              <w:t xml:space="preserve">1,296 / 1,297</w:t>
            </w:r>
          </w:p>
        </w:tc>
      </w:tr>
      <w:tr>
        <w:tc>
          <w:tcPr/>
          <w:p>
            <w:pPr>
              <w:pStyle w:val="Compact"/>
            </w:pPr>
            <w:r>
              <w:t xml:space="preserve">Secondary forest</w:t>
            </w:r>
          </w:p>
        </w:tc>
        <w:tc>
          <w:tcPr/>
          <w:p>
            <w:pPr>
              <w:pStyle w:val="Compact"/>
            </w:pPr>
            <w:r>
              <w:t xml:space="preserve">2,128 / 2,129</w:t>
            </w:r>
          </w:p>
        </w:tc>
        <w:tc>
          <w:tcPr/>
          <w:p>
            <w:pPr>
              <w:pStyle w:val="Compact"/>
            </w:pPr>
            <w:r>
              <w:t xml:space="preserve">2,260 / 2,213</w:t>
            </w:r>
          </w:p>
        </w:tc>
        <w:tc>
          <w:tcPr/>
          <w:p>
            <w:pPr>
              <w:pStyle w:val="Compact"/>
            </w:pPr>
            <w:r>
              <w:t xml:space="preserve">2,418 / 2,374</w:t>
            </w:r>
          </w:p>
        </w:tc>
        <w:tc>
          <w:tcPr/>
          <w:p>
            <w:pPr>
              <w:pStyle w:val="Compact"/>
            </w:pPr>
            <w:r>
              <w:t xml:space="preserve">2,538 / 2,516</w:t>
            </w:r>
          </w:p>
        </w:tc>
        <w:tc>
          <w:tcPr/>
          <w:p>
            <w:pPr>
              <w:pStyle w:val="Compact"/>
            </w:pPr>
            <w:r>
              <w:t xml:space="preserve">2,328 / 2,308</w:t>
            </w:r>
          </w:p>
        </w:tc>
        <w:tc>
          <w:tcPr/>
          <w:p>
            <w:pPr>
              <w:pStyle w:val="Compact"/>
            </w:pPr>
            <w:r>
              <w:t xml:space="preserve">2,550 / 2,521</w:t>
            </w:r>
          </w:p>
        </w:tc>
      </w:tr>
      <w:tr>
        <w:tc>
          <w:tcPr/>
          <w:p>
            <w:pPr>
              <w:pStyle w:val="Compact"/>
            </w:pPr>
            <w:r>
              <w:t xml:space="preserve">AR</w:t>
            </w:r>
          </w:p>
        </w:tc>
        <w:tc>
          <w:tcPr/>
          <w:p>
            <w:pPr>
              <w:pStyle w:val="Compact"/>
            </w:pPr>
            <w:r>
              <w:t xml:space="preserve">147 / 142</w:t>
            </w:r>
          </w:p>
        </w:tc>
        <w:tc>
          <w:tcPr/>
          <w:p>
            <w:pPr>
              <w:pStyle w:val="Compact"/>
            </w:pPr>
            <w:r>
              <w:t xml:space="preserve">200 / 201</w:t>
            </w:r>
          </w:p>
        </w:tc>
        <w:tc>
          <w:tcPr/>
          <w:p>
            <w:pPr>
              <w:pStyle w:val="Compact"/>
            </w:pPr>
            <w:r>
              <w:t xml:space="preserve">329 / 301</w:t>
            </w:r>
          </w:p>
        </w:tc>
        <w:tc>
          <w:tcPr/>
          <w:p>
            <w:pPr>
              <w:pStyle w:val="Compact"/>
            </w:pPr>
            <w:r>
              <w:t xml:space="preserve">468 / 443</w:t>
            </w:r>
          </w:p>
        </w:tc>
        <w:tc>
          <w:tcPr/>
          <w:p>
            <w:pPr>
              <w:pStyle w:val="Compact"/>
            </w:pPr>
            <w:r>
              <w:t xml:space="preserve">921 / 943</w:t>
            </w:r>
          </w:p>
        </w:tc>
        <w:tc>
          <w:tcPr/>
          <w:p>
            <w:pPr>
              <w:pStyle w:val="Compact"/>
            </w:pPr>
            <w:r>
              <w:t xml:space="preserve">700 / 700</w:t>
            </w:r>
          </w:p>
        </w:tc>
      </w:tr>
      <w:tr>
        <w:tc>
          <w:tcPr/>
          <w:p>
            <w:pPr>
              <w:pStyle w:val="Compact"/>
            </w:pPr>
            <w:r>
              <w:t xml:space="preserve">Timber plantations</w:t>
            </w:r>
          </w:p>
        </w:tc>
        <w:tc>
          <w:tcPr/>
          <w:p>
            <w:pPr>
              <w:pStyle w:val="Compact"/>
            </w:pPr>
            <w:r>
              <w:t xml:space="preserve">196 / 199</w:t>
            </w:r>
          </w:p>
        </w:tc>
        <w:tc>
          <w:tcPr/>
          <w:p>
            <w:pPr>
              <w:pStyle w:val="Compact"/>
            </w:pPr>
            <w:r>
              <w:t xml:space="preserve">176 / 177</w:t>
            </w:r>
          </w:p>
        </w:tc>
        <w:tc>
          <w:tcPr/>
          <w:p>
            <w:pPr>
              <w:pStyle w:val="Compact"/>
            </w:pPr>
            <w:r>
              <w:t xml:space="preserve">169 / 171</w:t>
            </w:r>
          </w:p>
        </w:tc>
        <w:tc>
          <w:tcPr/>
          <w:p>
            <w:pPr>
              <w:pStyle w:val="Compact"/>
            </w:pPr>
            <w:r>
              <w:t xml:space="preserve">161 / 165</w:t>
            </w:r>
          </w:p>
        </w:tc>
        <w:tc>
          <w:tcPr/>
          <w:p>
            <w:pPr>
              <w:pStyle w:val="Compact"/>
            </w:pPr>
            <w:r>
              <w:t xml:space="preserve">163 / 166</w:t>
            </w:r>
          </w:p>
        </w:tc>
        <w:tc>
          <w:tcPr/>
          <w:p>
            <w:pPr>
              <w:pStyle w:val="Compact"/>
            </w:pPr>
            <w:r>
              <w:t xml:space="preserve">154 / 159</w:t>
            </w:r>
          </w:p>
        </w:tc>
      </w:tr>
      <w:tr>
        <w:tc>
          <w:tcPr/>
          <w:p>
            <w:pPr>
              <w:pStyle w:val="Compact"/>
            </w:pPr>
            <w:r>
              <w:t xml:space="preserve">Other natural land</w:t>
            </w:r>
          </w:p>
        </w:tc>
        <w:tc>
          <w:tcPr/>
          <w:p>
            <w:pPr>
              <w:pStyle w:val="Compact"/>
            </w:pPr>
            <w:r>
              <w:t xml:space="preserve">3,696 / 3,738</w:t>
            </w:r>
          </w:p>
        </w:tc>
        <w:tc>
          <w:tcPr/>
          <w:p>
            <w:pPr>
              <w:pStyle w:val="Compact"/>
            </w:pPr>
            <w:r>
              <w:t xml:space="preserve">3,784 / 3,761</w:t>
            </w:r>
          </w:p>
        </w:tc>
        <w:tc>
          <w:tcPr/>
          <w:p>
            <w:pPr>
              <w:pStyle w:val="Compact"/>
            </w:pPr>
            <w:r>
              <w:t xml:space="preserve">3,866 / 3,862</w:t>
            </w:r>
          </w:p>
        </w:tc>
        <w:tc>
          <w:tcPr/>
          <w:p>
            <w:pPr>
              <w:pStyle w:val="Compact"/>
            </w:pPr>
            <w:r>
              <w:t xml:space="preserve">4,009 / 4,031</w:t>
            </w:r>
          </w:p>
        </w:tc>
        <w:tc>
          <w:tcPr/>
          <w:p>
            <w:pPr>
              <w:pStyle w:val="Compact"/>
            </w:pPr>
            <w:r>
              <w:t xml:space="preserve">3,968 / 3,966</w:t>
            </w:r>
          </w:p>
        </w:tc>
        <w:tc>
          <w:tcPr/>
          <w:p>
            <w:pPr>
              <w:pStyle w:val="Compact"/>
            </w:pPr>
            <w:r>
              <w:t xml:space="preserve">4,082 / 4,119</w:t>
            </w:r>
          </w:p>
        </w:tc>
      </w:tr>
    </w:tbl>
    <w:p>
      <w:pPr>
        <w:pStyle w:val="TableNote"/>
      </w:pPr>
      <w:r>
        <w:t xml:space="preserve">Each cell gives the area with climate impacts, then the area without, in (a) 2050 and (b) 2100. Climate impacts are the response of yields, water availability and carbon densities to each scenario’s climate and CO</w:t>
      </w:r>
      <w:r>
        <w:rPr>
          <w:vertAlign w:val="subscript"/>
        </w:rPr>
        <w:t xml:space="preserve">2</w:t>
      </w:r>
      <w:r>
        <w:t xml:space="preserve"> </w:t>
      </w:r>
      <w:r>
        <w:t xml:space="preserve">(Introduction, Methods). The scenarios without climate impacts are the six as submitted to ScenarioMIP (Discussion), computed with the same model version and settings. Climate impacts change the areas the model allocates through yields, water and carbon densities. The land classes are those of Fig. 3b, with carbon-price AR and NPi/NDC AR together as AR. Urban land, 89 to 109 Mha, is the same in both sets and not shown. The Earth system models of CMIP7 receive not these areas but each marker scenario’s land use as processed by Land-Use Harmonization 3 (LUH3), which harmonises it with historical land-use data (Discussion). For VL-SSP1 that marker is the scenario without climate impacts in this table, whose land use was gridded at PIK as the input to LUH3. The markers of the other five scenarios come from other integrated assessment models.</w:t>
      </w:r>
    </w:p>
    <w:sectPr>
      <w:footerReference r:id="rId90" w:type="default"/>
      <w:pgSz w:h="16838" w:w="11906"/>
      <w:pgMar w:bottom="1418" w:footer="709" w:gutter="0" w:header="709" w:left="1418" w:right="1418" w:top="1418"/>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jc w:val="center"/>
    </w:pPr>
    <w:r>
      <w:rPr>
        <w:sz w:val="20"/>
        <w:szCs w:val="20"/>
      </w:rPr>
      <w:fldChar w:fldCharType="begin"/>
    </w:r>
    <w:r>
      <w:rPr>
        <w:sz w:val="20"/>
        <w:szCs w:val="20"/>
      </w:rPr>
      <w:instrText xml:space="preserve"> PAGE </w:instrText>
    </w:r>
    <w:r>
      <w:rPr>
        <w:sz w:val="20"/>
        <w:szCs w:val="20"/>
      </w:rPr>
      <w:fldChar w:fldCharType="separate"/>
    </w:r>
    <w:r>
      <w:rPr>
        <w:sz w:val="20"/>
        <w:szCs w:val="20"/>
      </w:rPr>
      <w:t>1</w:t>
    </w:r>
    <w:r>
      <w:rPr>
        <w:sz w:val="20"/>
        <w:szCs w:val="20"/>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qFormat/>
    <w:pPr>
      <w:spacing w:after="160" w:before="0" w:line="276" w:lineRule="auto"/>
      <w:jc w:val="both"/>
    </w:pPr>
    <w:rPr/>
  </w:style>
  <w:style w:customStyle="1" w:styleId="FirstParagraph" w:type="paragraph">
    <w:name w:val="First Paragraph"/>
    <w:basedOn w:val="BodyText"/>
    <w:next w:val="BodyText"/>
    <w:qFormat/>
  </w:style>
  <w:style w:customStyle="1" w:styleId="Compact" w:type="paragraph">
    <w:name w:val="Compact"/>
    <w:basedOn w:val="BodyText"/>
    <w:qFormat/>
    <w:pPr>
      <w:spacing w:after="20" w:before="20" w:line="240" w:lineRule="auto"/>
      <w:jc w:val="left"/>
    </w:pPr>
    <w:rPr>
      <w:sz w:val="18"/>
      <w:szCs w:val="18"/>
    </w:r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qFormat/>
    <w:pPr>
      <w:keepNext/>
      <w:keepLines/>
      <w:spacing w:after="120" w:before="480" w:line="240" w:lineRule="auto"/>
      <w:outlineLvl w:val="0"/>
    </w:pPr>
    <w:rPr>
      <w:b/>
      <w:bCs/>
      <w:sz w:val="28"/>
      <w:szCs w:val="28"/>
    </w:rPr>
  </w:style>
  <w:style w:styleId="Heading2" w:type="paragraph">
    <w:name w:val="heading 2"/>
    <w:basedOn w:val="Normal"/>
    <w:next w:val="BodyText"/>
    <w:qFormat/>
    <w:pPr>
      <w:keepNext/>
      <w:keepLines/>
      <w:spacing w:after="120" w:before="360" w:line="240" w:lineRule="auto"/>
      <w:outlineLvl w:val="1"/>
    </w:pPr>
    <w:rPr>
      <w:b/>
      <w:bCs/>
      <w:sz w:val="24"/>
      <w:szCs w:val="24"/>
    </w:rPr>
  </w:style>
  <w:style w:styleId="Heading3" w:type="paragraph">
    <w:name w:val="heading 3"/>
    <w:basedOn w:val="Normal"/>
    <w:next w:val="BodyText"/>
    <w:qFormat/>
    <w:pPr>
      <w:keepNext/>
      <w:keepLines/>
      <w:spacing w:after="120" w:before="240" w:line="240" w:lineRule="auto"/>
      <w:outlineLvl w:val="2"/>
    </w:pPr>
    <w:rPr>
      <w:b/>
      <w:bCs/>
      <w:sz w:val="24"/>
      <w:szCs w:val="24"/>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Borders>
        <w:insideH w:color="BFBFBF" w:space="0" w:sz="4" w:val="single"/>
      </w:tblBorders>
      <w:tblCellMar>
        <w:top w:type="dxa" w:w="40"/>
        <w:left w:type="dxa" w:w="108"/>
        <w:bottom w:type="dxa" w:w="40"/>
        <w:right w:type="dxa" w:w="108"/>
      </w:tblCellMar>
    </w:tblPr>
    <w:tblStylePr w:type="firstRow">
      <w:tcPr>
        <w:tcBorders>
          <w:bottom w:color="000000"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ManuscriptTitle" w:type="paragraph">
    <w:name w:val="Manuscript Title"/>
    <w:basedOn w:val="Normal"/>
    <w:qFormat/>
    <w:pPr>
      <w:keepNext/>
      <w:spacing w:after="360" w:before="0" w:line="240" w:lineRule="auto"/>
    </w:pPr>
    <w:rPr>
      <w:b/>
      <w:bCs/>
      <w:sz w:val="36"/>
      <w:szCs w:val="36"/>
    </w:rPr>
  </w:style>
  <w:style w:customStyle="1" w:styleId="AuthorList" w:type="paragraph">
    <w:name w:val="Author List"/>
    <w:basedOn w:val="Normal"/>
    <w:qFormat/>
    <w:pPr>
      <w:spacing w:after="240" w:before="0" w:line="276" w:lineRule="auto"/>
    </w:pPr>
    <w:rPr/>
  </w:style>
  <w:style w:customStyle="1" w:styleId="Affiliation" w:type="paragraph">
    <w:name w:val="Affiliation"/>
    <w:basedOn w:val="Normal"/>
    <w:qFormat/>
    <w:pPr>
      <w:spacing w:after="60" w:before="0" w:line="240" w:lineRule="auto"/>
    </w:pPr>
    <w:rPr>
      <w:sz w:val="20"/>
      <w:szCs w:val="20"/>
    </w:rPr>
  </w:style>
  <w:style w:customStyle="1" w:styleId="FigureImage" w:type="paragraph">
    <w:name w:val="Figure Image"/>
    <w:basedOn w:val="Normal"/>
    <w:qFormat/>
    <w:pPr>
      <w:keepNext/>
      <w:spacing w:after="120" w:before="360" w:line="240" w:lineRule="auto"/>
      <w:jc w:val="center"/>
    </w:pPr>
    <w:rPr/>
  </w:style>
  <w:style w:customStyle="1" w:styleId="FigureLegend" w:type="paragraph">
    <w:name w:val="Figure Legend"/>
    <w:basedOn w:val="Normal"/>
    <w:qFormat/>
    <w:pPr>
      <w:spacing w:after="360" w:before="0" w:line="240" w:lineRule="auto"/>
      <w:jc w:val="both"/>
    </w:pPr>
    <w:rPr>
      <w:sz w:val="20"/>
      <w:szCs w:val="20"/>
    </w:rPr>
  </w:style>
  <w:style w:customStyle="1" w:styleId="TableTitle" w:type="paragraph">
    <w:name w:val="Table Title"/>
    <w:basedOn w:val="Normal"/>
    <w:qFormat/>
    <w:pPr>
      <w:keepNext/>
      <w:keepLines/>
      <w:spacing w:after="120" w:before="480" w:line="240" w:lineRule="auto"/>
    </w:pPr>
    <w:rPr>
      <w:sz w:val="20"/>
      <w:szCs w:val="20"/>
    </w:rPr>
  </w:style>
  <w:style w:customStyle="1" w:styleId="PartLabel" w:type="paragraph">
    <w:name w:val="Part Label"/>
    <w:basedOn w:val="Normal"/>
    <w:qFormat/>
    <w:pPr>
      <w:keepNext/>
      <w:spacing w:after="60" w:before="240" w:line="240" w:lineRule="auto"/>
    </w:pPr>
    <w:rPr>
      <w:sz w:val="20"/>
      <w:szCs w:val="20"/>
    </w:rPr>
  </w:style>
  <w:style w:customStyle="1" w:styleId="TableNote" w:type="paragraph">
    <w:name w:val="Table Note"/>
    <w:basedOn w:val="Normal"/>
    <w:qFormat/>
    <w:pPr>
      <w:spacing w:after="360" w:before="120" w:line="240" w:lineRule="auto"/>
      <w:jc w:val="both"/>
    </w:pPr>
    <w:rPr>
      <w:sz w:val="18"/>
      <w:szCs w:val="18"/>
    </w:rPr>
  </w:style>
  <w:style w:customStyle="1" w:styleId="Reference" w:type="paragraph">
    <w:name w:val="Reference"/>
    <w:basedOn w:val="Normal"/>
    <w:qFormat/>
    <w:pPr>
      <w:spacing w:after="60" w:before="0" w:line="240" w:lineRule="auto"/>
      <w:ind w:hanging="454" w:left="454"/>
    </w:pPr>
    <w:rPr>
      <w:sz w:val="20"/>
      <w:szCs w:val="20"/>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98" Target="numbering.xml" /><Relationship Type="http://schemas.openxmlformats.org/officeDocument/2006/relationships/styles" Id="rId97" Target="styles.xml" /><Relationship Type="http://schemas.openxmlformats.org/officeDocument/2006/relationships/settings" Id="rId96" Target="settings.xml" /><Relationship Type="http://schemas.openxmlformats.org/officeDocument/2006/relationships/webSettings" Id="rId95" Target="webSettings.xml" /><Relationship Type="http://schemas.openxmlformats.org/officeDocument/2006/relationships/fontTable" Id="rId94" Target="fontTable.xml" /><Relationship Type="http://schemas.openxmlformats.org/officeDocument/2006/relationships/theme" Id="rId93" Target="theme/theme1.xml" /><Relationship Type="http://schemas.openxmlformats.org/officeDocument/2006/relationships/footnotes" Id="rId92" Target="footnotes.xml" /><Relationship Type="http://schemas.openxmlformats.org/officeDocument/2006/relationships/comments" Id="rId91" Target="comments.xml" /><Relationship Id="rId90"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Times New Roman"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Times New Roman"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2026-10-19T14:50:26Z</dcterms:created>
  <dcterms:modified xsi:type="dcterms:W3CDTF">2026-10-19T14:50:26Z</dcterms:modified>
</cp:coreProperties>
</file>

<file path=docProps/custom.xml><?xml version="1.0" encoding="utf-8"?>
<Properties xmlns="http://schemas.openxmlformats.org/officeDocument/2006/custom-properties" xmlns:vt="http://schemas.openxmlformats.org/officeDocument/2006/docPropsVTypes"/>
</file>