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41" w:rightFromText="141" w:vertAnchor="page" w:tblpY="2161"/>
        <w:tblW w:w="14539" w:type="dxa"/>
        <w:tblLook w:val="04A0" w:firstRow="1" w:lastRow="0" w:firstColumn="1" w:lastColumn="0" w:noHBand="0" w:noVBand="1"/>
      </w:tblPr>
      <w:tblGrid>
        <w:gridCol w:w="540"/>
        <w:gridCol w:w="2217"/>
        <w:gridCol w:w="1002"/>
        <w:gridCol w:w="661"/>
        <w:gridCol w:w="751"/>
        <w:gridCol w:w="762"/>
        <w:gridCol w:w="732"/>
        <w:gridCol w:w="685"/>
        <w:gridCol w:w="667"/>
        <w:gridCol w:w="667"/>
        <w:gridCol w:w="762"/>
        <w:gridCol w:w="685"/>
        <w:gridCol w:w="762"/>
        <w:gridCol w:w="767"/>
        <w:gridCol w:w="549"/>
        <w:gridCol w:w="730"/>
        <w:gridCol w:w="620"/>
        <w:gridCol w:w="980"/>
      </w:tblGrid>
      <w:tr w:rsidR="00AE1E82" w:rsidRPr="00AE1E82" w14:paraId="74CF92A3" w14:textId="77777777" w:rsidTr="00E53CBB">
        <w:trPr>
          <w:trHeight w:val="80"/>
        </w:trPr>
        <w:tc>
          <w:tcPr>
            <w:tcW w:w="540" w:type="dxa"/>
            <w:vMerge w:val="restart"/>
            <w:vAlign w:val="center"/>
            <w:hideMark/>
          </w:tcPr>
          <w:p w14:paraId="6103948E" w14:textId="54525CF0" w:rsidR="00AE1E82" w:rsidRPr="00AE1E82" w:rsidRDefault="005A0A03" w:rsidP="00E53CB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2217" w:type="dxa"/>
            <w:vMerge w:val="restart"/>
            <w:vAlign w:val="center"/>
            <w:hideMark/>
          </w:tcPr>
          <w:p w14:paraId="6166E80C" w14:textId="7024D187" w:rsidR="00AE1E82" w:rsidRPr="00AE1E82" w:rsidRDefault="00AE1E82" w:rsidP="00E53CB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AE1E8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author</w:t>
            </w:r>
            <w:proofErr w:type="spellEnd"/>
            <w:r w:rsidR="005A0A0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E1E8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year</w:t>
            </w:r>
            <w:proofErr w:type="spellEnd"/>
          </w:p>
        </w:tc>
        <w:tc>
          <w:tcPr>
            <w:tcW w:w="1002" w:type="dxa"/>
            <w:hideMark/>
          </w:tcPr>
          <w:p w14:paraId="43E0F3BE" w14:textId="2421B89F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E1E8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661" w:type="dxa"/>
            <w:hideMark/>
          </w:tcPr>
          <w:p w14:paraId="27F3A2A2" w14:textId="56F13520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E1E8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751" w:type="dxa"/>
            <w:hideMark/>
          </w:tcPr>
          <w:p w14:paraId="48B2D5D3" w14:textId="5F3E8A04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E1E8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762" w:type="dxa"/>
            <w:hideMark/>
          </w:tcPr>
          <w:p w14:paraId="0FC1E99B" w14:textId="0E9D113C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E1E8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4</w:t>
            </w:r>
          </w:p>
        </w:tc>
        <w:tc>
          <w:tcPr>
            <w:tcW w:w="732" w:type="dxa"/>
            <w:hideMark/>
          </w:tcPr>
          <w:p w14:paraId="1D2B8CA5" w14:textId="08C0A505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E1E8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5</w:t>
            </w:r>
          </w:p>
        </w:tc>
        <w:tc>
          <w:tcPr>
            <w:tcW w:w="685" w:type="dxa"/>
            <w:hideMark/>
          </w:tcPr>
          <w:p w14:paraId="2ABF454C" w14:textId="35087793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E1E8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667" w:type="dxa"/>
            <w:hideMark/>
          </w:tcPr>
          <w:p w14:paraId="06D246A9" w14:textId="59C1628E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E1E8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7</w:t>
            </w:r>
          </w:p>
        </w:tc>
        <w:tc>
          <w:tcPr>
            <w:tcW w:w="667" w:type="dxa"/>
            <w:hideMark/>
          </w:tcPr>
          <w:p w14:paraId="4BED70E6" w14:textId="43EBA07D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E1E8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8</w:t>
            </w:r>
          </w:p>
        </w:tc>
        <w:tc>
          <w:tcPr>
            <w:tcW w:w="762" w:type="dxa"/>
            <w:hideMark/>
          </w:tcPr>
          <w:p w14:paraId="6F110789" w14:textId="564A393B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E1E8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9</w:t>
            </w:r>
          </w:p>
        </w:tc>
        <w:tc>
          <w:tcPr>
            <w:tcW w:w="685" w:type="dxa"/>
            <w:hideMark/>
          </w:tcPr>
          <w:p w14:paraId="7B5B06C1" w14:textId="2EBFC47D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E1E8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10</w:t>
            </w:r>
          </w:p>
        </w:tc>
        <w:tc>
          <w:tcPr>
            <w:tcW w:w="762" w:type="dxa"/>
            <w:hideMark/>
          </w:tcPr>
          <w:p w14:paraId="6E1F2135" w14:textId="0E250939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E1E8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11</w:t>
            </w:r>
          </w:p>
        </w:tc>
        <w:tc>
          <w:tcPr>
            <w:tcW w:w="767" w:type="dxa"/>
            <w:hideMark/>
          </w:tcPr>
          <w:p w14:paraId="3B49DB46" w14:textId="48746049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E1E8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12</w:t>
            </w:r>
          </w:p>
        </w:tc>
        <w:tc>
          <w:tcPr>
            <w:tcW w:w="549" w:type="dxa"/>
            <w:hideMark/>
          </w:tcPr>
          <w:p w14:paraId="1B6DF15C" w14:textId="559C3092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E1E8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13</w:t>
            </w:r>
          </w:p>
        </w:tc>
        <w:tc>
          <w:tcPr>
            <w:tcW w:w="730" w:type="dxa"/>
            <w:hideMark/>
          </w:tcPr>
          <w:p w14:paraId="63D12399" w14:textId="7FB24689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E1E8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14</w:t>
            </w:r>
          </w:p>
        </w:tc>
        <w:tc>
          <w:tcPr>
            <w:tcW w:w="620" w:type="dxa"/>
            <w:vMerge w:val="restart"/>
            <w:hideMark/>
          </w:tcPr>
          <w:p w14:paraId="694F81DE" w14:textId="2CBC59D0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Total score</w:t>
            </w:r>
          </w:p>
        </w:tc>
        <w:tc>
          <w:tcPr>
            <w:tcW w:w="980" w:type="dxa"/>
            <w:vMerge w:val="restart"/>
            <w:hideMark/>
          </w:tcPr>
          <w:p w14:paraId="2A3600F5" w14:textId="63B51941" w:rsidR="00AE1E82" w:rsidRPr="00AE1E82" w:rsidRDefault="0034366E" w:rsidP="00E53CB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E1E8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Quality</w:t>
            </w:r>
            <w:r w:rsidR="00AE1E82" w:rsidRPr="00AE1E8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rating</w:t>
            </w:r>
          </w:p>
        </w:tc>
      </w:tr>
      <w:tr w:rsidR="00AE1E82" w:rsidRPr="0025347C" w14:paraId="3FDB796A" w14:textId="77777777" w:rsidTr="00E53CBB">
        <w:trPr>
          <w:trHeight w:val="134"/>
        </w:trPr>
        <w:tc>
          <w:tcPr>
            <w:tcW w:w="540" w:type="dxa"/>
            <w:vMerge/>
            <w:hideMark/>
          </w:tcPr>
          <w:p w14:paraId="6A7EABFE" w14:textId="77777777" w:rsidR="00AE1E82" w:rsidRPr="00AE1E82" w:rsidRDefault="00AE1E82" w:rsidP="00E53CB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217" w:type="dxa"/>
            <w:vMerge/>
            <w:hideMark/>
          </w:tcPr>
          <w:p w14:paraId="1899146E" w14:textId="77777777" w:rsidR="00AE1E82" w:rsidRPr="00AE1E82" w:rsidRDefault="00AE1E82" w:rsidP="00E53CB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0182" w:type="dxa"/>
            <w:gridSpan w:val="14"/>
            <w:noWrap/>
            <w:hideMark/>
          </w:tcPr>
          <w:p w14:paraId="1A74A83F" w14:textId="50CE4951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E1E8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Yes (1), </w:t>
            </w:r>
            <w:proofErr w:type="gramStart"/>
            <w:r w:rsidRPr="00AE1E8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No(</w:t>
            </w:r>
            <w:proofErr w:type="gramEnd"/>
            <w:r w:rsidRPr="00AE1E8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0), Other (CD, NR, </w:t>
            </w:r>
            <w:proofErr w:type="gramStart"/>
            <w:r w:rsidRPr="00AE1E8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NA)*</w:t>
            </w:r>
            <w:proofErr w:type="gramEnd"/>
            <w:r w:rsidRPr="00AE1E8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"*CD, cannot determine; NA, not applicable; NR, not reported"</w:t>
            </w:r>
          </w:p>
        </w:tc>
        <w:tc>
          <w:tcPr>
            <w:tcW w:w="620" w:type="dxa"/>
            <w:vMerge/>
            <w:hideMark/>
          </w:tcPr>
          <w:p w14:paraId="0867343C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980" w:type="dxa"/>
            <w:vMerge/>
            <w:hideMark/>
          </w:tcPr>
          <w:p w14:paraId="7A4B8FE0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</w:tr>
      <w:tr w:rsidR="00AE1E82" w:rsidRPr="00AE1E82" w14:paraId="371637D6" w14:textId="77777777" w:rsidTr="00E53CBB">
        <w:trPr>
          <w:trHeight w:val="161"/>
        </w:trPr>
        <w:tc>
          <w:tcPr>
            <w:tcW w:w="540" w:type="dxa"/>
            <w:hideMark/>
          </w:tcPr>
          <w:p w14:paraId="2987071C" w14:textId="77777777" w:rsidR="00AE1E82" w:rsidRPr="00AE1E82" w:rsidRDefault="00AE1E82" w:rsidP="00E53C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17" w:type="dxa"/>
            <w:noWrap/>
            <w:hideMark/>
          </w:tcPr>
          <w:p w14:paraId="3C28980F" w14:textId="2C7BFB66" w:rsidR="00AE1E82" w:rsidRPr="00AE1E82" w:rsidRDefault="00AE1E82" w:rsidP="00E53C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Kufe</w:t>
            </w:r>
            <w:proofErr w:type="spellEnd"/>
            <w:r w:rsidRPr="00AE1E82">
              <w:rPr>
                <w:rFonts w:ascii="Times New Roman" w:hAnsi="Times New Roman" w:cs="Times New Roman"/>
                <w:sz w:val="18"/>
                <w:szCs w:val="18"/>
              </w:rPr>
              <w:t xml:space="preserve"> et al., 2015</w:t>
            </w:r>
          </w:p>
        </w:tc>
        <w:tc>
          <w:tcPr>
            <w:tcW w:w="1002" w:type="dxa"/>
            <w:hideMark/>
          </w:tcPr>
          <w:p w14:paraId="7C5E5DF3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1" w:type="dxa"/>
            <w:hideMark/>
          </w:tcPr>
          <w:p w14:paraId="4B471FB3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51" w:type="dxa"/>
            <w:hideMark/>
          </w:tcPr>
          <w:p w14:paraId="0297E994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62" w:type="dxa"/>
            <w:hideMark/>
          </w:tcPr>
          <w:p w14:paraId="18E87430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32" w:type="dxa"/>
            <w:hideMark/>
          </w:tcPr>
          <w:p w14:paraId="28BE095E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85" w:type="dxa"/>
            <w:hideMark/>
          </w:tcPr>
          <w:p w14:paraId="1D7A20E9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67" w:type="dxa"/>
            <w:hideMark/>
          </w:tcPr>
          <w:p w14:paraId="714D423D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67" w:type="dxa"/>
            <w:hideMark/>
          </w:tcPr>
          <w:p w14:paraId="3BF315D2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62" w:type="dxa"/>
            <w:hideMark/>
          </w:tcPr>
          <w:p w14:paraId="7798F646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85" w:type="dxa"/>
            <w:hideMark/>
          </w:tcPr>
          <w:p w14:paraId="422CC53B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62" w:type="dxa"/>
            <w:hideMark/>
          </w:tcPr>
          <w:p w14:paraId="4A972E31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67" w:type="dxa"/>
            <w:hideMark/>
          </w:tcPr>
          <w:p w14:paraId="24D3EBC3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549" w:type="dxa"/>
            <w:hideMark/>
          </w:tcPr>
          <w:p w14:paraId="71086922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730" w:type="dxa"/>
            <w:hideMark/>
          </w:tcPr>
          <w:p w14:paraId="6AB640A0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0" w:type="dxa"/>
            <w:hideMark/>
          </w:tcPr>
          <w:p w14:paraId="6CDA1CF4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80" w:type="dxa"/>
            <w:hideMark/>
          </w:tcPr>
          <w:p w14:paraId="0695ACE3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Fair</w:t>
            </w:r>
          </w:p>
        </w:tc>
      </w:tr>
      <w:tr w:rsidR="00AE1E82" w:rsidRPr="00AE1E82" w14:paraId="48BACC96" w14:textId="77777777" w:rsidTr="00E53CBB">
        <w:trPr>
          <w:trHeight w:val="170"/>
        </w:trPr>
        <w:tc>
          <w:tcPr>
            <w:tcW w:w="540" w:type="dxa"/>
            <w:noWrap/>
            <w:hideMark/>
          </w:tcPr>
          <w:p w14:paraId="56B8C469" w14:textId="77777777" w:rsidR="00AE1E82" w:rsidRPr="00AE1E82" w:rsidRDefault="00AE1E82" w:rsidP="00E53C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17" w:type="dxa"/>
            <w:noWrap/>
            <w:hideMark/>
          </w:tcPr>
          <w:p w14:paraId="0953D1DB" w14:textId="3ADA000F" w:rsidR="00AE1E82" w:rsidRPr="00AE1E82" w:rsidRDefault="00AE1E82" w:rsidP="00E53C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Mbanya et al., 1997</w:t>
            </w:r>
          </w:p>
        </w:tc>
        <w:tc>
          <w:tcPr>
            <w:tcW w:w="1002" w:type="dxa"/>
            <w:noWrap/>
            <w:hideMark/>
          </w:tcPr>
          <w:p w14:paraId="6FA66CA3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1" w:type="dxa"/>
            <w:noWrap/>
            <w:hideMark/>
          </w:tcPr>
          <w:p w14:paraId="5EA29E40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51" w:type="dxa"/>
            <w:noWrap/>
            <w:hideMark/>
          </w:tcPr>
          <w:p w14:paraId="1F9DF2F7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62" w:type="dxa"/>
            <w:noWrap/>
            <w:hideMark/>
          </w:tcPr>
          <w:p w14:paraId="097EAEEC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32" w:type="dxa"/>
            <w:noWrap/>
            <w:hideMark/>
          </w:tcPr>
          <w:p w14:paraId="5C094842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85" w:type="dxa"/>
            <w:noWrap/>
            <w:hideMark/>
          </w:tcPr>
          <w:p w14:paraId="6B25F27A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667" w:type="dxa"/>
            <w:noWrap/>
            <w:hideMark/>
          </w:tcPr>
          <w:p w14:paraId="29D41EBE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667" w:type="dxa"/>
            <w:noWrap/>
            <w:hideMark/>
          </w:tcPr>
          <w:p w14:paraId="49AC3291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762" w:type="dxa"/>
            <w:noWrap/>
            <w:hideMark/>
          </w:tcPr>
          <w:p w14:paraId="6E1CD2D1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85" w:type="dxa"/>
            <w:noWrap/>
            <w:hideMark/>
          </w:tcPr>
          <w:p w14:paraId="62D09C93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762" w:type="dxa"/>
            <w:noWrap/>
            <w:hideMark/>
          </w:tcPr>
          <w:p w14:paraId="7813AEF5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67" w:type="dxa"/>
            <w:noWrap/>
            <w:hideMark/>
          </w:tcPr>
          <w:p w14:paraId="262BDB00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CD/NR</w:t>
            </w:r>
          </w:p>
        </w:tc>
        <w:tc>
          <w:tcPr>
            <w:tcW w:w="549" w:type="dxa"/>
            <w:noWrap/>
            <w:hideMark/>
          </w:tcPr>
          <w:p w14:paraId="7B7D5B59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730" w:type="dxa"/>
            <w:noWrap/>
            <w:hideMark/>
          </w:tcPr>
          <w:p w14:paraId="1326690F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0" w:type="dxa"/>
            <w:noWrap/>
            <w:hideMark/>
          </w:tcPr>
          <w:p w14:paraId="43992483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980" w:type="dxa"/>
            <w:noWrap/>
            <w:hideMark/>
          </w:tcPr>
          <w:p w14:paraId="651A9B0A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Fair</w:t>
            </w:r>
          </w:p>
        </w:tc>
      </w:tr>
      <w:tr w:rsidR="00AE1E82" w:rsidRPr="00AE1E82" w14:paraId="417B9861" w14:textId="77777777" w:rsidTr="00E53CBB">
        <w:trPr>
          <w:trHeight w:val="64"/>
        </w:trPr>
        <w:tc>
          <w:tcPr>
            <w:tcW w:w="540" w:type="dxa"/>
            <w:noWrap/>
            <w:hideMark/>
          </w:tcPr>
          <w:p w14:paraId="6E9E882D" w14:textId="77777777" w:rsidR="00AE1E82" w:rsidRPr="00AE1E82" w:rsidRDefault="00AE1E82" w:rsidP="00E53C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217" w:type="dxa"/>
            <w:noWrap/>
            <w:hideMark/>
          </w:tcPr>
          <w:p w14:paraId="52DB0FB2" w14:textId="59766EC5" w:rsidR="00AE1E82" w:rsidRPr="00AE1E82" w:rsidRDefault="00AE1E82" w:rsidP="00E53C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Mbanya et al., 1997</w:t>
            </w:r>
          </w:p>
        </w:tc>
        <w:tc>
          <w:tcPr>
            <w:tcW w:w="1002" w:type="dxa"/>
            <w:noWrap/>
            <w:hideMark/>
          </w:tcPr>
          <w:p w14:paraId="38F6087D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1" w:type="dxa"/>
            <w:noWrap/>
            <w:hideMark/>
          </w:tcPr>
          <w:p w14:paraId="51B081AB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51" w:type="dxa"/>
            <w:noWrap/>
            <w:hideMark/>
          </w:tcPr>
          <w:p w14:paraId="7B6B6A4A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62" w:type="dxa"/>
            <w:noWrap/>
            <w:hideMark/>
          </w:tcPr>
          <w:p w14:paraId="62D98BAC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32" w:type="dxa"/>
            <w:noWrap/>
            <w:hideMark/>
          </w:tcPr>
          <w:p w14:paraId="4ED029D0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85" w:type="dxa"/>
            <w:noWrap/>
            <w:hideMark/>
          </w:tcPr>
          <w:p w14:paraId="22E0F2B8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667" w:type="dxa"/>
            <w:noWrap/>
            <w:hideMark/>
          </w:tcPr>
          <w:p w14:paraId="2ACC54BC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667" w:type="dxa"/>
            <w:noWrap/>
            <w:hideMark/>
          </w:tcPr>
          <w:p w14:paraId="7BDB8C9B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62" w:type="dxa"/>
            <w:noWrap/>
            <w:hideMark/>
          </w:tcPr>
          <w:p w14:paraId="30AE0E1F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85" w:type="dxa"/>
            <w:noWrap/>
            <w:hideMark/>
          </w:tcPr>
          <w:p w14:paraId="20607FD3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762" w:type="dxa"/>
            <w:noWrap/>
            <w:hideMark/>
          </w:tcPr>
          <w:p w14:paraId="31147CD9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67" w:type="dxa"/>
            <w:noWrap/>
            <w:hideMark/>
          </w:tcPr>
          <w:p w14:paraId="7A065756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549" w:type="dxa"/>
            <w:noWrap/>
            <w:hideMark/>
          </w:tcPr>
          <w:p w14:paraId="60517B85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730" w:type="dxa"/>
            <w:noWrap/>
            <w:hideMark/>
          </w:tcPr>
          <w:p w14:paraId="30FC9221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0" w:type="dxa"/>
            <w:noWrap/>
            <w:hideMark/>
          </w:tcPr>
          <w:p w14:paraId="647EDCA5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80" w:type="dxa"/>
            <w:noWrap/>
            <w:hideMark/>
          </w:tcPr>
          <w:p w14:paraId="71E38BEB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Fair</w:t>
            </w:r>
          </w:p>
        </w:tc>
      </w:tr>
      <w:tr w:rsidR="00AE1E82" w:rsidRPr="00AE1E82" w14:paraId="363E0A50" w14:textId="77777777" w:rsidTr="00E53CBB">
        <w:trPr>
          <w:trHeight w:val="64"/>
        </w:trPr>
        <w:tc>
          <w:tcPr>
            <w:tcW w:w="540" w:type="dxa"/>
            <w:noWrap/>
            <w:hideMark/>
          </w:tcPr>
          <w:p w14:paraId="1395BB5C" w14:textId="77777777" w:rsidR="00AE1E82" w:rsidRPr="00AE1E82" w:rsidRDefault="00AE1E82" w:rsidP="00E53C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217" w:type="dxa"/>
            <w:noWrap/>
            <w:hideMark/>
          </w:tcPr>
          <w:p w14:paraId="724162C1" w14:textId="2B7C0E07" w:rsidR="00AE1E82" w:rsidRPr="00AE1E82" w:rsidRDefault="00AE1E82" w:rsidP="00E53C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Anderson et al., 2011</w:t>
            </w:r>
          </w:p>
        </w:tc>
        <w:tc>
          <w:tcPr>
            <w:tcW w:w="1002" w:type="dxa"/>
            <w:noWrap/>
            <w:hideMark/>
          </w:tcPr>
          <w:p w14:paraId="51767801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1" w:type="dxa"/>
            <w:hideMark/>
          </w:tcPr>
          <w:p w14:paraId="48E69BCC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51" w:type="dxa"/>
            <w:noWrap/>
            <w:hideMark/>
          </w:tcPr>
          <w:p w14:paraId="51F3CE5B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62" w:type="dxa"/>
            <w:noWrap/>
            <w:hideMark/>
          </w:tcPr>
          <w:p w14:paraId="11404C75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32" w:type="dxa"/>
            <w:noWrap/>
            <w:hideMark/>
          </w:tcPr>
          <w:p w14:paraId="6AC1DE59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85" w:type="dxa"/>
            <w:noWrap/>
            <w:hideMark/>
          </w:tcPr>
          <w:p w14:paraId="2A7BDEDD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667" w:type="dxa"/>
            <w:noWrap/>
            <w:hideMark/>
          </w:tcPr>
          <w:p w14:paraId="6D2198A7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667" w:type="dxa"/>
            <w:noWrap/>
            <w:hideMark/>
          </w:tcPr>
          <w:p w14:paraId="3CEA2CBD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62" w:type="dxa"/>
            <w:noWrap/>
            <w:hideMark/>
          </w:tcPr>
          <w:p w14:paraId="7EC3220D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85" w:type="dxa"/>
            <w:noWrap/>
            <w:hideMark/>
          </w:tcPr>
          <w:p w14:paraId="1EFE534C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762" w:type="dxa"/>
            <w:noWrap/>
            <w:hideMark/>
          </w:tcPr>
          <w:p w14:paraId="1DCE46C7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67" w:type="dxa"/>
            <w:noWrap/>
            <w:hideMark/>
          </w:tcPr>
          <w:p w14:paraId="0D7E14AA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549" w:type="dxa"/>
            <w:noWrap/>
            <w:hideMark/>
          </w:tcPr>
          <w:p w14:paraId="38EB8577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730" w:type="dxa"/>
            <w:noWrap/>
            <w:hideMark/>
          </w:tcPr>
          <w:p w14:paraId="3E6BF98D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0" w:type="dxa"/>
            <w:noWrap/>
            <w:hideMark/>
          </w:tcPr>
          <w:p w14:paraId="4F516F76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80" w:type="dxa"/>
            <w:noWrap/>
            <w:hideMark/>
          </w:tcPr>
          <w:p w14:paraId="022DE886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Fair</w:t>
            </w:r>
          </w:p>
        </w:tc>
      </w:tr>
      <w:tr w:rsidR="00AE1E82" w:rsidRPr="00AE1E82" w14:paraId="13A4AB18" w14:textId="77777777" w:rsidTr="00E53CBB">
        <w:trPr>
          <w:trHeight w:val="188"/>
        </w:trPr>
        <w:tc>
          <w:tcPr>
            <w:tcW w:w="540" w:type="dxa"/>
            <w:noWrap/>
            <w:hideMark/>
          </w:tcPr>
          <w:p w14:paraId="7AE097CF" w14:textId="77777777" w:rsidR="00AE1E82" w:rsidRPr="00AE1E82" w:rsidRDefault="00AE1E82" w:rsidP="00E53C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217" w:type="dxa"/>
            <w:noWrap/>
            <w:hideMark/>
          </w:tcPr>
          <w:p w14:paraId="152CD4DE" w14:textId="6C06F1F6" w:rsidR="00AE1E82" w:rsidRPr="00AE1E82" w:rsidRDefault="00AE1E82" w:rsidP="00E53C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Mbanya et al., 1999</w:t>
            </w:r>
          </w:p>
        </w:tc>
        <w:tc>
          <w:tcPr>
            <w:tcW w:w="1002" w:type="dxa"/>
            <w:noWrap/>
            <w:hideMark/>
          </w:tcPr>
          <w:p w14:paraId="73EEF514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1" w:type="dxa"/>
            <w:hideMark/>
          </w:tcPr>
          <w:p w14:paraId="313CF574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51" w:type="dxa"/>
            <w:noWrap/>
            <w:hideMark/>
          </w:tcPr>
          <w:p w14:paraId="0AA14048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62" w:type="dxa"/>
            <w:noWrap/>
            <w:hideMark/>
          </w:tcPr>
          <w:p w14:paraId="672BB52A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32" w:type="dxa"/>
            <w:noWrap/>
            <w:hideMark/>
          </w:tcPr>
          <w:p w14:paraId="12D1F024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85" w:type="dxa"/>
            <w:noWrap/>
            <w:hideMark/>
          </w:tcPr>
          <w:p w14:paraId="1AF64D6D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667" w:type="dxa"/>
            <w:noWrap/>
            <w:hideMark/>
          </w:tcPr>
          <w:p w14:paraId="760518D9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667" w:type="dxa"/>
            <w:noWrap/>
            <w:hideMark/>
          </w:tcPr>
          <w:p w14:paraId="3C973D42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62" w:type="dxa"/>
            <w:noWrap/>
            <w:hideMark/>
          </w:tcPr>
          <w:p w14:paraId="1115F3B5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85" w:type="dxa"/>
            <w:noWrap/>
            <w:hideMark/>
          </w:tcPr>
          <w:p w14:paraId="12331B5B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762" w:type="dxa"/>
            <w:noWrap/>
            <w:hideMark/>
          </w:tcPr>
          <w:p w14:paraId="4DAD392A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67" w:type="dxa"/>
            <w:noWrap/>
            <w:hideMark/>
          </w:tcPr>
          <w:p w14:paraId="0976E890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549" w:type="dxa"/>
            <w:noWrap/>
            <w:hideMark/>
          </w:tcPr>
          <w:p w14:paraId="31C489CC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730" w:type="dxa"/>
            <w:noWrap/>
            <w:hideMark/>
          </w:tcPr>
          <w:p w14:paraId="5BE71466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0" w:type="dxa"/>
            <w:noWrap/>
            <w:hideMark/>
          </w:tcPr>
          <w:p w14:paraId="4B067D39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80" w:type="dxa"/>
            <w:noWrap/>
            <w:hideMark/>
          </w:tcPr>
          <w:p w14:paraId="52FECA53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Fair</w:t>
            </w:r>
          </w:p>
        </w:tc>
      </w:tr>
      <w:tr w:rsidR="00AE1E82" w:rsidRPr="00AE1E82" w14:paraId="4172223E" w14:textId="77777777" w:rsidTr="00E53CBB">
        <w:trPr>
          <w:trHeight w:val="116"/>
        </w:trPr>
        <w:tc>
          <w:tcPr>
            <w:tcW w:w="540" w:type="dxa"/>
            <w:noWrap/>
            <w:hideMark/>
          </w:tcPr>
          <w:p w14:paraId="724F269D" w14:textId="77777777" w:rsidR="00AE1E82" w:rsidRPr="00AE1E82" w:rsidRDefault="00AE1E82" w:rsidP="00E53C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217" w:type="dxa"/>
            <w:noWrap/>
            <w:hideMark/>
          </w:tcPr>
          <w:p w14:paraId="61894520" w14:textId="2A3502CB" w:rsidR="00AE1E82" w:rsidRPr="00AE1E82" w:rsidRDefault="00AE1E82" w:rsidP="00E53C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Mbouemboue et al., 2016</w:t>
            </w:r>
          </w:p>
        </w:tc>
        <w:tc>
          <w:tcPr>
            <w:tcW w:w="1002" w:type="dxa"/>
            <w:noWrap/>
            <w:hideMark/>
          </w:tcPr>
          <w:p w14:paraId="6A2DD2A3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1" w:type="dxa"/>
            <w:hideMark/>
          </w:tcPr>
          <w:p w14:paraId="7AF69446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51" w:type="dxa"/>
            <w:noWrap/>
            <w:hideMark/>
          </w:tcPr>
          <w:p w14:paraId="60A33232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762" w:type="dxa"/>
            <w:noWrap/>
            <w:hideMark/>
          </w:tcPr>
          <w:p w14:paraId="6FC9903D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32" w:type="dxa"/>
            <w:noWrap/>
            <w:hideMark/>
          </w:tcPr>
          <w:p w14:paraId="22AF5977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85" w:type="dxa"/>
            <w:noWrap/>
            <w:hideMark/>
          </w:tcPr>
          <w:p w14:paraId="3C07F3E3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67" w:type="dxa"/>
            <w:noWrap/>
            <w:hideMark/>
          </w:tcPr>
          <w:p w14:paraId="18241426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7" w:type="dxa"/>
            <w:noWrap/>
            <w:hideMark/>
          </w:tcPr>
          <w:p w14:paraId="3B25B0A0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62" w:type="dxa"/>
            <w:noWrap/>
            <w:hideMark/>
          </w:tcPr>
          <w:p w14:paraId="2FF5B428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85" w:type="dxa"/>
            <w:noWrap/>
            <w:hideMark/>
          </w:tcPr>
          <w:p w14:paraId="000D27B2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62" w:type="dxa"/>
            <w:noWrap/>
            <w:hideMark/>
          </w:tcPr>
          <w:p w14:paraId="13B87DE1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67" w:type="dxa"/>
            <w:noWrap/>
            <w:hideMark/>
          </w:tcPr>
          <w:p w14:paraId="27C1ECA5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549" w:type="dxa"/>
            <w:noWrap/>
            <w:hideMark/>
          </w:tcPr>
          <w:p w14:paraId="55A03726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730" w:type="dxa"/>
            <w:noWrap/>
            <w:hideMark/>
          </w:tcPr>
          <w:p w14:paraId="7E707FD2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0" w:type="dxa"/>
            <w:noWrap/>
            <w:hideMark/>
          </w:tcPr>
          <w:p w14:paraId="3CE4A562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80" w:type="dxa"/>
            <w:noWrap/>
            <w:hideMark/>
          </w:tcPr>
          <w:p w14:paraId="2AA97173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Fair</w:t>
            </w:r>
          </w:p>
        </w:tc>
      </w:tr>
      <w:tr w:rsidR="00AE1E82" w:rsidRPr="00AE1E82" w14:paraId="78363C51" w14:textId="77777777" w:rsidTr="00E53CBB">
        <w:trPr>
          <w:trHeight w:val="64"/>
        </w:trPr>
        <w:tc>
          <w:tcPr>
            <w:tcW w:w="540" w:type="dxa"/>
            <w:noWrap/>
            <w:hideMark/>
          </w:tcPr>
          <w:p w14:paraId="3E824F7A" w14:textId="77777777" w:rsidR="00AE1E82" w:rsidRPr="00AE1E82" w:rsidRDefault="00AE1E82" w:rsidP="00E53C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217" w:type="dxa"/>
            <w:noWrap/>
            <w:hideMark/>
          </w:tcPr>
          <w:p w14:paraId="282FC7AD" w14:textId="071F5FC2" w:rsidR="00AE1E82" w:rsidRPr="00AE1E82" w:rsidRDefault="00AE1E82" w:rsidP="00E53C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Kufe</w:t>
            </w:r>
            <w:proofErr w:type="spellEnd"/>
            <w:r w:rsidRPr="00AE1E82">
              <w:rPr>
                <w:rFonts w:ascii="Times New Roman" w:hAnsi="Times New Roman" w:cs="Times New Roman"/>
                <w:sz w:val="18"/>
                <w:szCs w:val="18"/>
              </w:rPr>
              <w:t xml:space="preserve"> et al., 2016</w:t>
            </w:r>
          </w:p>
        </w:tc>
        <w:tc>
          <w:tcPr>
            <w:tcW w:w="1002" w:type="dxa"/>
            <w:noWrap/>
            <w:hideMark/>
          </w:tcPr>
          <w:p w14:paraId="4C0BEED8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1" w:type="dxa"/>
            <w:hideMark/>
          </w:tcPr>
          <w:p w14:paraId="00D6BAC0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51" w:type="dxa"/>
            <w:noWrap/>
            <w:hideMark/>
          </w:tcPr>
          <w:p w14:paraId="48C708E7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62" w:type="dxa"/>
            <w:noWrap/>
            <w:hideMark/>
          </w:tcPr>
          <w:p w14:paraId="16AD65C1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32" w:type="dxa"/>
            <w:noWrap/>
            <w:hideMark/>
          </w:tcPr>
          <w:p w14:paraId="15256845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85" w:type="dxa"/>
            <w:noWrap/>
            <w:hideMark/>
          </w:tcPr>
          <w:p w14:paraId="571DD9A9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67" w:type="dxa"/>
            <w:noWrap/>
            <w:hideMark/>
          </w:tcPr>
          <w:p w14:paraId="2F3403E2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7" w:type="dxa"/>
            <w:noWrap/>
            <w:hideMark/>
          </w:tcPr>
          <w:p w14:paraId="7985C69F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62" w:type="dxa"/>
            <w:noWrap/>
            <w:hideMark/>
          </w:tcPr>
          <w:p w14:paraId="1C21B395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85" w:type="dxa"/>
            <w:noWrap/>
            <w:hideMark/>
          </w:tcPr>
          <w:p w14:paraId="53F30B4F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62" w:type="dxa"/>
            <w:noWrap/>
            <w:hideMark/>
          </w:tcPr>
          <w:p w14:paraId="2E05A7AC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67" w:type="dxa"/>
            <w:noWrap/>
            <w:hideMark/>
          </w:tcPr>
          <w:p w14:paraId="29FE4063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549" w:type="dxa"/>
            <w:noWrap/>
            <w:hideMark/>
          </w:tcPr>
          <w:p w14:paraId="19F8D3B5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730" w:type="dxa"/>
            <w:noWrap/>
            <w:hideMark/>
          </w:tcPr>
          <w:p w14:paraId="79DE9400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0" w:type="dxa"/>
            <w:noWrap/>
            <w:hideMark/>
          </w:tcPr>
          <w:p w14:paraId="6AE0CE9D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980" w:type="dxa"/>
            <w:noWrap/>
            <w:hideMark/>
          </w:tcPr>
          <w:p w14:paraId="4D635EBC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Good</w:t>
            </w:r>
            <w:proofErr w:type="spellEnd"/>
          </w:p>
        </w:tc>
      </w:tr>
      <w:tr w:rsidR="00AE1E82" w:rsidRPr="00AE1E82" w14:paraId="40108229" w14:textId="77777777" w:rsidTr="00E53CBB">
        <w:trPr>
          <w:trHeight w:val="89"/>
        </w:trPr>
        <w:tc>
          <w:tcPr>
            <w:tcW w:w="540" w:type="dxa"/>
            <w:noWrap/>
            <w:hideMark/>
          </w:tcPr>
          <w:p w14:paraId="5F7963E3" w14:textId="77777777" w:rsidR="00AE1E82" w:rsidRPr="00AE1E82" w:rsidRDefault="00AE1E82" w:rsidP="00E53C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217" w:type="dxa"/>
            <w:noWrap/>
            <w:hideMark/>
          </w:tcPr>
          <w:p w14:paraId="4EF9DBD2" w14:textId="160EFCAC" w:rsidR="00AE1E82" w:rsidRPr="00AE1E82" w:rsidRDefault="00AE1E82" w:rsidP="00E53C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Kaze et al., 2015</w:t>
            </w:r>
          </w:p>
        </w:tc>
        <w:tc>
          <w:tcPr>
            <w:tcW w:w="1002" w:type="dxa"/>
            <w:noWrap/>
            <w:hideMark/>
          </w:tcPr>
          <w:p w14:paraId="6272F7C1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1" w:type="dxa"/>
            <w:hideMark/>
          </w:tcPr>
          <w:p w14:paraId="6F97999A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51" w:type="dxa"/>
            <w:noWrap/>
            <w:hideMark/>
          </w:tcPr>
          <w:p w14:paraId="25EC97C4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62" w:type="dxa"/>
            <w:noWrap/>
            <w:hideMark/>
          </w:tcPr>
          <w:p w14:paraId="0087068F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32" w:type="dxa"/>
            <w:noWrap/>
            <w:hideMark/>
          </w:tcPr>
          <w:p w14:paraId="571352F2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85" w:type="dxa"/>
            <w:noWrap/>
            <w:hideMark/>
          </w:tcPr>
          <w:p w14:paraId="1B61F432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67" w:type="dxa"/>
            <w:noWrap/>
            <w:hideMark/>
          </w:tcPr>
          <w:p w14:paraId="17E1DEC9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7" w:type="dxa"/>
            <w:noWrap/>
            <w:hideMark/>
          </w:tcPr>
          <w:p w14:paraId="4F2C7679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62" w:type="dxa"/>
            <w:noWrap/>
            <w:hideMark/>
          </w:tcPr>
          <w:p w14:paraId="77C9D54C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85" w:type="dxa"/>
            <w:noWrap/>
            <w:hideMark/>
          </w:tcPr>
          <w:p w14:paraId="1508C08B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62" w:type="dxa"/>
            <w:noWrap/>
            <w:hideMark/>
          </w:tcPr>
          <w:p w14:paraId="0BCF58C2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67" w:type="dxa"/>
            <w:noWrap/>
            <w:hideMark/>
          </w:tcPr>
          <w:p w14:paraId="2C8CD029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549" w:type="dxa"/>
            <w:noWrap/>
            <w:hideMark/>
          </w:tcPr>
          <w:p w14:paraId="311A8BE3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730" w:type="dxa"/>
            <w:noWrap/>
            <w:hideMark/>
          </w:tcPr>
          <w:p w14:paraId="627558E2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0" w:type="dxa"/>
            <w:noWrap/>
            <w:hideMark/>
          </w:tcPr>
          <w:p w14:paraId="4ADFB2A3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980" w:type="dxa"/>
            <w:noWrap/>
            <w:hideMark/>
          </w:tcPr>
          <w:p w14:paraId="02D4FD92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Good</w:t>
            </w:r>
            <w:proofErr w:type="spellEnd"/>
          </w:p>
        </w:tc>
      </w:tr>
      <w:tr w:rsidR="00AE1E82" w:rsidRPr="00AE1E82" w14:paraId="4A5EE993" w14:textId="77777777" w:rsidTr="00E53CBB">
        <w:trPr>
          <w:trHeight w:val="89"/>
        </w:trPr>
        <w:tc>
          <w:tcPr>
            <w:tcW w:w="540" w:type="dxa"/>
            <w:noWrap/>
            <w:hideMark/>
          </w:tcPr>
          <w:p w14:paraId="3DFB49BD" w14:textId="77777777" w:rsidR="00AE1E82" w:rsidRPr="00AE1E82" w:rsidRDefault="00AE1E82" w:rsidP="00E53C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217" w:type="dxa"/>
            <w:noWrap/>
            <w:hideMark/>
          </w:tcPr>
          <w:p w14:paraId="6C48B40B" w14:textId="3A73FA45" w:rsidR="00AE1E82" w:rsidRPr="00AE1E82" w:rsidRDefault="00AE1E82" w:rsidP="00E53C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Katte et al., 2014</w:t>
            </w:r>
          </w:p>
        </w:tc>
        <w:tc>
          <w:tcPr>
            <w:tcW w:w="1002" w:type="dxa"/>
            <w:noWrap/>
            <w:hideMark/>
          </w:tcPr>
          <w:p w14:paraId="3C3008C6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1" w:type="dxa"/>
            <w:noWrap/>
            <w:hideMark/>
          </w:tcPr>
          <w:p w14:paraId="19CD7AA9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51" w:type="dxa"/>
            <w:noWrap/>
            <w:hideMark/>
          </w:tcPr>
          <w:p w14:paraId="7AE759FE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762" w:type="dxa"/>
            <w:noWrap/>
            <w:hideMark/>
          </w:tcPr>
          <w:p w14:paraId="187452BF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32" w:type="dxa"/>
            <w:noWrap/>
            <w:hideMark/>
          </w:tcPr>
          <w:p w14:paraId="41972B66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85" w:type="dxa"/>
            <w:noWrap/>
            <w:hideMark/>
          </w:tcPr>
          <w:p w14:paraId="5F68C2DE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67" w:type="dxa"/>
            <w:noWrap/>
            <w:hideMark/>
          </w:tcPr>
          <w:p w14:paraId="51089E2E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7" w:type="dxa"/>
            <w:noWrap/>
            <w:hideMark/>
          </w:tcPr>
          <w:p w14:paraId="52A93B41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62" w:type="dxa"/>
            <w:noWrap/>
            <w:hideMark/>
          </w:tcPr>
          <w:p w14:paraId="4152FFB6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85" w:type="dxa"/>
            <w:noWrap/>
            <w:hideMark/>
          </w:tcPr>
          <w:p w14:paraId="2828AD74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62" w:type="dxa"/>
            <w:noWrap/>
            <w:hideMark/>
          </w:tcPr>
          <w:p w14:paraId="3B9307CB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67" w:type="dxa"/>
            <w:noWrap/>
            <w:hideMark/>
          </w:tcPr>
          <w:p w14:paraId="129EC99F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549" w:type="dxa"/>
            <w:noWrap/>
            <w:hideMark/>
          </w:tcPr>
          <w:p w14:paraId="70A98830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730" w:type="dxa"/>
            <w:noWrap/>
            <w:hideMark/>
          </w:tcPr>
          <w:p w14:paraId="32DA98D1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0" w:type="dxa"/>
            <w:noWrap/>
            <w:hideMark/>
          </w:tcPr>
          <w:p w14:paraId="07255BAD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80" w:type="dxa"/>
            <w:noWrap/>
            <w:hideMark/>
          </w:tcPr>
          <w:p w14:paraId="3F3AB5D8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Fair</w:t>
            </w:r>
          </w:p>
        </w:tc>
      </w:tr>
      <w:tr w:rsidR="00AE1E82" w:rsidRPr="00AE1E82" w14:paraId="348AC6C4" w14:textId="77777777" w:rsidTr="00E53CBB">
        <w:trPr>
          <w:trHeight w:val="64"/>
        </w:trPr>
        <w:tc>
          <w:tcPr>
            <w:tcW w:w="540" w:type="dxa"/>
            <w:noWrap/>
            <w:hideMark/>
          </w:tcPr>
          <w:p w14:paraId="6FA3C1DC" w14:textId="77777777" w:rsidR="00AE1E82" w:rsidRPr="00AE1E82" w:rsidRDefault="00AE1E82" w:rsidP="00E53C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217" w:type="dxa"/>
            <w:noWrap/>
            <w:hideMark/>
          </w:tcPr>
          <w:p w14:paraId="7851078F" w14:textId="3C00F449" w:rsidR="00AE1E82" w:rsidRPr="00AE1E82" w:rsidRDefault="00AE1E82" w:rsidP="00E53C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Kaze et al., 2021</w:t>
            </w:r>
          </w:p>
        </w:tc>
        <w:tc>
          <w:tcPr>
            <w:tcW w:w="1002" w:type="dxa"/>
            <w:noWrap/>
            <w:hideMark/>
          </w:tcPr>
          <w:p w14:paraId="579BF5DB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1" w:type="dxa"/>
            <w:noWrap/>
            <w:hideMark/>
          </w:tcPr>
          <w:p w14:paraId="1533A49C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51" w:type="dxa"/>
            <w:noWrap/>
            <w:hideMark/>
          </w:tcPr>
          <w:p w14:paraId="793EA42C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762" w:type="dxa"/>
            <w:noWrap/>
            <w:hideMark/>
          </w:tcPr>
          <w:p w14:paraId="732D3254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32" w:type="dxa"/>
            <w:noWrap/>
            <w:hideMark/>
          </w:tcPr>
          <w:p w14:paraId="27F0B495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85" w:type="dxa"/>
            <w:noWrap/>
            <w:hideMark/>
          </w:tcPr>
          <w:p w14:paraId="584C798A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67" w:type="dxa"/>
            <w:noWrap/>
            <w:hideMark/>
          </w:tcPr>
          <w:p w14:paraId="08DF92EE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7" w:type="dxa"/>
            <w:noWrap/>
            <w:hideMark/>
          </w:tcPr>
          <w:p w14:paraId="0414683E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62" w:type="dxa"/>
            <w:noWrap/>
            <w:hideMark/>
          </w:tcPr>
          <w:p w14:paraId="1DEFB358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85" w:type="dxa"/>
            <w:noWrap/>
            <w:hideMark/>
          </w:tcPr>
          <w:p w14:paraId="0FBFFFE1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62" w:type="dxa"/>
            <w:noWrap/>
            <w:hideMark/>
          </w:tcPr>
          <w:p w14:paraId="53C80419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67" w:type="dxa"/>
            <w:noWrap/>
            <w:hideMark/>
          </w:tcPr>
          <w:p w14:paraId="3B52171D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549" w:type="dxa"/>
            <w:noWrap/>
            <w:hideMark/>
          </w:tcPr>
          <w:p w14:paraId="574D79D1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730" w:type="dxa"/>
            <w:noWrap/>
            <w:hideMark/>
          </w:tcPr>
          <w:p w14:paraId="52472F4D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0" w:type="dxa"/>
            <w:noWrap/>
            <w:hideMark/>
          </w:tcPr>
          <w:p w14:paraId="0FEE77CA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80" w:type="dxa"/>
            <w:noWrap/>
            <w:hideMark/>
          </w:tcPr>
          <w:p w14:paraId="4A76398E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Fair</w:t>
            </w:r>
          </w:p>
        </w:tc>
      </w:tr>
      <w:tr w:rsidR="00AE1E82" w:rsidRPr="00AE1E82" w14:paraId="1A9D846F" w14:textId="77777777" w:rsidTr="00E53CBB">
        <w:trPr>
          <w:trHeight w:val="64"/>
        </w:trPr>
        <w:tc>
          <w:tcPr>
            <w:tcW w:w="540" w:type="dxa"/>
            <w:noWrap/>
            <w:hideMark/>
          </w:tcPr>
          <w:p w14:paraId="2BFBEE4F" w14:textId="77777777" w:rsidR="00AE1E82" w:rsidRPr="00AE1E82" w:rsidRDefault="00AE1E82" w:rsidP="00E53C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217" w:type="dxa"/>
            <w:noWrap/>
            <w:hideMark/>
          </w:tcPr>
          <w:p w14:paraId="7AF21959" w14:textId="0DCAC6FE" w:rsidR="00AE1E82" w:rsidRPr="00AE1E82" w:rsidRDefault="00AE1E82" w:rsidP="00E53C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Leke</w:t>
            </w:r>
            <w:proofErr w:type="spellEnd"/>
            <w:r w:rsidRPr="00AE1E82">
              <w:rPr>
                <w:rFonts w:ascii="Times New Roman" w:hAnsi="Times New Roman" w:cs="Times New Roman"/>
                <w:sz w:val="18"/>
                <w:szCs w:val="18"/>
              </w:rPr>
              <w:t xml:space="preserve"> et al., 2020</w:t>
            </w:r>
          </w:p>
        </w:tc>
        <w:tc>
          <w:tcPr>
            <w:tcW w:w="1002" w:type="dxa"/>
            <w:noWrap/>
            <w:hideMark/>
          </w:tcPr>
          <w:p w14:paraId="34C36491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1" w:type="dxa"/>
            <w:noWrap/>
            <w:hideMark/>
          </w:tcPr>
          <w:p w14:paraId="46F5E49E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51" w:type="dxa"/>
            <w:noWrap/>
            <w:hideMark/>
          </w:tcPr>
          <w:p w14:paraId="62506859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62" w:type="dxa"/>
            <w:noWrap/>
            <w:hideMark/>
          </w:tcPr>
          <w:p w14:paraId="41C00E33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32" w:type="dxa"/>
            <w:noWrap/>
            <w:hideMark/>
          </w:tcPr>
          <w:p w14:paraId="7FED9BA1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85" w:type="dxa"/>
            <w:noWrap/>
            <w:hideMark/>
          </w:tcPr>
          <w:p w14:paraId="59787F46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67" w:type="dxa"/>
            <w:noWrap/>
            <w:hideMark/>
          </w:tcPr>
          <w:p w14:paraId="7EB79025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7" w:type="dxa"/>
            <w:noWrap/>
            <w:hideMark/>
          </w:tcPr>
          <w:p w14:paraId="6321D4F9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62" w:type="dxa"/>
            <w:noWrap/>
            <w:hideMark/>
          </w:tcPr>
          <w:p w14:paraId="23F44646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85" w:type="dxa"/>
            <w:noWrap/>
            <w:hideMark/>
          </w:tcPr>
          <w:p w14:paraId="6D38C1E5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62" w:type="dxa"/>
            <w:noWrap/>
            <w:hideMark/>
          </w:tcPr>
          <w:p w14:paraId="35735F8F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67" w:type="dxa"/>
            <w:noWrap/>
            <w:hideMark/>
          </w:tcPr>
          <w:p w14:paraId="2625C40C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549" w:type="dxa"/>
            <w:noWrap/>
            <w:hideMark/>
          </w:tcPr>
          <w:p w14:paraId="11DEC4B2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730" w:type="dxa"/>
            <w:noWrap/>
            <w:hideMark/>
          </w:tcPr>
          <w:p w14:paraId="2A2CAD51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0" w:type="dxa"/>
            <w:noWrap/>
            <w:hideMark/>
          </w:tcPr>
          <w:p w14:paraId="0F01CF4D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80" w:type="dxa"/>
            <w:noWrap/>
            <w:hideMark/>
          </w:tcPr>
          <w:p w14:paraId="537A6C67" w14:textId="77777777" w:rsidR="00AE1E82" w:rsidRPr="00AE1E82" w:rsidRDefault="00AE1E82" w:rsidP="00E53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E82">
              <w:rPr>
                <w:rFonts w:ascii="Times New Roman" w:hAnsi="Times New Roman" w:cs="Times New Roman"/>
                <w:sz w:val="18"/>
                <w:szCs w:val="18"/>
              </w:rPr>
              <w:t>Fair</w:t>
            </w:r>
          </w:p>
        </w:tc>
      </w:tr>
    </w:tbl>
    <w:p w14:paraId="741B8BB6" w14:textId="19D2DC24" w:rsidR="00E53CBB" w:rsidRDefault="005352C4" w:rsidP="00AE1E82">
      <w:pPr>
        <w:spacing w:after="0"/>
        <w:rPr>
          <w:rFonts w:ascii="Times New Roman" w:hAnsi="Times New Roman" w:cs="Times New Roman"/>
          <w:sz w:val="18"/>
          <w:szCs w:val="18"/>
          <w:lang w:val="en-US"/>
        </w:rPr>
      </w:pPr>
      <w:r w:rsidRPr="008A6609">
        <w:rPr>
          <w:rFonts w:ascii="Times New Roman" w:hAnsi="Times New Roman" w:cs="Times New Roman"/>
          <w:b/>
          <w:bCs/>
          <w:sz w:val="18"/>
          <w:szCs w:val="18"/>
          <w:lang w:val="en-US"/>
        </w:rPr>
        <w:t>S.</w:t>
      </w:r>
      <w:r w:rsidR="008A6609" w:rsidRPr="008A6609">
        <w:rPr>
          <w:rFonts w:ascii="Times New Roman" w:hAnsi="Times New Roman" w:cs="Times New Roman"/>
          <w:b/>
          <w:bCs/>
          <w:sz w:val="18"/>
          <w:szCs w:val="18"/>
          <w:lang w:val="en-US"/>
        </w:rPr>
        <w:t>2.</w:t>
      </w:r>
      <w:r w:rsidR="008A6609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E53CBB">
        <w:rPr>
          <w:rFonts w:ascii="Times New Roman" w:hAnsi="Times New Roman" w:cs="Times New Roman"/>
          <w:sz w:val="18"/>
          <w:szCs w:val="18"/>
          <w:lang w:val="en-US"/>
        </w:rPr>
        <w:t xml:space="preserve">Methodological </w:t>
      </w:r>
      <w:r w:rsidR="00E53CBB" w:rsidRPr="00E53CBB">
        <w:rPr>
          <w:rFonts w:ascii="Times New Roman" w:hAnsi="Times New Roman" w:cs="Times New Roman"/>
          <w:sz w:val="18"/>
          <w:szCs w:val="18"/>
          <w:lang w:val="en-US"/>
        </w:rPr>
        <w:t>quality</w:t>
      </w:r>
    </w:p>
    <w:p w14:paraId="7671A66B" w14:textId="77777777" w:rsidR="00E53CBB" w:rsidRDefault="00E53CBB" w:rsidP="00AE1E82">
      <w:pPr>
        <w:spacing w:after="0"/>
        <w:rPr>
          <w:rFonts w:ascii="Times New Roman" w:hAnsi="Times New Roman" w:cs="Times New Roman"/>
          <w:sz w:val="18"/>
          <w:szCs w:val="18"/>
          <w:lang w:val="en-US"/>
        </w:rPr>
      </w:pPr>
    </w:p>
    <w:p w14:paraId="1D8E43BD" w14:textId="4B0769C6" w:rsidR="00C12674" w:rsidRDefault="00AE1E82" w:rsidP="00AE1E82">
      <w:pPr>
        <w:spacing w:after="0"/>
        <w:rPr>
          <w:rFonts w:ascii="Times New Roman" w:hAnsi="Times New Roman" w:cs="Times New Roman"/>
          <w:sz w:val="18"/>
          <w:szCs w:val="18"/>
          <w:lang w:val="en-US"/>
        </w:rPr>
      </w:pPr>
      <w:r w:rsidRPr="00AE1E82">
        <w:rPr>
          <w:rFonts w:ascii="Times New Roman" w:hAnsi="Times New Roman" w:cs="Times New Roman"/>
          <w:sz w:val="18"/>
          <w:szCs w:val="18"/>
          <w:lang w:val="en-US"/>
        </w:rPr>
        <w:t xml:space="preserve">Note: </w:t>
      </w:r>
    </w:p>
    <w:p w14:paraId="7DEF5B31" w14:textId="63DFD8D5" w:rsidR="00AE1E82" w:rsidRDefault="00AE1E82" w:rsidP="00AE1E82">
      <w:pPr>
        <w:spacing w:after="0"/>
        <w:rPr>
          <w:rFonts w:ascii="Times New Roman" w:hAnsi="Times New Roman" w:cs="Times New Roman"/>
          <w:sz w:val="18"/>
          <w:szCs w:val="18"/>
          <w:lang w:val="en-US"/>
        </w:rPr>
      </w:pPr>
      <w:r w:rsidRPr="00AE1E82">
        <w:rPr>
          <w:rFonts w:ascii="Times New Roman" w:hAnsi="Times New Roman" w:cs="Times New Roman"/>
          <w:sz w:val="18"/>
          <w:szCs w:val="18"/>
          <w:lang w:val="en-US"/>
        </w:rPr>
        <w:t xml:space="preserve">Q1, research question/objective clearly stated; </w:t>
      </w:r>
    </w:p>
    <w:p w14:paraId="711494E6" w14:textId="77777777" w:rsidR="00AE1E82" w:rsidRDefault="00AE1E82" w:rsidP="00AE1E82">
      <w:pPr>
        <w:spacing w:after="0"/>
        <w:rPr>
          <w:rFonts w:ascii="Times New Roman" w:hAnsi="Times New Roman" w:cs="Times New Roman"/>
          <w:sz w:val="18"/>
          <w:szCs w:val="18"/>
          <w:lang w:val="en-US"/>
        </w:rPr>
      </w:pPr>
      <w:r w:rsidRPr="00AE1E82">
        <w:rPr>
          <w:rFonts w:ascii="Times New Roman" w:hAnsi="Times New Roman" w:cs="Times New Roman"/>
          <w:sz w:val="18"/>
          <w:szCs w:val="18"/>
          <w:lang w:val="en-US"/>
        </w:rPr>
        <w:t xml:space="preserve">Q2, study population clearly specified and defined; </w:t>
      </w:r>
    </w:p>
    <w:p w14:paraId="6DE2EEC5" w14:textId="77777777" w:rsidR="00AE1E82" w:rsidRDefault="00AE1E82" w:rsidP="00AE1E82">
      <w:pPr>
        <w:spacing w:after="0"/>
        <w:rPr>
          <w:rFonts w:ascii="Times New Roman" w:hAnsi="Times New Roman" w:cs="Times New Roman"/>
          <w:sz w:val="18"/>
          <w:szCs w:val="18"/>
          <w:lang w:val="en-US"/>
        </w:rPr>
      </w:pPr>
      <w:r w:rsidRPr="00AE1E82">
        <w:rPr>
          <w:rFonts w:ascii="Times New Roman" w:hAnsi="Times New Roman" w:cs="Times New Roman"/>
          <w:sz w:val="18"/>
          <w:szCs w:val="18"/>
          <w:lang w:val="en-US"/>
        </w:rPr>
        <w:t xml:space="preserve">Q3, participation rate of eligible persons ≥50%; </w:t>
      </w:r>
    </w:p>
    <w:p w14:paraId="29E4C16B" w14:textId="77777777" w:rsidR="00AE1E82" w:rsidRDefault="00AE1E82" w:rsidP="00AE1E82">
      <w:pPr>
        <w:spacing w:after="0"/>
        <w:rPr>
          <w:rFonts w:ascii="Times New Roman" w:hAnsi="Times New Roman" w:cs="Times New Roman"/>
          <w:sz w:val="18"/>
          <w:szCs w:val="18"/>
          <w:lang w:val="en-US"/>
        </w:rPr>
      </w:pPr>
      <w:r w:rsidRPr="00AE1E82">
        <w:rPr>
          <w:rFonts w:ascii="Times New Roman" w:hAnsi="Times New Roman" w:cs="Times New Roman"/>
          <w:sz w:val="18"/>
          <w:szCs w:val="18"/>
          <w:lang w:val="en-US"/>
        </w:rPr>
        <w:t xml:space="preserve">Q4, participants recruited from the same or similar populations with prespecified and uniformly applied eligibility criteria; </w:t>
      </w:r>
    </w:p>
    <w:p w14:paraId="032867DB" w14:textId="77777777" w:rsidR="00AE1E82" w:rsidRDefault="00AE1E82" w:rsidP="00AE1E82">
      <w:pPr>
        <w:spacing w:after="0"/>
        <w:rPr>
          <w:rFonts w:ascii="Times New Roman" w:hAnsi="Times New Roman" w:cs="Times New Roman"/>
          <w:sz w:val="18"/>
          <w:szCs w:val="18"/>
          <w:lang w:val="en-US"/>
        </w:rPr>
      </w:pPr>
      <w:r w:rsidRPr="00AE1E82">
        <w:rPr>
          <w:rFonts w:ascii="Times New Roman" w:hAnsi="Times New Roman" w:cs="Times New Roman"/>
          <w:sz w:val="18"/>
          <w:szCs w:val="18"/>
          <w:lang w:val="en-US"/>
        </w:rPr>
        <w:t xml:space="preserve">Q5, sample size justification or power calculation provided; </w:t>
      </w:r>
    </w:p>
    <w:p w14:paraId="632AC5AD" w14:textId="77777777" w:rsidR="00AE1E82" w:rsidRDefault="00AE1E82" w:rsidP="00AE1E82">
      <w:pPr>
        <w:spacing w:after="0"/>
        <w:rPr>
          <w:rFonts w:ascii="Times New Roman" w:hAnsi="Times New Roman" w:cs="Times New Roman"/>
          <w:sz w:val="18"/>
          <w:szCs w:val="18"/>
          <w:lang w:val="en-US"/>
        </w:rPr>
      </w:pPr>
      <w:r w:rsidRPr="00AE1E82">
        <w:rPr>
          <w:rFonts w:ascii="Times New Roman" w:hAnsi="Times New Roman" w:cs="Times New Roman"/>
          <w:sz w:val="18"/>
          <w:szCs w:val="18"/>
          <w:lang w:val="en-US"/>
        </w:rPr>
        <w:t xml:space="preserve">Q6, exposure(s) measured before outcome(s); </w:t>
      </w:r>
    </w:p>
    <w:p w14:paraId="278C6B3F" w14:textId="77777777" w:rsidR="00AE1E82" w:rsidRDefault="00AE1E82" w:rsidP="00AE1E82">
      <w:pPr>
        <w:spacing w:after="0"/>
        <w:rPr>
          <w:rFonts w:ascii="Times New Roman" w:hAnsi="Times New Roman" w:cs="Times New Roman"/>
          <w:sz w:val="18"/>
          <w:szCs w:val="18"/>
          <w:lang w:val="en-US"/>
        </w:rPr>
      </w:pPr>
      <w:r w:rsidRPr="00AE1E82">
        <w:rPr>
          <w:rFonts w:ascii="Times New Roman" w:hAnsi="Times New Roman" w:cs="Times New Roman"/>
          <w:sz w:val="18"/>
          <w:szCs w:val="18"/>
          <w:lang w:val="en-US"/>
        </w:rPr>
        <w:t xml:space="preserve">Q7, timeframe sufficient to observe an association; </w:t>
      </w:r>
    </w:p>
    <w:p w14:paraId="4A4F465A" w14:textId="77777777" w:rsidR="00AE1E82" w:rsidRDefault="00AE1E82" w:rsidP="00AE1E82">
      <w:pPr>
        <w:spacing w:after="0"/>
        <w:rPr>
          <w:rFonts w:ascii="Times New Roman" w:hAnsi="Times New Roman" w:cs="Times New Roman"/>
          <w:sz w:val="18"/>
          <w:szCs w:val="18"/>
          <w:lang w:val="en-US"/>
        </w:rPr>
      </w:pPr>
      <w:r w:rsidRPr="00AE1E82">
        <w:rPr>
          <w:rFonts w:ascii="Times New Roman" w:hAnsi="Times New Roman" w:cs="Times New Roman"/>
          <w:sz w:val="18"/>
          <w:szCs w:val="18"/>
          <w:lang w:val="en-US"/>
        </w:rPr>
        <w:t xml:space="preserve">Q8, different exposure levels examined; </w:t>
      </w:r>
    </w:p>
    <w:p w14:paraId="7517D0CD" w14:textId="77777777" w:rsidR="00AE1E82" w:rsidRDefault="00AE1E82" w:rsidP="00AE1E82">
      <w:pPr>
        <w:spacing w:after="0"/>
        <w:rPr>
          <w:rFonts w:ascii="Times New Roman" w:hAnsi="Times New Roman" w:cs="Times New Roman"/>
          <w:sz w:val="18"/>
          <w:szCs w:val="18"/>
          <w:lang w:val="en-US"/>
        </w:rPr>
      </w:pPr>
      <w:r w:rsidRPr="00AE1E82">
        <w:rPr>
          <w:rFonts w:ascii="Times New Roman" w:hAnsi="Times New Roman" w:cs="Times New Roman"/>
          <w:sz w:val="18"/>
          <w:szCs w:val="18"/>
          <w:lang w:val="en-US"/>
        </w:rPr>
        <w:t xml:space="preserve">Q9, exposure measures clearly defined, valid, reliable, and consistently implemented; </w:t>
      </w:r>
    </w:p>
    <w:p w14:paraId="7C61AEAC" w14:textId="77777777" w:rsidR="00457903" w:rsidRDefault="00AE1E82" w:rsidP="00AE1E82">
      <w:pPr>
        <w:spacing w:after="0"/>
        <w:rPr>
          <w:rFonts w:ascii="Times New Roman" w:hAnsi="Times New Roman" w:cs="Times New Roman"/>
          <w:sz w:val="18"/>
          <w:szCs w:val="18"/>
          <w:lang w:val="en-US"/>
        </w:rPr>
      </w:pPr>
      <w:r w:rsidRPr="00AE1E82">
        <w:rPr>
          <w:rFonts w:ascii="Times New Roman" w:hAnsi="Times New Roman" w:cs="Times New Roman"/>
          <w:sz w:val="18"/>
          <w:szCs w:val="18"/>
          <w:lang w:val="en-US"/>
        </w:rPr>
        <w:t xml:space="preserve">Q10, exposure assessed more than once over time; </w:t>
      </w:r>
    </w:p>
    <w:p w14:paraId="19859FF7" w14:textId="4E96705E" w:rsidR="00AE1E82" w:rsidRDefault="00AE1E82" w:rsidP="00AE1E82">
      <w:pPr>
        <w:spacing w:after="0"/>
        <w:rPr>
          <w:rFonts w:ascii="Times New Roman" w:hAnsi="Times New Roman" w:cs="Times New Roman"/>
          <w:sz w:val="18"/>
          <w:szCs w:val="18"/>
          <w:lang w:val="en-US"/>
        </w:rPr>
      </w:pPr>
      <w:r w:rsidRPr="00AE1E82">
        <w:rPr>
          <w:rFonts w:ascii="Times New Roman" w:hAnsi="Times New Roman" w:cs="Times New Roman"/>
          <w:sz w:val="18"/>
          <w:szCs w:val="18"/>
          <w:lang w:val="en-US"/>
        </w:rPr>
        <w:t xml:space="preserve">Q11, outcome measures clearly defined, valid, reliable, and consistently implemented; </w:t>
      </w:r>
    </w:p>
    <w:p w14:paraId="2FAC3702" w14:textId="77777777" w:rsidR="00AE1E82" w:rsidRDefault="00AE1E82" w:rsidP="00AE1E82">
      <w:pPr>
        <w:spacing w:after="0"/>
        <w:rPr>
          <w:rFonts w:ascii="Times New Roman" w:hAnsi="Times New Roman" w:cs="Times New Roman"/>
          <w:sz w:val="18"/>
          <w:szCs w:val="18"/>
          <w:lang w:val="en-US"/>
        </w:rPr>
      </w:pPr>
      <w:r w:rsidRPr="00AE1E82">
        <w:rPr>
          <w:rFonts w:ascii="Times New Roman" w:hAnsi="Times New Roman" w:cs="Times New Roman"/>
          <w:sz w:val="18"/>
          <w:szCs w:val="18"/>
          <w:lang w:val="en-US"/>
        </w:rPr>
        <w:t xml:space="preserve">Q12, outcome assessors blinded to participants' exposure status; </w:t>
      </w:r>
    </w:p>
    <w:p w14:paraId="7D965266" w14:textId="77777777" w:rsidR="00AE1E82" w:rsidRDefault="00AE1E82" w:rsidP="00AE1E82">
      <w:pPr>
        <w:spacing w:after="0"/>
        <w:rPr>
          <w:rFonts w:ascii="Times New Roman" w:hAnsi="Times New Roman" w:cs="Times New Roman"/>
          <w:sz w:val="18"/>
          <w:szCs w:val="18"/>
          <w:lang w:val="en-US"/>
        </w:rPr>
      </w:pPr>
      <w:r w:rsidRPr="00AE1E82">
        <w:rPr>
          <w:rFonts w:ascii="Times New Roman" w:hAnsi="Times New Roman" w:cs="Times New Roman"/>
          <w:sz w:val="18"/>
          <w:szCs w:val="18"/>
          <w:lang w:val="en-US"/>
        </w:rPr>
        <w:t xml:space="preserve">Q13, loss to follow-up ≤20%; </w:t>
      </w:r>
    </w:p>
    <w:p w14:paraId="67EF3D50" w14:textId="77777777" w:rsidR="00AE1E82" w:rsidRDefault="00AE1E82" w:rsidP="00AE1E82">
      <w:pPr>
        <w:spacing w:after="0"/>
        <w:rPr>
          <w:rFonts w:ascii="Times New Roman" w:hAnsi="Times New Roman" w:cs="Times New Roman"/>
          <w:sz w:val="18"/>
          <w:szCs w:val="18"/>
          <w:lang w:val="en-US"/>
        </w:rPr>
      </w:pPr>
      <w:r w:rsidRPr="00AE1E82">
        <w:rPr>
          <w:rFonts w:ascii="Times New Roman" w:hAnsi="Times New Roman" w:cs="Times New Roman"/>
          <w:sz w:val="18"/>
          <w:szCs w:val="18"/>
          <w:lang w:val="en-US"/>
        </w:rPr>
        <w:t xml:space="preserve">Q14, key potential confounders measured and statistically adjusted. </w:t>
      </w:r>
    </w:p>
    <w:p w14:paraId="50F6F098" w14:textId="77777777" w:rsidR="0025347C" w:rsidRDefault="0025347C" w:rsidP="00AE1E82">
      <w:pPr>
        <w:spacing w:after="0"/>
        <w:rPr>
          <w:rFonts w:ascii="Times New Roman" w:hAnsi="Times New Roman" w:cs="Times New Roman"/>
          <w:sz w:val="18"/>
          <w:szCs w:val="18"/>
          <w:lang w:val="en-US"/>
        </w:rPr>
      </w:pPr>
    </w:p>
    <w:p w14:paraId="1652D88F" w14:textId="06178FDE" w:rsidR="00A1789D" w:rsidRPr="00AE1E82" w:rsidRDefault="00AE1E82" w:rsidP="00AE1E82">
      <w:pPr>
        <w:spacing w:after="0"/>
        <w:rPr>
          <w:rFonts w:ascii="Times New Roman" w:hAnsi="Times New Roman" w:cs="Times New Roman"/>
          <w:sz w:val="18"/>
          <w:szCs w:val="18"/>
          <w:lang w:val="en-US"/>
        </w:rPr>
      </w:pPr>
      <w:r w:rsidRPr="00AE1E82">
        <w:rPr>
          <w:rFonts w:ascii="Times New Roman" w:hAnsi="Times New Roman" w:cs="Times New Roman"/>
          <w:sz w:val="18"/>
          <w:szCs w:val="18"/>
          <w:lang w:val="en-US"/>
        </w:rPr>
        <w:t>The total score (0</w:t>
      </w:r>
      <w:r>
        <w:rPr>
          <w:rFonts w:ascii="Times New Roman" w:hAnsi="Times New Roman" w:cs="Times New Roman"/>
          <w:sz w:val="18"/>
          <w:szCs w:val="18"/>
          <w:lang w:val="en-US"/>
        </w:rPr>
        <w:t>-</w:t>
      </w:r>
      <w:r w:rsidRPr="00AE1E82">
        <w:rPr>
          <w:rFonts w:ascii="Times New Roman" w:hAnsi="Times New Roman" w:cs="Times New Roman"/>
          <w:sz w:val="18"/>
          <w:szCs w:val="18"/>
          <w:lang w:val="en-US"/>
        </w:rPr>
        <w:t>14) was calculated by summing the items rated as "Yes". Studies were classified as poor (0</w:t>
      </w:r>
      <w:r>
        <w:rPr>
          <w:rFonts w:ascii="Times New Roman" w:hAnsi="Times New Roman" w:cs="Times New Roman"/>
          <w:sz w:val="18"/>
          <w:szCs w:val="18"/>
          <w:lang w:val="en-US"/>
        </w:rPr>
        <w:t>-</w:t>
      </w:r>
      <w:r w:rsidRPr="00AE1E82">
        <w:rPr>
          <w:rFonts w:ascii="Times New Roman" w:hAnsi="Times New Roman" w:cs="Times New Roman"/>
          <w:sz w:val="18"/>
          <w:szCs w:val="18"/>
          <w:lang w:val="en-US"/>
        </w:rPr>
        <w:t>5), fair (6</w:t>
      </w:r>
      <w:r>
        <w:rPr>
          <w:rFonts w:ascii="Times New Roman" w:hAnsi="Times New Roman" w:cs="Times New Roman"/>
          <w:sz w:val="18"/>
          <w:szCs w:val="18"/>
          <w:lang w:val="en-US"/>
        </w:rPr>
        <w:t>-</w:t>
      </w:r>
      <w:r w:rsidRPr="00AE1E82">
        <w:rPr>
          <w:rFonts w:ascii="Times New Roman" w:hAnsi="Times New Roman" w:cs="Times New Roman"/>
          <w:sz w:val="18"/>
          <w:szCs w:val="18"/>
          <w:lang w:val="en-US"/>
        </w:rPr>
        <w:t>9), or good (10</w:t>
      </w:r>
      <w:r>
        <w:rPr>
          <w:rFonts w:ascii="Times New Roman" w:hAnsi="Times New Roman" w:cs="Times New Roman"/>
          <w:sz w:val="18"/>
          <w:szCs w:val="18"/>
          <w:lang w:val="en-US"/>
        </w:rPr>
        <w:t>-</w:t>
      </w:r>
      <w:r w:rsidRPr="00AE1E82">
        <w:rPr>
          <w:rFonts w:ascii="Times New Roman" w:hAnsi="Times New Roman" w:cs="Times New Roman"/>
          <w:sz w:val="18"/>
          <w:szCs w:val="18"/>
          <w:lang w:val="en-US"/>
        </w:rPr>
        <w:t>14) methodological quality.</w:t>
      </w:r>
    </w:p>
    <w:sectPr w:rsidR="00A1789D" w:rsidRPr="00AE1E82" w:rsidSect="00AE1E82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E82"/>
    <w:rsid w:val="00022B10"/>
    <w:rsid w:val="001D17D4"/>
    <w:rsid w:val="0025347C"/>
    <w:rsid w:val="0034366E"/>
    <w:rsid w:val="00343A24"/>
    <w:rsid w:val="00457903"/>
    <w:rsid w:val="00531AC1"/>
    <w:rsid w:val="005352C4"/>
    <w:rsid w:val="005A0A03"/>
    <w:rsid w:val="006C5EE9"/>
    <w:rsid w:val="008A6609"/>
    <w:rsid w:val="00A1789D"/>
    <w:rsid w:val="00AE1E82"/>
    <w:rsid w:val="00C12674"/>
    <w:rsid w:val="00CE0796"/>
    <w:rsid w:val="00E53CBB"/>
    <w:rsid w:val="00ED7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5CA02"/>
  <w15:chartTrackingRefBased/>
  <w15:docId w15:val="{86C7BF7A-F57A-4870-B189-7DB7DDBF2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1E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1E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1E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1E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1E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1E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1E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1E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1E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1E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1E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1E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1E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1E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1E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1E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1E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1E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1E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1E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1E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1E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1E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1E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1E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1E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E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1E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1E8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E1E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301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Sancho Pedro Xavier</dc:creator>
  <cp:keywords/>
  <dc:description/>
  <cp:lastModifiedBy>Sancho Pedro Xavier</cp:lastModifiedBy>
  <cp:revision>10</cp:revision>
  <dcterms:created xsi:type="dcterms:W3CDTF">2026-07-12T03:34:00Z</dcterms:created>
  <dcterms:modified xsi:type="dcterms:W3CDTF">2026-07-24T00:40:00Z</dcterms:modified>
</cp:coreProperties>
</file>