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Default Extension="png" ContentType="image/png"/>
</Types>
</file>

<file path=_rels/.rels><?xml version='1.0' encoding='UTF-8'?>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89a8bb2b15e4b1a255d9bec39a2bf40d4877fe"/>
    <w:p>
      <w:pPr>
        <w:pStyle w:val="Heading1"/>
      </w:pPr>
      <w:r>
        <w:t xml:space="preserve">Online Resource 1: Supplementary Information</w:t>
      </w:r>
    </w:p>
    <w:p>
      <w:pPr>
        <w:pStyle w:val="FirstParagraph"/>
      </w:pPr>
      <w:r>
        <w:rPr>
          <w:bCs/>
          <w:b/>
        </w:rPr>
        <w:t xml:space="preserve">Article:</w:t>
      </w:r>
      <w:r>
        <w:t xml:space="preserve"> </w:t>
      </w:r>
      <w:r>
        <w:t xml:space="preserve">Estimating Decision Rules from Large Language Model Agents: An Application to Bank Balance-Sheet Management</w:t>
      </w:r>
    </w:p>
    <w:p>
      <w:pPr>
        <w:pStyle w:val="BodyText"/>
      </w:pPr>
      <w:r>
        <w:rPr>
          <w:bCs/>
          <w:b/>
        </w:rPr>
        <w:t xml:space="preserve">Journal:</w:t>
      </w:r>
      <w:r>
        <w:t xml:space="preserve"> </w:t>
      </w:r>
      <w:r>
        <w:t xml:space="preserve">Computational Economics</w:t>
      </w:r>
    </w:p>
    <w:p>
      <w:pPr>
        <w:pStyle w:val="BodyText"/>
      </w:pPr>
      <w:r>
        <w:t xml:space="preserve">This file contains the supplementary tables and procedures referred to in the article as Online Resource 1. Section and table numbers in the article are cited as such; tables in this file are numbered S1–S8. References are listed in the article.</w:t>
      </w:r>
    </w:p>
    <w:bookmarkStart w:id="20" w:name="Xe304d17ebfdb88ef9408e9a6a1181b558c2db36"/>
    <w:p>
      <w:pPr>
        <w:pStyle w:val="Heading2"/>
      </w:pPr>
      <w:r>
        <w:t xml:space="preserve">S1 Evaluation criteria V1–V6 for EQ0 and EQ4</w:t>
      </w:r>
    </w:p>
    <w:p>
      <w:pPr>
        <w:pStyle w:val="FirstParagraph"/>
      </w:pPr>
      <w:r>
        <w:rPr>
          <w:bCs/>
          <w:b/>
        </w:rPr>
        <w:t xml:space="preserve">Table S1</w:t>
      </w:r>
      <w:r>
        <w:t xml:space="preserve"> </w:t>
      </w:r>
      <w:r>
        <w:t xml:space="preserve">Evaluation criteria V1–V6: EQ0 and EQ4</w:t>
      </w:r>
    </w:p>
    <w:tbl>
      <w:tblPr>
        <w:tblStyle w:val="Table"/>
        <w:tblW w:type="pct" w:w="4906"/>
        <w:tblLook w:firstRow="1" w:lastRow="0" w:firstColumn="0" w:lastColumn="0" w:noHBand="0" w:noVBand="0" w:val="0020"/>
        <w:jc w:val="start"/>
      </w:tblPr>
      <w:tblGrid>
        <w:gridCol w:w="1867"/>
        <w:gridCol w:w="2689"/>
        <w:gridCol w:w="3212"/>
      </w:tblGrid>
      <w:tr>
        <w:trPr>
          <w:tblHeader w:val="true"/>
        </w:trPr>
        <w:tc>
          <w:tcPr/>
          <w:p>
            <w:pPr>
              <w:pStyle w:val="Compact"/>
              <w:jc w:val="left"/>
            </w:pPr>
            <w:r>
              <w:t xml:space="preserve">Check</w:t>
            </w:r>
          </w:p>
        </w:tc>
        <w:tc>
          <w:tcPr/>
          <w:p>
            <w:pPr>
              <w:pStyle w:val="Compact"/>
              <w:jc w:val="left"/>
            </w:pPr>
            <w:r>
              <w:t xml:space="preserve">EQ0</w:t>
            </w:r>
          </w:p>
        </w:tc>
        <w:tc>
          <w:tcPr/>
          <w:p>
            <w:pPr>
              <w:pStyle w:val="Compact"/>
              <w:jc w:val="left"/>
            </w:pPr>
            <w:r>
              <w:t xml:space="preserve">EQ4</w:t>
            </w:r>
          </w:p>
        </w:tc>
      </w:tr>
      <w:tr>
        <w:tc>
          <w:tcPr/>
          <w:p>
            <w:pPr>
              <w:pStyle w:val="Compact"/>
              <w:jc w:val="left"/>
            </w:pPr>
            <w:r>
              <w:t xml:space="preserve">V1 Accounting identity</w:t>
            </w:r>
          </w:p>
        </w:tc>
        <w:tc>
          <w:tcPr/>
          <w:p>
            <w:pPr>
              <w:pStyle w:val="Compact"/>
              <w:jc w:val="left"/>
            </w:pPr>
            <w:r>
              <w:t xml:space="preserve">Pass; largest gap 4e−12</w:t>
            </w:r>
          </w:p>
        </w:tc>
        <w:tc>
          <w:tcPr/>
          <w:p>
            <w:pPr>
              <w:pStyle w:val="Compact"/>
              <w:jc w:val="left"/>
            </w:pPr>
            <w:r>
              <w:t xml:space="preserve">Pass; largest gap 2e−12</w:t>
            </w:r>
          </w:p>
        </w:tc>
      </w:tr>
      <w:tr>
        <w:tc>
          <w:tcPr/>
          <w:p>
            <w:pPr>
              <w:pStyle w:val="Compact"/>
              <w:jc w:val="left"/>
            </w:pPr>
            <w:r>
              <w:t xml:space="preserve">V2 Static calibration</w:t>
            </w:r>
          </w:p>
        </w:tc>
        <w:tc>
          <w:tcPr/>
          <w:p>
            <w:pPr>
              <w:pStyle w:val="Compact"/>
              <w:jc w:val="left"/>
            </w:pPr>
            <w:r>
              <w:t xml:space="preserve">Pass; −6.10%, +0.97%, 21.2%</w:t>
            </w:r>
          </w:p>
        </w:tc>
        <w:tc>
          <w:tcPr/>
          <w:p>
            <w:pPr>
              <w:pStyle w:val="Compact"/>
              <w:jc w:val="left"/>
            </w:pPr>
            <w:r>
              <w:t xml:space="preserve">Pass; same opening bank</w:t>
            </w:r>
          </w:p>
        </w:tc>
      </w:tr>
      <w:tr>
        <w:tc>
          <w:tcPr/>
          <w:p>
            <w:pPr>
              <w:pStyle w:val="Compact"/>
              <w:jc w:val="left"/>
            </w:pPr>
            <w:r>
              <w:t xml:space="preserve">V3 Calm stationarity</w:t>
            </w:r>
          </w:p>
        </w:tc>
        <w:tc>
          <w:tcPr/>
          <w:p>
            <w:pPr>
              <w:pStyle w:val="Compact"/>
              <w:jc w:val="left"/>
            </w:pPr>
            <w:r>
              <w:t xml:space="preserve">Pass; books unchanged</w:t>
            </w:r>
          </w:p>
        </w:tc>
        <w:tc>
          <w:tcPr/>
          <w:p>
            <w:pPr>
              <w:pStyle w:val="Compact"/>
              <w:jc w:val="left"/>
            </w:pPr>
            <w:r>
              <w:t xml:space="preserve">Pass; largest change 0.31% (fixed loans)</w:t>
            </w:r>
          </w:p>
        </w:tc>
      </w:tr>
      <w:tr>
        <w:tc>
          <w:tcPr/>
          <w:p>
            <w:pPr>
              <w:pStyle w:val="Compact"/>
              <w:jc w:val="left"/>
            </w:pPr>
            <w:r>
              <w:t xml:space="preserve">V4 Calm equilibrium</w:t>
            </w:r>
          </w:p>
        </w:tc>
        <w:tc>
          <w:tcPr/>
          <w:p>
            <w:pPr>
              <w:pStyle w:val="Compact"/>
              <w:jc w:val="left"/>
            </w:pPr>
            <w:r>
              <w:t xml:space="preserve">Pass; 0bp from market</w:t>
            </w:r>
          </w:p>
        </w:tc>
        <w:tc>
          <w:tcPr/>
          <w:p>
            <w:pPr>
              <w:pStyle w:val="Compact"/>
              <w:jc w:val="left"/>
            </w:pPr>
            <w:r>
              <w:t xml:space="preserve">Pass; 0bp from normal-times policy</w:t>
            </w:r>
          </w:p>
        </w:tc>
      </w:tr>
      <w:tr>
        <w:tc>
          <w:tcPr/>
          <w:p>
            <w:pPr>
              <w:pStyle w:val="Compact"/>
              <w:jc w:val="left"/>
            </w:pPr>
            <w:r>
              <w:t xml:space="preserve">V5 Depositor anchor</w:t>
            </w:r>
          </w:p>
        </w:tc>
        <w:tc>
          <w:tcPr/>
          <w:p>
            <w:pPr>
              <w:pStyle w:val="Compact"/>
              <w:jc w:val="left"/>
            </w:pPr>
            <w:r>
              <w:t xml:space="preserve">Pass; 0.45% at band edge</w:t>
            </w:r>
          </w:p>
        </w:tc>
        <w:tc>
          <w:tcPr/>
          <w:p>
            <w:pPr>
              <w:pStyle w:val="Compact"/>
              <w:jc w:val="left"/>
            </w:pPr>
            <w:r>
              <w:t xml:space="preserve">Pass; 0.30% at band edge</w:t>
            </w:r>
          </w:p>
        </w:tc>
      </w:tr>
      <w:tr>
        <w:tc>
          <w:tcPr/>
          <w:p>
            <w:pPr>
              <w:pStyle w:val="Compact"/>
              <w:jc w:val="left"/>
            </w:pPr>
            <w:r>
              <w:t xml:space="preserve">V6 Economic signs</w:t>
            </w:r>
          </w:p>
        </w:tc>
        <w:tc>
          <w:tcPr/>
          <w:p>
            <w:pPr>
              <w:pStyle w:val="Compact"/>
              <w:jc w:val="left"/>
            </w:pPr>
            <w:r>
              <w:t xml:space="preserve">Pass; stress outflow −40% / +0.5%</w:t>
            </w:r>
          </w:p>
        </w:tc>
        <w:tc>
          <w:tcPr/>
          <w:p>
            <w:pPr>
              <w:pStyle w:val="Compact"/>
              <w:jc w:val="left"/>
            </w:pPr>
            <w:r>
              <w:t xml:space="preserve">Pass; stress outflow −32% / −0.6%</w:t>
            </w:r>
          </w:p>
        </w:tc>
      </w:tr>
    </w:tbl>
    <w:p>
      <w:pPr>
        <w:pStyle w:val="BodyText"/>
      </w:pPr>
      <w:r>
        <w:t xml:space="preserve">The detailed V7 comparison is reported in Section 6 of the article.</w:t>
      </w:r>
    </w:p>
    <w:bookmarkEnd w:id="20"/>
    <w:bookmarkStart w:id="21" w:name="X43da003fe6096dd86722a1440b16ce65f35bd37"/>
    <w:p>
      <w:pPr>
        <w:pStyle w:val="Heading2"/>
      </w:pPr>
      <w:r>
        <w:t xml:space="preserve">S2 Computational costs of LLM simulations</w:t>
      </w:r>
    </w:p>
    <w:p>
      <w:pPr>
        <w:pStyle w:val="FirstParagraph"/>
      </w:pPr>
      <w:r>
        <w:t xml:space="preserve">An LLM interaction includes its accumulated conversation history, approximately 60,000–80,000 tokens. A twelve-month simulation with five LLM agents requires 60 interactions and approximately 4–5 million tokens. A bank-only simulation with equation-based customers requires twelve LLM interactions and approximately 0.9 million tokens. Each hypothetical-state questionnaire generally requires one interaction per agent. The deterministic equation-based twelve-month simulation completes in seconds. In October 2026, the API cost for a GPT-5.5 bank-year in the reported cross-family tests was approximately EUR 0.31.</w:t>
      </w:r>
    </w:p>
    <w:bookmarkEnd w:id="21"/>
    <w:bookmarkStart w:id="22" w:name="X60b2bd31492d97839772baa448d0fd4a8da1d33"/>
    <w:p>
      <w:pPr>
        <w:pStyle w:val="Heading2"/>
      </w:pPr>
      <w:r>
        <w:t xml:space="preserve">S3 Customer-response replications and the pooled-customer model (EQ5)</w:t>
      </w:r>
    </w:p>
    <w:p>
      <w:pPr>
        <w:pStyle w:val="FirstParagraph"/>
      </w:pPr>
      <w:r>
        <w:t xml:space="preserve">Four responses were collected for each original customer questionnaire: one from each of the two agents that completed the initial twelve-month simulations and two from newly initialised agents. Estimates for individual repetitions appear in runs/probes/estimates_by_replication.csv; Table 6 of the article summarises their means and standard deviations. EQ5 substitutes these mean customer coefficients into EQ4 while retaining the same bank decision rules.</w:t>
      </w:r>
    </w:p>
    <w:p>
      <w:pPr>
        <w:pStyle w:val="BodyText"/>
      </w:pPr>
      <w:r>
        <w:rPr>
          <w:bCs/>
          <w:b/>
        </w:rPr>
        <w:t xml:space="preserve">Table S2</w:t>
      </w:r>
      <w:r>
        <w:t xml:space="preserve"> </w:t>
      </w:r>
      <w:r>
        <w:t xml:space="preserve">Customer-response replications and the pooled-customer model EQ5: scenario outcomes</w:t>
      </w:r>
    </w:p>
    <w:tbl>
      <w:tblPr>
        <w:tblStyle w:val="Table"/>
        <w:tblW w:type="pct" w:w="4910"/>
        <w:tblLook w:firstRow="1" w:lastRow="0" w:firstColumn="0" w:lastColumn="0" w:noHBand="0" w:noVBand="0" w:val="0020"/>
        <w:jc w:val="start"/>
      </w:tblPr>
      <w:tblGrid>
        <w:gridCol w:w="1284"/>
        <w:gridCol w:w="1284"/>
        <w:gridCol w:w="1498"/>
        <w:gridCol w:w="3710"/>
      </w:tblGrid>
      <w:tr>
        <w:trPr>
          <w:tblHeader w:val="true"/>
        </w:trPr>
        <w:tc>
          <w:tcPr/>
          <w:p>
            <w:pPr>
              <w:pStyle w:val="Compact"/>
              <w:jc w:val="left"/>
            </w:pPr>
            <w:r>
              <w:t xml:space="preserve">Scenario</w:t>
            </w:r>
          </w:p>
        </w:tc>
        <w:tc>
          <w:tcPr/>
          <w:p>
            <w:pPr>
              <w:pStyle w:val="Compact"/>
              <w:jc w:val="left"/>
            </w:pPr>
            <w:r>
              <w:t xml:space="preserve">ROE, EQ4 / EQ5</w:t>
            </w:r>
          </w:p>
        </w:tc>
        <w:tc>
          <w:tcPr/>
          <w:p>
            <w:pPr>
              <w:pStyle w:val="Compact"/>
              <w:jc w:val="left"/>
            </w:pPr>
            <w:r>
              <w:t xml:space="preserve">LCR low, EQ4 / EQ5</w:t>
            </w:r>
          </w:p>
        </w:tc>
        <w:tc>
          <w:tcPr/>
          <w:p>
            <w:pPr>
              <w:pStyle w:val="Compact"/>
              <w:jc w:val="left"/>
            </w:pPr>
            <w:r>
              <w:t xml:space="preserve">Economic net worth at year end, EQ4 / EQ5 (EUR m)</w:t>
            </w:r>
          </w:p>
        </w:tc>
      </w:tr>
      <w:tr>
        <w:tc>
          <w:tcPr/>
          <w:p>
            <w:pPr>
              <w:pStyle w:val="Compact"/>
              <w:jc w:val="left"/>
            </w:pPr>
            <w:r>
              <w:t xml:space="preserve">Calm</w:t>
            </w:r>
          </w:p>
        </w:tc>
        <w:tc>
          <w:tcPr/>
          <w:p>
            <w:pPr>
              <w:pStyle w:val="Compact"/>
              <w:jc w:val="left"/>
            </w:pPr>
            <w:r>
              <w:t xml:space="preserve">12.96% / 12.95%</w:t>
            </w:r>
          </w:p>
        </w:tc>
        <w:tc>
          <w:tcPr/>
          <w:p>
            <w:pPr>
              <w:pStyle w:val="Compact"/>
              <w:jc w:val="left"/>
            </w:pPr>
            <w:r>
              <w:t xml:space="preserve">141% / 141%</w:t>
            </w:r>
          </w:p>
        </w:tc>
        <w:tc>
          <w:tcPr/>
          <w:p>
            <w:pPr>
              <w:pStyle w:val="Compact"/>
              <w:jc w:val="left"/>
            </w:pPr>
            <w:r>
              <w:t xml:space="preserve">910 / 910</w:t>
            </w:r>
          </w:p>
        </w:tc>
      </w:tr>
      <w:tr>
        <w:tc>
          <w:tcPr/>
          <w:p>
            <w:pPr>
              <w:pStyle w:val="Compact"/>
              <w:jc w:val="left"/>
            </w:pPr>
            <w:r>
              <w:t xml:space="preserve">Hike +300bp</w:t>
            </w:r>
          </w:p>
        </w:tc>
        <w:tc>
          <w:tcPr/>
          <w:p>
            <w:pPr>
              <w:pStyle w:val="Compact"/>
              <w:jc w:val="left"/>
            </w:pPr>
            <w:r>
              <w:t xml:space="preserve">16.43% / 16.42%</w:t>
            </w:r>
          </w:p>
        </w:tc>
        <w:tc>
          <w:tcPr/>
          <w:p>
            <w:pPr>
              <w:pStyle w:val="Compact"/>
              <w:jc w:val="left"/>
            </w:pPr>
            <w:r>
              <w:t xml:space="preserve">141% / 141%</w:t>
            </w:r>
          </w:p>
        </w:tc>
        <w:tc>
          <w:tcPr/>
          <w:p>
            <w:pPr>
              <w:pStyle w:val="Compact"/>
              <w:jc w:val="left"/>
            </w:pPr>
            <w:r>
              <w:t xml:space="preserve">379 / 379</w:t>
            </w:r>
          </w:p>
        </w:tc>
      </w:tr>
      <w:tr>
        <w:tc>
          <w:tcPr/>
          <w:p>
            <w:pPr>
              <w:pStyle w:val="Compact"/>
              <w:jc w:val="left"/>
            </w:pPr>
            <w:r>
              <w:t xml:space="preserve">Cut −180bp</w:t>
            </w:r>
          </w:p>
        </w:tc>
        <w:tc>
          <w:tcPr/>
          <w:p>
            <w:pPr>
              <w:pStyle w:val="Compact"/>
              <w:jc w:val="left"/>
            </w:pPr>
            <w:r>
              <w:t xml:space="preserve">10.19% / 10.18%</w:t>
            </w:r>
          </w:p>
        </w:tc>
        <w:tc>
          <w:tcPr/>
          <w:p>
            <w:pPr>
              <w:pStyle w:val="Compact"/>
              <w:jc w:val="left"/>
            </w:pPr>
            <w:r>
              <w:t xml:space="preserve">141% / 141%</w:t>
            </w:r>
          </w:p>
        </w:tc>
        <w:tc>
          <w:tcPr/>
          <w:p>
            <w:pPr>
              <w:pStyle w:val="Compact"/>
              <w:jc w:val="left"/>
            </w:pPr>
            <w:r>
              <w:t xml:space="preserve">1,224 / 1,223</w:t>
            </w:r>
          </w:p>
        </w:tc>
      </w:tr>
      <w:tr>
        <w:tc>
          <w:tcPr/>
          <w:p>
            <w:pPr>
              <w:pStyle w:val="Compact"/>
              <w:jc w:val="left"/>
            </w:pPr>
            <w:r>
              <w:t xml:space="preserve">Stress</w:t>
            </w:r>
          </w:p>
        </w:tc>
        <w:tc>
          <w:tcPr/>
          <w:p>
            <w:pPr>
              <w:pStyle w:val="Compact"/>
              <w:jc w:val="left"/>
            </w:pPr>
            <w:r>
              <w:t xml:space="preserve">10.95% / 10.89%</w:t>
            </w:r>
          </w:p>
        </w:tc>
        <w:tc>
          <w:tcPr/>
          <w:p>
            <w:pPr>
              <w:pStyle w:val="Compact"/>
              <w:jc w:val="left"/>
            </w:pPr>
            <w:r>
              <w:t xml:space="preserve">109.4% / 108.3%</w:t>
            </w:r>
          </w:p>
        </w:tc>
        <w:tc>
          <w:tcPr/>
          <w:p>
            <w:pPr>
              <w:pStyle w:val="Compact"/>
              <w:jc w:val="left"/>
            </w:pPr>
            <w:r>
              <w:t xml:space="preserve">897 / 896</w:t>
            </w:r>
          </w:p>
        </w:tc>
      </w:tr>
      <w:tr>
        <w:tc>
          <w:tcPr/>
          <w:p>
            <w:pPr>
              <w:pStyle w:val="Compact"/>
              <w:jc w:val="left"/>
            </w:pPr>
            <w:r>
              <w:t xml:space="preserve">Recession</w:t>
            </w:r>
          </w:p>
        </w:tc>
        <w:tc>
          <w:tcPr/>
          <w:p>
            <w:pPr>
              <w:pStyle w:val="Compact"/>
              <w:jc w:val="left"/>
            </w:pPr>
            <w:r>
              <w:t xml:space="preserve">9.64% / 9.63%</w:t>
            </w:r>
          </w:p>
        </w:tc>
        <w:tc>
          <w:tcPr/>
          <w:p>
            <w:pPr>
              <w:pStyle w:val="Compact"/>
              <w:jc w:val="left"/>
            </w:pPr>
            <w:r>
              <w:t xml:space="preserve">141% / 141%</w:t>
            </w:r>
          </w:p>
        </w:tc>
        <w:tc>
          <w:tcPr/>
          <w:p>
            <w:pPr>
              <w:pStyle w:val="Compact"/>
              <w:jc w:val="left"/>
            </w:pPr>
            <w:r>
              <w:t xml:space="preserve">1,106 / 1,106</w:t>
            </w:r>
          </w:p>
        </w:tc>
      </w:tr>
      <w:tr>
        <w:tc>
          <w:tcPr/>
          <w:p>
            <w:pPr>
              <w:pStyle w:val="Compact"/>
              <w:jc w:val="left"/>
            </w:pPr>
            <w:r>
              <w:t xml:space="preserve">Hike with a run</w:t>
            </w:r>
          </w:p>
        </w:tc>
        <w:tc>
          <w:tcPr/>
          <w:p>
            <w:pPr>
              <w:pStyle w:val="Compact"/>
              <w:jc w:val="left"/>
            </w:pPr>
            <w:r>
              <w:t xml:space="preserve">13.62% / 13.82%</w:t>
            </w:r>
          </w:p>
        </w:tc>
        <w:tc>
          <w:tcPr/>
          <w:p>
            <w:pPr>
              <w:pStyle w:val="Compact"/>
              <w:jc w:val="left"/>
            </w:pPr>
            <w:r>
              <w:t xml:space="preserve">109.7% / 108.7%</w:t>
            </w:r>
          </w:p>
        </w:tc>
        <w:tc>
          <w:tcPr/>
          <w:p>
            <w:pPr>
              <w:pStyle w:val="Compact"/>
              <w:jc w:val="left"/>
            </w:pPr>
            <w:r>
              <w:t xml:space="preserve">362 / 364</w:t>
            </w:r>
          </w:p>
        </w:tc>
      </w:tr>
    </w:tbl>
    <w:p>
      <w:pPr>
        <w:pStyle w:val="BodyText"/>
      </w:pPr>
      <w:r>
        <w:t xml:space="preserve">EQ5 meets the internal evaluation criteria V1–V6 and produces the same fit statistics as EQ4 for the two simulations with LLM customers (pilot1: +0.51 percentage points / 9.1%; hike1: +0.03 percentage points / 1.4%). The duration analysis differs by no more than 0.1 percentage points of ROE and EUR 1 million of economic net worth.</w:t>
      </w:r>
    </w:p>
    <w:bookmarkEnd w:id="22"/>
    <w:bookmarkStart w:id="23" w:name="s4-robustness-tables"/>
    <w:p>
      <w:pPr>
        <w:pStyle w:val="Heading2"/>
      </w:pPr>
      <w:r>
        <w:t xml:space="preserve">S4 Robustness tables</w:t>
      </w:r>
    </w:p>
    <w:p>
      <w:pPr>
        <w:pStyle w:val="FirstParagraph"/>
      </w:pPr>
      <w:r>
        <w:rPr>
          <w:bCs/>
          <w:b/>
        </w:rPr>
        <w:t xml:space="preserve">Customer-response estimates by model tier.</w:t>
      </w:r>
      <w:r>
        <w:t xml:space="preserve"> </w:t>
      </w:r>
      <w:r>
        <w:t xml:space="preserve">Newly initialised agents from three Claude models completed the same four hypothetical-state questionnaires once each under the original instructions. The first column contains the mean of the four Sonnet replications used in the main analysis (runs/probes/answers_model_tiers.json).</w:t>
      </w:r>
    </w:p>
    <w:p>
      <w:pPr>
        <w:pStyle w:val="BodyText"/>
      </w:pPr>
      <w:r>
        <w:rPr>
          <w:bCs/>
          <w:b/>
        </w:rPr>
        <w:t xml:space="preserve">Table S3</w:t>
      </w:r>
      <w:r>
        <w:t xml:space="preserve"> </w:t>
      </w:r>
      <w:r>
        <w:t xml:space="preserve">Customer-response estimates by Claude model tier</w:t>
      </w:r>
    </w:p>
    <w:tbl>
      <w:tblPr>
        <w:tblStyle w:val="Table"/>
        <w:tblW w:type="pct" w:w="4903"/>
        <w:tblLook w:firstRow="1" w:lastRow="0" w:firstColumn="0" w:lastColumn="0" w:noHBand="0" w:noVBand="0" w:val="0020"/>
        <w:jc w:val="start"/>
      </w:tblPr>
      <w:tblGrid>
        <w:gridCol w:w="3229"/>
        <w:gridCol w:w="2076"/>
        <w:gridCol w:w="1230"/>
        <w:gridCol w:w="615"/>
        <w:gridCol w:w="615"/>
      </w:tblGrid>
      <w:tr>
        <w:trPr>
          <w:tblHeader w:val="true"/>
        </w:trPr>
        <w:tc>
          <w:tcPr/>
          <w:p>
            <w:pPr>
              <w:pStyle w:val="Compact"/>
              <w:jc w:val="left"/>
            </w:pPr>
            <w:r>
              <w:t xml:space="preserve">Parameter</w:t>
            </w:r>
          </w:p>
        </w:tc>
        <w:tc>
          <w:tcPr/>
          <w:p>
            <w:pPr>
              <w:pStyle w:val="Compact"/>
              <w:jc w:val="left"/>
            </w:pPr>
            <w:r>
              <w:t xml:space="preserve">Sonnet, mean (s.d.) of 4</w:t>
            </w:r>
          </w:p>
        </w:tc>
        <w:tc>
          <w:tcPr/>
          <w:p>
            <w:pPr>
              <w:pStyle w:val="Compact"/>
              <w:jc w:val="left"/>
            </w:pPr>
            <w:r>
              <w:t xml:space="preserve">Sonnet, fresh</w:t>
            </w:r>
          </w:p>
        </w:tc>
        <w:tc>
          <w:tcPr/>
          <w:p>
            <w:pPr>
              <w:pStyle w:val="Compact"/>
              <w:jc w:val="left"/>
            </w:pPr>
            <w:r>
              <w:t xml:space="preserve">Opus</w:t>
            </w:r>
          </w:p>
        </w:tc>
        <w:tc>
          <w:tcPr/>
          <w:p>
            <w:pPr>
              <w:pStyle w:val="Compact"/>
              <w:jc w:val="left"/>
            </w:pPr>
            <w:r>
              <w:t xml:space="preserve">Haiku</w:t>
            </w:r>
          </w:p>
        </w:tc>
      </w:tr>
      <w:tr>
        <w:tc>
          <w:tcPr/>
          <w:p>
            <w:pPr>
              <w:pStyle w:val="Compact"/>
              <w:jc w:val="left"/>
            </w:pPr>
            <w:r>
              <w:t xml:space="preserve">φ_s outflow</w:t>
            </w:r>
          </w:p>
        </w:tc>
        <w:tc>
          <w:tcPr/>
          <w:p>
            <w:pPr>
              <w:pStyle w:val="Compact"/>
              <w:jc w:val="left"/>
            </w:pPr>
            <w:r>
              <w:t xml:space="preserve">13.17 (1.87)</w:t>
            </w:r>
          </w:p>
        </w:tc>
        <w:tc>
          <w:tcPr/>
          <w:p>
            <w:pPr>
              <w:pStyle w:val="Compact"/>
              <w:jc w:val="left"/>
            </w:pPr>
            <w:r>
              <w:t xml:space="preserve">15.97</w:t>
            </w:r>
          </w:p>
        </w:tc>
        <w:tc>
          <w:tcPr/>
          <w:p>
            <w:pPr>
              <w:pStyle w:val="Compact"/>
              <w:jc w:val="left"/>
            </w:pPr>
            <w:r>
              <w:t xml:space="preserve">11.94</w:t>
            </w:r>
          </w:p>
        </w:tc>
        <w:tc>
          <w:tcPr/>
          <w:p>
            <w:pPr>
              <w:pStyle w:val="Compact"/>
              <w:jc w:val="left"/>
            </w:pPr>
            <w:r>
              <w:t xml:space="preserve">3.04</w:t>
            </w:r>
          </w:p>
        </w:tc>
      </w:tr>
      <w:tr>
        <w:tc>
          <w:tcPr/>
          <w:p>
            <w:pPr>
              <w:pStyle w:val="Compact"/>
              <w:jc w:val="left"/>
            </w:pPr>
            <w:r>
              <w:t xml:space="preserve">φ_s⁺ inflow</w:t>
            </w:r>
          </w:p>
        </w:tc>
        <w:tc>
          <w:tcPr/>
          <w:p>
            <w:pPr>
              <w:pStyle w:val="Compact"/>
              <w:jc w:val="left"/>
            </w:pPr>
            <w:r>
              <w:t xml:space="preserve">6.45 (0.20)</w:t>
            </w:r>
          </w:p>
        </w:tc>
        <w:tc>
          <w:tcPr/>
          <w:p>
            <w:pPr>
              <w:pStyle w:val="Compact"/>
              <w:jc w:val="left"/>
            </w:pPr>
            <w:r>
              <w:t xml:space="preserve">6.62</w:t>
            </w:r>
          </w:p>
        </w:tc>
        <w:tc>
          <w:tcPr/>
          <w:p>
            <w:pPr>
              <w:pStyle w:val="Compact"/>
              <w:jc w:val="left"/>
            </w:pPr>
            <w:r>
              <w:t xml:space="preserve">4.83</w:t>
            </w:r>
          </w:p>
        </w:tc>
        <w:tc>
          <w:tcPr/>
          <w:p>
            <w:pPr>
              <w:pStyle w:val="Compact"/>
              <w:jc w:val="left"/>
            </w:pPr>
            <w:r>
              <w:t xml:space="preserve">3.04</w:t>
            </w:r>
          </w:p>
        </w:tc>
      </w:tr>
      <w:tr>
        <w:tc>
          <w:tcPr/>
          <w:p>
            <w:pPr>
              <w:pStyle w:val="Compact"/>
              <w:jc w:val="left"/>
            </w:pPr>
            <w:r>
              <w:t xml:space="preserve">φ_i outflow</w:t>
            </w:r>
          </w:p>
        </w:tc>
        <w:tc>
          <w:tcPr/>
          <w:p>
            <w:pPr>
              <w:pStyle w:val="Compact"/>
              <w:jc w:val="left"/>
            </w:pPr>
            <w:r>
              <w:t xml:space="preserve">1.15 (0.18)</w:t>
            </w:r>
          </w:p>
        </w:tc>
        <w:tc>
          <w:tcPr/>
          <w:p>
            <w:pPr>
              <w:pStyle w:val="Compact"/>
              <w:jc w:val="left"/>
            </w:pPr>
            <w:r>
              <w:t xml:space="preserve">1.34</w:t>
            </w:r>
          </w:p>
        </w:tc>
        <w:tc>
          <w:tcPr/>
          <w:p>
            <w:pPr>
              <w:pStyle w:val="Compact"/>
              <w:jc w:val="left"/>
            </w:pPr>
            <w:r>
              <w:t xml:space="preserve">1.09</w:t>
            </w:r>
          </w:p>
        </w:tc>
        <w:tc>
          <w:tcPr/>
          <w:p>
            <w:pPr>
              <w:pStyle w:val="Compact"/>
              <w:jc w:val="left"/>
            </w:pPr>
            <w:r>
              <w:t xml:space="preserve">0.89</w:t>
            </w:r>
          </w:p>
        </w:tc>
      </w:tr>
      <w:tr>
        <w:tc>
          <w:tcPr/>
          <w:p>
            <w:pPr>
              <w:pStyle w:val="Compact"/>
              <w:jc w:val="left"/>
            </w:pPr>
            <w:r>
              <w:t xml:space="preserve">φ_i⁺ inflow</w:t>
            </w:r>
          </w:p>
        </w:tc>
        <w:tc>
          <w:tcPr/>
          <w:p>
            <w:pPr>
              <w:pStyle w:val="Compact"/>
              <w:jc w:val="left"/>
            </w:pPr>
            <w:r>
              <w:t xml:space="preserve">0.97 (0.05)</w:t>
            </w:r>
          </w:p>
        </w:tc>
        <w:tc>
          <w:tcPr/>
          <w:p>
            <w:pPr>
              <w:pStyle w:val="Compact"/>
              <w:jc w:val="left"/>
            </w:pPr>
            <w:r>
              <w:t xml:space="preserve">1.00</w:t>
            </w:r>
          </w:p>
        </w:tc>
        <w:tc>
          <w:tcPr/>
          <w:p>
            <w:pPr>
              <w:pStyle w:val="Compact"/>
              <w:jc w:val="left"/>
            </w:pPr>
            <w:r>
              <w:t xml:space="preserve">0.67</w:t>
            </w:r>
          </w:p>
        </w:tc>
        <w:tc>
          <w:tcPr/>
          <w:p>
            <w:pPr>
              <w:pStyle w:val="Compact"/>
              <w:jc w:val="left"/>
            </w:pPr>
            <w:r>
              <w:t xml:space="preserve">0.60</w:t>
            </w:r>
          </w:p>
        </w:tc>
      </w:tr>
      <w:tr>
        <w:tc>
          <w:tcPr/>
          <w:p>
            <w:pPr>
              <w:pStyle w:val="Compact"/>
              <w:jc w:val="left"/>
            </w:pPr>
            <w:r>
              <w:t xml:space="preserve">η_s</w:t>
            </w:r>
          </w:p>
        </w:tc>
        <w:tc>
          <w:tcPr/>
          <w:p>
            <w:pPr>
              <w:pStyle w:val="Compact"/>
              <w:jc w:val="left"/>
            </w:pPr>
            <w:r>
              <w:t xml:space="preserve">2.30 (0.50)</w:t>
            </w:r>
          </w:p>
        </w:tc>
        <w:tc>
          <w:tcPr/>
          <w:p>
            <w:pPr>
              <w:pStyle w:val="Compact"/>
              <w:jc w:val="left"/>
            </w:pPr>
            <w:r>
              <w:t xml:space="preserve">1.90</w:t>
            </w:r>
          </w:p>
        </w:tc>
        <w:tc>
          <w:tcPr/>
          <w:p>
            <w:pPr>
              <w:pStyle w:val="Compact"/>
              <w:jc w:val="left"/>
            </w:pPr>
            <w:r>
              <w:t xml:space="preserve">2.66</w:t>
            </w:r>
          </w:p>
        </w:tc>
        <w:tc>
          <w:tcPr/>
          <w:p>
            <w:pPr>
              <w:pStyle w:val="Compact"/>
              <w:jc w:val="left"/>
            </w:pPr>
            <w:r>
              <w:t xml:space="preserve">2.40</w:t>
            </w:r>
          </w:p>
        </w:tc>
      </w:tr>
      <w:tr>
        <w:tc>
          <w:tcPr/>
          <w:p>
            <w:pPr>
              <w:pStyle w:val="Compact"/>
              <w:jc w:val="left"/>
            </w:pPr>
            <w:r>
              <w:t xml:space="preserve">η_i</w:t>
            </w:r>
          </w:p>
        </w:tc>
        <w:tc>
          <w:tcPr/>
          <w:p>
            <w:pPr>
              <w:pStyle w:val="Compact"/>
              <w:jc w:val="left"/>
            </w:pPr>
            <w:r>
              <w:t xml:space="preserve">0.14 (0.05)</w:t>
            </w:r>
          </w:p>
        </w:tc>
        <w:tc>
          <w:tcPr/>
          <w:p>
            <w:pPr>
              <w:pStyle w:val="Compact"/>
              <w:jc w:val="left"/>
            </w:pPr>
            <w:r>
              <w:t xml:space="preserve">0.17</w:t>
            </w:r>
          </w:p>
        </w:tc>
        <w:tc>
          <w:tcPr/>
          <w:p>
            <w:pPr>
              <w:pStyle w:val="Compact"/>
              <w:jc w:val="left"/>
            </w:pPr>
            <w:r>
              <w:t xml:space="preserve">0.11</w:t>
            </w:r>
          </w:p>
        </w:tc>
        <w:tc>
          <w:tcPr/>
          <w:p>
            <w:pPr>
              <w:pStyle w:val="Compact"/>
              <w:jc w:val="left"/>
            </w:pPr>
            <w:r>
              <w:t xml:space="preserve">0.10</w:t>
            </w:r>
          </w:p>
        </w:tc>
      </w:tr>
      <w:tr>
        <w:tc>
          <w:tcPr/>
          <w:p>
            <w:pPr>
              <w:pStyle w:val="Compact"/>
              <w:jc w:val="left"/>
            </w:pPr>
            <w:r>
              <w:t xml:space="preserve">ζ_s</w:t>
            </w:r>
          </w:p>
        </w:tc>
        <w:tc>
          <w:tcPr/>
          <w:p>
            <w:pPr>
              <w:pStyle w:val="Compact"/>
              <w:jc w:val="left"/>
            </w:pPr>
            <w:r>
              <w:t xml:space="preserve">1.59 (0.66)</w:t>
            </w:r>
          </w:p>
        </w:tc>
        <w:tc>
          <w:tcPr/>
          <w:p>
            <w:pPr>
              <w:pStyle w:val="Compact"/>
              <w:jc w:val="left"/>
            </w:pPr>
            <w:r>
              <w:t xml:space="preserve">1.08</w:t>
            </w:r>
          </w:p>
        </w:tc>
        <w:tc>
          <w:tcPr/>
          <w:p>
            <w:pPr>
              <w:pStyle w:val="Compact"/>
              <w:jc w:val="left"/>
            </w:pPr>
            <w:r>
              <w:t xml:space="preserve">2.32</w:t>
            </w:r>
          </w:p>
        </w:tc>
        <w:tc>
          <w:tcPr/>
          <w:p>
            <w:pPr>
              <w:pStyle w:val="Compact"/>
              <w:jc w:val="left"/>
            </w:pPr>
            <w:r>
              <w:t xml:space="preserve">2.00</w:t>
            </w:r>
          </w:p>
        </w:tc>
      </w:tr>
      <w:tr>
        <w:tc>
          <w:tcPr/>
          <w:p>
            <w:pPr>
              <w:pStyle w:val="Compact"/>
              <w:jc w:val="left"/>
            </w:pPr>
            <w:r>
              <w:t xml:space="preserve">χ_s</w:t>
            </w:r>
          </w:p>
        </w:tc>
        <w:tc>
          <w:tcPr/>
          <w:p>
            <w:pPr>
              <w:pStyle w:val="Compact"/>
              <w:jc w:val="left"/>
            </w:pPr>
            <w:r>
              <w:t xml:space="preserve">0.51 (0.12)</w:t>
            </w:r>
          </w:p>
        </w:tc>
        <w:tc>
          <w:tcPr/>
          <w:p>
            <w:pPr>
              <w:pStyle w:val="Compact"/>
              <w:jc w:val="left"/>
            </w:pPr>
            <w:r>
              <w:t xml:space="preserve">0.31</w:t>
            </w:r>
          </w:p>
        </w:tc>
        <w:tc>
          <w:tcPr/>
          <w:p>
            <w:pPr>
              <w:pStyle w:val="Compact"/>
              <w:jc w:val="left"/>
            </w:pPr>
            <w:r>
              <w:t xml:space="preserve">0.71</w:t>
            </w:r>
          </w:p>
        </w:tc>
        <w:tc>
          <w:tcPr/>
          <w:p>
            <w:pPr>
              <w:pStyle w:val="Compact"/>
              <w:jc w:val="left"/>
            </w:pPr>
            <w:r>
              <w:t xml:space="preserve">0.61</w:t>
            </w:r>
          </w:p>
        </w:tc>
      </w:tr>
      <w:tr>
        <w:tc>
          <w:tcPr/>
          <w:p>
            <w:pPr>
              <w:pStyle w:val="Compact"/>
              <w:jc w:val="left"/>
            </w:pPr>
            <w:r>
              <w:t xml:space="preserve">Sensitive withdrawal share, S = 1 (%)</w:t>
            </w:r>
          </w:p>
        </w:tc>
        <w:tc>
          <w:tcPr/>
          <w:p>
            <w:pPr>
              <w:pStyle w:val="Compact"/>
              <w:jc w:val="left"/>
            </w:pPr>
            <w:r>
              <w:t xml:space="preserve">8.4 (3.8)</w:t>
            </w:r>
          </w:p>
        </w:tc>
        <w:tc>
          <w:tcPr/>
          <w:p>
            <w:pPr>
              <w:pStyle w:val="Compact"/>
              <w:jc w:val="left"/>
            </w:pPr>
            <w:r>
              <w:t xml:space="preserve">9.5</w:t>
            </w:r>
          </w:p>
        </w:tc>
        <w:tc>
          <w:tcPr/>
          <w:p>
            <w:pPr>
              <w:pStyle w:val="Compact"/>
              <w:jc w:val="left"/>
            </w:pPr>
            <w:r>
              <w:t xml:space="preserve">4.0</w:t>
            </w:r>
          </w:p>
        </w:tc>
        <w:tc>
          <w:tcPr/>
          <w:p>
            <w:pPr>
              <w:pStyle w:val="Compact"/>
              <w:jc w:val="left"/>
            </w:pPr>
            <w:r>
              <w:t xml:space="preserve">2.8</w:t>
            </w:r>
          </w:p>
        </w:tc>
      </w:tr>
      <w:tr>
        <w:tc>
          <w:tcPr/>
          <w:p>
            <w:pPr>
              <w:pStyle w:val="Compact"/>
              <w:jc w:val="left"/>
            </w:pPr>
            <w:r>
              <w:t xml:space="preserve">Sensitive withdrawal share, S ≥ 2 (%)</w:t>
            </w:r>
          </w:p>
        </w:tc>
        <w:tc>
          <w:tcPr/>
          <w:p>
            <w:pPr>
              <w:pStyle w:val="Compact"/>
              <w:jc w:val="left"/>
            </w:pPr>
            <w:r>
              <w:t xml:space="preserve">32.5 (2.0)</w:t>
            </w:r>
          </w:p>
        </w:tc>
        <w:tc>
          <w:tcPr/>
          <w:p>
            <w:pPr>
              <w:pStyle w:val="Compact"/>
              <w:jc w:val="left"/>
            </w:pPr>
            <w:r>
              <w:t xml:space="preserve">35.0</w:t>
            </w:r>
          </w:p>
        </w:tc>
        <w:tc>
          <w:tcPr/>
          <w:p>
            <w:pPr>
              <w:pStyle w:val="Compact"/>
              <w:jc w:val="left"/>
            </w:pPr>
            <w:r>
              <w:t xml:space="preserve">22.5</w:t>
            </w:r>
          </w:p>
        </w:tc>
        <w:tc>
          <w:tcPr/>
          <w:p>
            <w:pPr>
              <w:pStyle w:val="Compact"/>
              <w:jc w:val="left"/>
            </w:pPr>
            <w:r>
              <w:t xml:space="preserve">20.0</w:t>
            </w:r>
          </w:p>
        </w:tc>
      </w:tr>
      <w:tr>
        <w:tc>
          <w:tcPr/>
          <w:p>
            <w:pPr>
              <w:pStyle w:val="Compact"/>
              <w:jc w:val="left"/>
            </w:pPr>
            <w:r>
              <w:t xml:space="preserve">Insensitive withdrawal share, S = 2 (%)</w:t>
            </w:r>
          </w:p>
        </w:tc>
        <w:tc>
          <w:tcPr/>
          <w:p>
            <w:pPr>
              <w:pStyle w:val="Compact"/>
              <w:jc w:val="left"/>
            </w:pPr>
            <w:r>
              <w:t xml:space="preserve">1.3 (0.5)</w:t>
            </w:r>
          </w:p>
        </w:tc>
        <w:tc>
          <w:tcPr/>
          <w:p>
            <w:pPr>
              <w:pStyle w:val="Compact"/>
              <w:jc w:val="left"/>
            </w:pPr>
            <w:r>
              <w:t xml:space="preserve">2.5</w:t>
            </w:r>
          </w:p>
        </w:tc>
        <w:tc>
          <w:tcPr/>
          <w:p>
            <w:pPr>
              <w:pStyle w:val="Compact"/>
              <w:jc w:val="left"/>
            </w:pPr>
            <w:r>
              <w:t xml:space="preserve">1.5</w:t>
            </w:r>
          </w:p>
        </w:tc>
        <w:tc>
          <w:tcPr/>
          <w:p>
            <w:pPr>
              <w:pStyle w:val="Compact"/>
              <w:jc w:val="left"/>
            </w:pPr>
            <w:r>
              <w:t xml:space="preserve">0.5</w:t>
            </w:r>
          </w:p>
        </w:tc>
      </w:tr>
      <w:tr>
        <w:tc>
          <w:tcPr/>
          <w:p>
            <w:pPr>
              <w:pStyle w:val="Compact"/>
              <w:jc w:val="left"/>
            </w:pPr>
            <w:r>
              <w:t xml:space="preserve">Insensitive withdrawal share, S = 4 (%)</w:t>
            </w:r>
          </w:p>
        </w:tc>
        <w:tc>
          <w:tcPr/>
          <w:p>
            <w:pPr>
              <w:pStyle w:val="Compact"/>
              <w:jc w:val="left"/>
            </w:pPr>
            <w:r>
              <w:t xml:space="preserve">6.8 (0.5)</w:t>
            </w:r>
          </w:p>
        </w:tc>
        <w:tc>
          <w:tcPr/>
          <w:p>
            <w:pPr>
              <w:pStyle w:val="Compact"/>
              <w:jc w:val="left"/>
            </w:pPr>
            <w:r>
              <w:t xml:space="preserve">7.0</w:t>
            </w:r>
          </w:p>
        </w:tc>
        <w:tc>
          <w:tcPr/>
          <w:p>
            <w:pPr>
              <w:pStyle w:val="Compact"/>
              <w:jc w:val="left"/>
            </w:pPr>
            <w:r>
              <w:t xml:space="preserve">5.0</w:t>
            </w:r>
          </w:p>
        </w:tc>
        <w:tc>
          <w:tcPr/>
          <w:p>
            <w:pPr>
              <w:pStyle w:val="Compact"/>
              <w:jc w:val="left"/>
            </w:pPr>
            <w:r>
              <w:t xml:space="preserve">4.0</w:t>
            </w:r>
          </w:p>
        </w:tc>
      </w:tr>
    </w:tbl>
    <w:p>
      <w:pPr>
        <w:pStyle w:val="BodyText"/>
      </w:pPr>
      <w:r>
        <w:rPr>
          <w:bCs/>
          <w:b/>
        </w:rPr>
        <w:t xml:space="preserve">EQ4 with customer-response coefficients from different model tiers.</w:t>
      </w:r>
    </w:p>
    <w:p>
      <w:pPr>
        <w:pStyle w:val="BodyText"/>
      </w:pPr>
      <w:r>
        <w:rPr>
          <w:bCs/>
          <w:b/>
        </w:rPr>
        <w:t xml:space="preserve">Table S4</w:t>
      </w:r>
      <w:r>
        <w:t xml:space="preserve"> </w:t>
      </w:r>
      <w:r>
        <w:t xml:space="preserve">EQ4 with customer-response coefficients from different model tiers</w:t>
      </w:r>
    </w:p>
    <w:tbl>
      <w:tblPr>
        <w:tblStyle w:val="Table"/>
        <w:tblW w:type="pct" w:w="4923"/>
        <w:tblLook w:firstRow="1" w:lastRow="0" w:firstColumn="0" w:lastColumn="0" w:noHBand="0" w:noVBand="0" w:val="0020"/>
        <w:jc w:val="start"/>
      </w:tblPr>
      <w:tblGrid>
        <w:gridCol w:w="1096"/>
        <w:gridCol w:w="3228"/>
        <w:gridCol w:w="3472"/>
      </w:tblGrid>
      <w:tr>
        <w:trPr>
          <w:tblHeader w:val="true"/>
        </w:trPr>
        <w:tc>
          <w:tcPr/>
          <w:p>
            <w:pPr>
              <w:pStyle w:val="Compact"/>
              <w:jc w:val="left"/>
            </w:pPr>
            <w:r>
              <w:t xml:space="preserve">Scenario</w:t>
            </w:r>
          </w:p>
        </w:tc>
        <w:tc>
          <w:tcPr/>
          <w:p>
            <w:pPr>
              <w:pStyle w:val="Compact"/>
              <w:jc w:val="left"/>
            </w:pPr>
            <w:r>
              <w:t xml:space="preserve">ROE: Sonnet baseline / Sonnet fresh / Opus / Haiku</w:t>
            </w:r>
          </w:p>
        </w:tc>
        <w:tc>
          <w:tcPr/>
          <w:p>
            <w:pPr>
              <w:pStyle w:val="Compact"/>
              <w:jc w:val="left"/>
            </w:pPr>
            <w:r>
              <w:t xml:space="preserve">LCR low: Sonnet baseline / Sonnet fresh / Opus / Haiku</w:t>
            </w:r>
          </w:p>
        </w:tc>
      </w:tr>
      <w:tr>
        <w:tc>
          <w:tcPr/>
          <w:p>
            <w:pPr>
              <w:pStyle w:val="Compact"/>
              <w:jc w:val="left"/>
            </w:pPr>
            <w:r>
              <w:t xml:space="preserve">Calm</w:t>
            </w:r>
          </w:p>
        </w:tc>
        <w:tc>
          <w:tcPr/>
          <w:p>
            <w:pPr>
              <w:pStyle w:val="Compact"/>
              <w:jc w:val="left"/>
            </w:pPr>
            <w:r>
              <w:t xml:space="preserve">12.96% / 12.94% / 12.95% / 12.95%</w:t>
            </w:r>
          </w:p>
        </w:tc>
        <w:tc>
          <w:tcPr/>
          <w:p>
            <w:pPr>
              <w:pStyle w:val="Compact"/>
              <w:jc w:val="left"/>
            </w:pPr>
            <w:r>
              <w:t xml:space="preserve">141% / 141% / 141% / 141%</w:t>
            </w:r>
          </w:p>
        </w:tc>
      </w:tr>
      <w:tr>
        <w:tc>
          <w:tcPr/>
          <w:p>
            <w:pPr>
              <w:pStyle w:val="Compact"/>
              <w:jc w:val="left"/>
            </w:pPr>
            <w:r>
              <w:t xml:space="preserve">Hike +300bp</w:t>
            </w:r>
          </w:p>
        </w:tc>
        <w:tc>
          <w:tcPr/>
          <w:p>
            <w:pPr>
              <w:pStyle w:val="Compact"/>
              <w:jc w:val="left"/>
            </w:pPr>
            <w:r>
              <w:t xml:space="preserve">16.43% / 16.42% / 16.43% / 16.43%</w:t>
            </w:r>
          </w:p>
        </w:tc>
        <w:tc>
          <w:tcPr/>
          <w:p>
            <w:pPr>
              <w:pStyle w:val="Compact"/>
              <w:jc w:val="left"/>
            </w:pPr>
            <w:r>
              <w:t xml:space="preserve">141% / 141% / 141% / 141%</w:t>
            </w:r>
          </w:p>
        </w:tc>
      </w:tr>
      <w:tr>
        <w:tc>
          <w:tcPr/>
          <w:p>
            <w:pPr>
              <w:pStyle w:val="Compact"/>
              <w:jc w:val="left"/>
            </w:pPr>
            <w:r>
              <w:t xml:space="preserve">Cut −180bp</w:t>
            </w:r>
          </w:p>
        </w:tc>
        <w:tc>
          <w:tcPr/>
          <w:p>
            <w:pPr>
              <w:pStyle w:val="Compact"/>
              <w:jc w:val="left"/>
            </w:pPr>
            <w:r>
              <w:t xml:space="preserve">10.19% / 10.18% / 10.19% / 10.19%</w:t>
            </w:r>
          </w:p>
        </w:tc>
        <w:tc>
          <w:tcPr/>
          <w:p>
            <w:pPr>
              <w:pStyle w:val="Compact"/>
              <w:jc w:val="left"/>
            </w:pPr>
            <w:r>
              <w:t xml:space="preserve">141% / 141% / 141% / 141%</w:t>
            </w:r>
          </w:p>
        </w:tc>
      </w:tr>
      <w:tr>
        <w:tc>
          <w:tcPr/>
          <w:p>
            <w:pPr>
              <w:pStyle w:val="Compact"/>
              <w:jc w:val="left"/>
            </w:pPr>
            <w:r>
              <w:t xml:space="preserve">Stress</w:t>
            </w:r>
          </w:p>
        </w:tc>
        <w:tc>
          <w:tcPr/>
          <w:p>
            <w:pPr>
              <w:pStyle w:val="Compact"/>
              <w:jc w:val="left"/>
            </w:pPr>
            <w:r>
              <w:t xml:space="preserve">10.95% / 10.42% / 11.86% / 12.19%</w:t>
            </w:r>
          </w:p>
        </w:tc>
        <w:tc>
          <w:tcPr/>
          <w:p>
            <w:pPr>
              <w:pStyle w:val="Compact"/>
              <w:jc w:val="left"/>
            </w:pPr>
            <w:r>
              <w:t xml:space="preserve">109% / 103% / 120% / 126%</w:t>
            </w:r>
          </w:p>
        </w:tc>
      </w:tr>
      <w:tr>
        <w:tc>
          <w:tcPr/>
          <w:p>
            <w:pPr>
              <w:pStyle w:val="Compact"/>
              <w:jc w:val="left"/>
            </w:pPr>
            <w:r>
              <w:t xml:space="preserve">Recession</w:t>
            </w:r>
          </w:p>
        </w:tc>
        <w:tc>
          <w:tcPr/>
          <w:p>
            <w:pPr>
              <w:pStyle w:val="Compact"/>
              <w:jc w:val="left"/>
            </w:pPr>
            <w:r>
              <w:t xml:space="preserve">9.64% / 9.63% / 9.61% / 9.63%</w:t>
            </w:r>
          </w:p>
        </w:tc>
        <w:tc>
          <w:tcPr/>
          <w:p>
            <w:pPr>
              <w:pStyle w:val="Compact"/>
              <w:jc w:val="left"/>
            </w:pPr>
            <w:r>
              <w:t xml:space="preserve">141% / 141% / 141% / 141%</w:t>
            </w:r>
          </w:p>
        </w:tc>
      </w:tr>
      <w:tr>
        <w:tc>
          <w:tcPr/>
          <w:p>
            <w:pPr>
              <w:pStyle w:val="Compact"/>
              <w:jc w:val="left"/>
            </w:pPr>
            <w:r>
              <w:t xml:space="preserve">Hike with a run</w:t>
            </w:r>
          </w:p>
        </w:tc>
        <w:tc>
          <w:tcPr/>
          <w:p>
            <w:pPr>
              <w:pStyle w:val="Compact"/>
              <w:jc w:val="left"/>
            </w:pPr>
            <w:r>
              <w:t xml:space="preserve">13.62% / 13.23% / 14.74% / 15.13%</w:t>
            </w:r>
          </w:p>
        </w:tc>
        <w:tc>
          <w:tcPr/>
          <w:p>
            <w:pPr>
              <w:pStyle w:val="Compact"/>
              <w:jc w:val="left"/>
            </w:pPr>
            <w:r>
              <w:t xml:space="preserve">110% / 103% / 120% / 126%</w:t>
            </w:r>
          </w:p>
        </w:tc>
      </w:tr>
    </w:tbl>
    <w:p>
      <w:pPr>
        <w:pStyle w:val="BodyText"/>
      </w:pPr>
      <w:r>
        <w:rPr>
          <w:bCs/>
          <w:b/>
        </w:rPr>
        <w:t xml:space="preserve">EQ4 using bank-specific ordinary-condition rules.</w:t>
      </w:r>
      <w:r>
        <w:t xml:space="preserve"> </w:t>
      </w:r>
      <w:r>
        <w:t xml:space="preserve">Each row replaces the EQ4 pricing rule and ordinary-condition bond allocation with the mean choices for the corresponding LLM bank (Table 7 of the article), leaving the liquidity-restoration rule unchanged.</w:t>
      </w:r>
    </w:p>
    <w:p>
      <w:pPr>
        <w:pStyle w:val="BodyText"/>
      </w:pPr>
      <w:r>
        <w:rPr>
          <w:bCs/>
          <w:b/>
        </w:rPr>
        <w:t xml:space="preserve">Table S5</w:t>
      </w:r>
      <w:r>
        <w:t xml:space="preserve"> </w:t>
      </w:r>
      <w:r>
        <w:t xml:space="preserve">EQ4 using bank-specific ordinary-condition rules</w:t>
      </w:r>
    </w:p>
    <w:tbl>
      <w:tblPr>
        <w:tblStyle w:val="Table"/>
        <w:tblW w:type="pct" w:w="4897"/>
        <w:tblLook w:firstRow="1" w:lastRow="0" w:firstColumn="0" w:lastColumn="0" w:noHBand="0" w:noVBand="0" w:val="0020"/>
        <w:jc w:val="start"/>
      </w:tblPr>
      <w:tblGrid>
        <w:gridCol w:w="1469"/>
        <w:gridCol w:w="898"/>
        <w:gridCol w:w="898"/>
        <w:gridCol w:w="2041"/>
        <w:gridCol w:w="1061"/>
        <w:gridCol w:w="1388"/>
      </w:tblGrid>
      <w:tr>
        <w:trPr>
          <w:tblHeader w:val="true"/>
        </w:trPr>
        <w:tc>
          <w:tcPr/>
          <w:p>
            <w:pPr>
              <w:pStyle w:val="Compact"/>
              <w:jc w:val="left"/>
            </w:pPr>
            <w:r>
              <w:t xml:space="preserve">Rule taken from</w:t>
            </w:r>
          </w:p>
        </w:tc>
        <w:tc>
          <w:tcPr/>
          <w:p>
            <w:pPr>
              <w:pStyle w:val="Compact"/>
              <w:jc w:val="left"/>
            </w:pPr>
            <w:r>
              <w:t xml:space="preserve">Calm ROE</w:t>
            </w:r>
          </w:p>
        </w:tc>
        <w:tc>
          <w:tcPr/>
          <w:p>
            <w:pPr>
              <w:pStyle w:val="Compact"/>
              <w:jc w:val="left"/>
            </w:pPr>
            <w:r>
              <w:t xml:space="preserve">Hike ROE</w:t>
            </w:r>
          </w:p>
        </w:tc>
        <w:tc>
          <w:tcPr/>
          <w:p>
            <w:pPr>
              <w:pStyle w:val="Compact"/>
              <w:jc w:val="left"/>
            </w:pPr>
            <w:r>
              <w:t xml:space="preserve">Hike net worth (EUR m)</w:t>
            </w:r>
          </w:p>
        </w:tc>
        <w:tc>
          <w:tcPr/>
          <w:p>
            <w:pPr>
              <w:pStyle w:val="Compact"/>
              <w:jc w:val="left"/>
            </w:pPr>
            <w:r>
              <w:t xml:space="preserve">Stress ROE</w:t>
            </w:r>
          </w:p>
        </w:tc>
        <w:tc>
          <w:tcPr/>
          <w:p>
            <w:pPr>
              <w:pStyle w:val="Compact"/>
              <w:jc w:val="left"/>
            </w:pPr>
            <w:r>
              <w:t xml:space="preserve">Stress LCR low</w:t>
            </w:r>
          </w:p>
        </w:tc>
      </w:tr>
      <w:tr>
        <w:tc>
          <w:tcPr/>
          <w:p>
            <w:pPr>
              <w:pStyle w:val="Compact"/>
              <w:jc w:val="left"/>
            </w:pPr>
            <w:r>
              <w:t xml:space="preserve">pilot1</w:t>
            </w:r>
          </w:p>
        </w:tc>
        <w:tc>
          <w:tcPr/>
          <w:p>
            <w:pPr>
              <w:pStyle w:val="Compact"/>
              <w:jc w:val="left"/>
            </w:pPr>
            <w:r>
              <w:t xml:space="preserve">12.46%</w:t>
            </w:r>
          </w:p>
        </w:tc>
        <w:tc>
          <w:tcPr/>
          <w:p>
            <w:pPr>
              <w:pStyle w:val="Compact"/>
              <w:jc w:val="left"/>
            </w:pPr>
            <w:r>
              <w:t xml:space="preserve">16.11%</w:t>
            </w:r>
          </w:p>
        </w:tc>
        <w:tc>
          <w:tcPr/>
          <w:p>
            <w:pPr>
              <w:pStyle w:val="Compact"/>
              <w:jc w:val="left"/>
            </w:pPr>
            <w:r>
              <w:t xml:space="preserve">376</w:t>
            </w:r>
          </w:p>
        </w:tc>
        <w:tc>
          <w:tcPr/>
          <w:p>
            <w:pPr>
              <w:pStyle w:val="Compact"/>
              <w:jc w:val="left"/>
            </w:pPr>
            <w:r>
              <w:t xml:space="preserve">11.06%</w:t>
            </w:r>
          </w:p>
        </w:tc>
        <w:tc>
          <w:tcPr/>
          <w:p>
            <w:pPr>
              <w:pStyle w:val="Compact"/>
              <w:jc w:val="left"/>
            </w:pPr>
            <w:r>
              <w:t xml:space="preserve">111%</w:t>
            </w:r>
          </w:p>
        </w:tc>
      </w:tr>
      <w:tr>
        <w:tc>
          <w:tcPr/>
          <w:p>
            <w:pPr>
              <w:pStyle w:val="Compact"/>
              <w:jc w:val="left"/>
            </w:pPr>
            <w:r>
              <w:t xml:space="preserve">hike1</w:t>
            </w:r>
          </w:p>
        </w:tc>
        <w:tc>
          <w:tcPr/>
          <w:p>
            <w:pPr>
              <w:pStyle w:val="Compact"/>
              <w:jc w:val="left"/>
            </w:pPr>
            <w:r>
              <w:t xml:space="preserve">12.88%</w:t>
            </w:r>
          </w:p>
        </w:tc>
        <w:tc>
          <w:tcPr/>
          <w:p>
            <w:pPr>
              <w:pStyle w:val="Compact"/>
              <w:jc w:val="left"/>
            </w:pPr>
            <w:r>
              <w:t xml:space="preserve">16.39%</w:t>
            </w:r>
          </w:p>
        </w:tc>
        <w:tc>
          <w:tcPr/>
          <w:p>
            <w:pPr>
              <w:pStyle w:val="Compact"/>
              <w:jc w:val="left"/>
            </w:pPr>
            <w:r>
              <w:t xml:space="preserve">379</w:t>
            </w:r>
          </w:p>
        </w:tc>
        <w:tc>
          <w:tcPr/>
          <w:p>
            <w:pPr>
              <w:pStyle w:val="Compact"/>
              <w:jc w:val="left"/>
            </w:pPr>
            <w:r>
              <w:t xml:space="preserve">10.91%</w:t>
            </w:r>
          </w:p>
        </w:tc>
        <w:tc>
          <w:tcPr/>
          <w:p>
            <w:pPr>
              <w:pStyle w:val="Compact"/>
              <w:jc w:val="left"/>
            </w:pPr>
            <w:r>
              <w:t xml:space="preserve">109%</w:t>
            </w:r>
          </w:p>
        </w:tc>
      </w:tr>
      <w:tr>
        <w:tc>
          <w:tcPr/>
          <w:p>
            <w:pPr>
              <w:pStyle w:val="Compact"/>
              <w:jc w:val="left"/>
            </w:pPr>
            <w:r>
              <w:t xml:space="preserve">calm3</w:t>
            </w:r>
          </w:p>
        </w:tc>
        <w:tc>
          <w:tcPr/>
          <w:p>
            <w:pPr>
              <w:pStyle w:val="Compact"/>
              <w:jc w:val="left"/>
            </w:pPr>
            <w:r>
              <w:t xml:space="preserve">13.02%</w:t>
            </w:r>
          </w:p>
        </w:tc>
        <w:tc>
          <w:tcPr/>
          <w:p>
            <w:pPr>
              <w:pStyle w:val="Compact"/>
              <w:jc w:val="left"/>
            </w:pPr>
            <w:r>
              <w:t xml:space="preserve">16.44%</w:t>
            </w:r>
          </w:p>
        </w:tc>
        <w:tc>
          <w:tcPr/>
          <w:p>
            <w:pPr>
              <w:pStyle w:val="Compact"/>
              <w:jc w:val="left"/>
            </w:pPr>
            <w:r>
              <w:t xml:space="preserve">377</w:t>
            </w:r>
          </w:p>
        </w:tc>
        <w:tc>
          <w:tcPr/>
          <w:p>
            <w:pPr>
              <w:pStyle w:val="Compact"/>
              <w:jc w:val="left"/>
            </w:pPr>
            <w:r>
              <w:t xml:space="preserve">10.98%</w:t>
            </w:r>
          </w:p>
        </w:tc>
        <w:tc>
          <w:tcPr/>
          <w:p>
            <w:pPr>
              <w:pStyle w:val="Compact"/>
              <w:jc w:val="left"/>
            </w:pPr>
            <w:r>
              <w:t xml:space="preserve">109%</w:t>
            </w:r>
          </w:p>
        </w:tc>
      </w:tr>
      <w:tr>
        <w:tc>
          <w:tcPr/>
          <w:p>
            <w:pPr>
              <w:pStyle w:val="Compact"/>
              <w:jc w:val="left"/>
            </w:pPr>
            <w:r>
              <w:t xml:space="preserve">stress4</w:t>
            </w:r>
          </w:p>
        </w:tc>
        <w:tc>
          <w:tcPr/>
          <w:p>
            <w:pPr>
              <w:pStyle w:val="Compact"/>
              <w:jc w:val="left"/>
            </w:pPr>
            <w:r>
              <w:t xml:space="preserve">12.23%</w:t>
            </w:r>
          </w:p>
        </w:tc>
        <w:tc>
          <w:tcPr/>
          <w:p>
            <w:pPr>
              <w:pStyle w:val="Compact"/>
              <w:jc w:val="left"/>
            </w:pPr>
            <w:r>
              <w:t xml:space="preserve">15.87%</w:t>
            </w:r>
          </w:p>
        </w:tc>
        <w:tc>
          <w:tcPr/>
          <w:p>
            <w:pPr>
              <w:pStyle w:val="Compact"/>
              <w:jc w:val="left"/>
            </w:pPr>
            <w:r>
              <w:t xml:space="preserve">374</w:t>
            </w:r>
          </w:p>
        </w:tc>
        <w:tc>
          <w:tcPr/>
          <w:p>
            <w:pPr>
              <w:pStyle w:val="Compact"/>
              <w:jc w:val="left"/>
            </w:pPr>
            <w:r>
              <w:t xml:space="preserve">10.94%</w:t>
            </w:r>
          </w:p>
        </w:tc>
        <w:tc>
          <w:tcPr/>
          <w:p>
            <w:pPr>
              <w:pStyle w:val="Compact"/>
              <w:jc w:val="left"/>
            </w:pPr>
            <w:r>
              <w:t xml:space="preserve">111%</w:t>
            </w:r>
          </w:p>
        </w:tc>
      </w:tr>
      <w:tr>
        <w:tc>
          <w:tcPr/>
          <w:p>
            <w:pPr>
              <w:pStyle w:val="Compact"/>
              <w:jc w:val="left"/>
            </w:pPr>
            <w:r>
              <w:t xml:space="preserve">hikestress5</w:t>
            </w:r>
          </w:p>
        </w:tc>
        <w:tc>
          <w:tcPr/>
          <w:p>
            <w:pPr>
              <w:pStyle w:val="Compact"/>
              <w:jc w:val="left"/>
            </w:pPr>
            <w:r>
              <w:t xml:space="preserve">12.62%</w:t>
            </w:r>
          </w:p>
        </w:tc>
        <w:tc>
          <w:tcPr/>
          <w:p>
            <w:pPr>
              <w:pStyle w:val="Compact"/>
              <w:jc w:val="left"/>
            </w:pPr>
            <w:r>
              <w:t xml:space="preserve">16.26%</w:t>
            </w:r>
          </w:p>
        </w:tc>
        <w:tc>
          <w:tcPr/>
          <w:p>
            <w:pPr>
              <w:pStyle w:val="Compact"/>
              <w:jc w:val="left"/>
            </w:pPr>
            <w:r>
              <w:t xml:space="preserve">380</w:t>
            </w:r>
          </w:p>
        </w:tc>
        <w:tc>
          <w:tcPr/>
          <w:p>
            <w:pPr>
              <w:pStyle w:val="Compact"/>
              <w:jc w:val="left"/>
            </w:pPr>
            <w:r>
              <w:t xml:space="preserve">10.83%</w:t>
            </w:r>
          </w:p>
        </w:tc>
        <w:tc>
          <w:tcPr/>
          <w:p>
            <w:pPr>
              <w:pStyle w:val="Compact"/>
              <w:jc w:val="left"/>
            </w:pPr>
            <w:r>
              <w:t xml:space="preserve">110%</w:t>
            </w:r>
          </w:p>
        </w:tc>
      </w:tr>
      <w:tr>
        <w:tc>
          <w:tcPr/>
          <w:p>
            <w:pPr>
              <w:pStyle w:val="Compact"/>
              <w:jc w:val="left"/>
            </w:pPr>
            <w:r>
              <w:t xml:space="preserve">calm6</w:t>
            </w:r>
          </w:p>
        </w:tc>
        <w:tc>
          <w:tcPr/>
          <w:p>
            <w:pPr>
              <w:pStyle w:val="Compact"/>
              <w:jc w:val="left"/>
            </w:pPr>
            <w:r>
              <w:t xml:space="preserve">12.99%</w:t>
            </w:r>
          </w:p>
        </w:tc>
        <w:tc>
          <w:tcPr/>
          <w:p>
            <w:pPr>
              <w:pStyle w:val="Compact"/>
              <w:jc w:val="left"/>
            </w:pPr>
            <w:r>
              <w:t xml:space="preserve">16.45%</w:t>
            </w:r>
          </w:p>
        </w:tc>
        <w:tc>
          <w:tcPr/>
          <w:p>
            <w:pPr>
              <w:pStyle w:val="Compact"/>
              <w:jc w:val="left"/>
            </w:pPr>
            <w:r>
              <w:t xml:space="preserve">380</w:t>
            </w:r>
          </w:p>
        </w:tc>
        <w:tc>
          <w:tcPr/>
          <w:p>
            <w:pPr>
              <w:pStyle w:val="Compact"/>
              <w:jc w:val="left"/>
            </w:pPr>
            <w:r>
              <w:t xml:space="preserve">10.97%</w:t>
            </w:r>
          </w:p>
        </w:tc>
        <w:tc>
          <w:tcPr/>
          <w:p>
            <w:pPr>
              <w:pStyle w:val="Compact"/>
              <w:jc w:val="left"/>
            </w:pPr>
            <w:r>
              <w:t xml:space="preserve">110%</w:t>
            </w:r>
          </w:p>
        </w:tc>
      </w:tr>
      <w:tr>
        <w:tc>
          <w:tcPr/>
          <w:p>
            <w:pPr>
              <w:pStyle w:val="Compact"/>
              <w:jc w:val="left"/>
            </w:pPr>
            <w:r>
              <w:t xml:space="preserve">calm7</w:t>
            </w:r>
          </w:p>
        </w:tc>
        <w:tc>
          <w:tcPr/>
          <w:p>
            <w:pPr>
              <w:pStyle w:val="Compact"/>
              <w:jc w:val="left"/>
            </w:pPr>
            <w:r>
              <w:t xml:space="preserve">12.95%</w:t>
            </w:r>
          </w:p>
        </w:tc>
        <w:tc>
          <w:tcPr/>
          <w:p>
            <w:pPr>
              <w:pStyle w:val="Compact"/>
              <w:jc w:val="left"/>
            </w:pPr>
            <w:r>
              <w:t xml:space="preserve">16.39%</w:t>
            </w:r>
          </w:p>
        </w:tc>
        <w:tc>
          <w:tcPr/>
          <w:p>
            <w:pPr>
              <w:pStyle w:val="Compact"/>
              <w:jc w:val="left"/>
            </w:pPr>
            <w:r>
              <w:t xml:space="preserve">376</w:t>
            </w:r>
          </w:p>
        </w:tc>
        <w:tc>
          <w:tcPr/>
          <w:p>
            <w:pPr>
              <w:pStyle w:val="Compact"/>
              <w:jc w:val="left"/>
            </w:pPr>
            <w:r>
              <w:t xml:space="preserve">10.96%</w:t>
            </w:r>
          </w:p>
        </w:tc>
        <w:tc>
          <w:tcPr/>
          <w:p>
            <w:pPr>
              <w:pStyle w:val="Compact"/>
              <w:jc w:val="left"/>
            </w:pPr>
            <w:r>
              <w:t xml:space="preserve">110%</w:t>
            </w:r>
          </w:p>
        </w:tc>
      </w:tr>
      <w:tr>
        <w:tc>
          <w:tcPr/>
          <w:p>
            <w:pPr>
              <w:pStyle w:val="Compact"/>
              <w:jc w:val="left"/>
            </w:pPr>
            <w:r>
              <w:t xml:space="preserve">calm8</w:t>
            </w:r>
          </w:p>
        </w:tc>
        <w:tc>
          <w:tcPr/>
          <w:p>
            <w:pPr>
              <w:pStyle w:val="Compact"/>
              <w:jc w:val="left"/>
            </w:pPr>
            <w:r>
              <w:t xml:space="preserve">13.07%</w:t>
            </w:r>
          </w:p>
        </w:tc>
        <w:tc>
          <w:tcPr/>
          <w:p>
            <w:pPr>
              <w:pStyle w:val="Compact"/>
              <w:jc w:val="left"/>
            </w:pPr>
            <w:r>
              <w:t xml:space="preserve">16.47%</w:t>
            </w:r>
          </w:p>
        </w:tc>
        <w:tc>
          <w:tcPr/>
          <w:p>
            <w:pPr>
              <w:pStyle w:val="Compact"/>
              <w:jc w:val="left"/>
            </w:pPr>
            <w:r>
              <w:t xml:space="preserve">375</w:t>
            </w:r>
          </w:p>
        </w:tc>
        <w:tc>
          <w:tcPr/>
          <w:p>
            <w:pPr>
              <w:pStyle w:val="Compact"/>
              <w:jc w:val="left"/>
            </w:pPr>
            <w:r>
              <w:t xml:space="preserve">11.00%</w:t>
            </w:r>
          </w:p>
        </w:tc>
        <w:tc>
          <w:tcPr/>
          <w:p>
            <w:pPr>
              <w:pStyle w:val="Compact"/>
              <w:jc w:val="left"/>
            </w:pPr>
            <w:r>
              <w:t xml:space="preserve">109%</w:t>
            </w:r>
          </w:p>
        </w:tc>
      </w:tr>
    </w:tbl>
    <w:p>
      <w:pPr>
        <w:pStyle w:val="BodyText"/>
      </w:pPr>
      <w:r>
        <w:rPr>
          <w:bCs/>
          <w:b/>
        </w:rPr>
        <w:t xml:space="preserve">One-at-a-time parameter sensitivity (runs/robust/R2_sensitivity.csv).</w:t>
      </w:r>
      <w:r>
        <w:t xml:space="preserve"> </w:t>
      </w:r>
      <w:r>
        <w:t xml:space="preserve">Changing any deposit-price coefficient by ±2 estimated standard deviations has a negligible effect on the reported outcomes. Borrower coefficients change stress-year ROE by no more than 0.28 percentage points. Multiplying assumed withdrawal shares by 0.5 and 1.5 changes the minimum stress-year LCR by +19.4 and −7.7 percentage points and ROE by +1.5 and −0.9 percentage points. Multiplying competitor-rate pass-through by 0.5 and 1.5 changes rising-rate ROE by +2.4 and −2.4 percentage points and economic net worth by +EUR 19 million and −EUR 20 million.</w:t>
      </w:r>
    </w:p>
    <w:bookmarkEnd w:id="23"/>
    <w:bookmarkStart w:id="24" w:name="Xffc5a3164b9f270a26dea22a42a20210a0d34db"/>
    <w:p>
      <w:pPr>
        <w:pStyle w:val="Heading2"/>
      </w:pPr>
      <w:r>
        <w:t xml:space="preserve">S5 Alternative model specifications considered and not retained</w:t>
      </w:r>
    </w:p>
    <w:p>
      <w:pPr>
        <w:pStyle w:val="FirstParagraph"/>
      </w:pPr>
      <w:r>
        <w:t xml:space="preserve">Six alternative specifications were examined and not retained for the reported model. Four changes to the objective function produced no differences in the tested decisions or outcomes. Table S6 summarises the alternatives and the reasons for retaining the simpler specification.</w:t>
      </w:r>
    </w:p>
    <w:p>
      <w:pPr>
        <w:pStyle w:val="BodyText"/>
      </w:pPr>
      <w:r>
        <w:rPr>
          <w:bCs/>
          <w:b/>
        </w:rPr>
        <w:t xml:space="preserve">Table S6</w:t>
      </w:r>
      <w:r>
        <w:t xml:space="preserve"> </w:t>
      </w:r>
      <w:r>
        <w:t xml:space="preserve">Alternative model specifications considered and not retained</w:t>
      </w:r>
    </w:p>
    <w:tbl>
      <w:tblPr>
        <w:tblStyle w:val="Table"/>
        <w:tblW w:type="pct" w:w="4959"/>
        <w:tblLook w:firstRow="1" w:lastRow="0" w:firstColumn="0" w:lastColumn="0" w:noHBand="0" w:noVBand="0" w:val="0020"/>
        <w:jc w:val="start"/>
      </w:tblPr>
      <w:tblGrid>
        <w:gridCol w:w="1243"/>
        <w:gridCol w:w="2847"/>
        <w:gridCol w:w="3763"/>
      </w:tblGrid>
      <w:tr>
        <w:trPr>
          <w:tblHeader w:val="true"/>
        </w:trPr>
        <w:tc>
          <w:tcPr/>
          <w:p>
            <w:pPr>
              <w:pStyle w:val="Compact"/>
              <w:jc w:val="left"/>
            </w:pPr>
            <w:r>
              <w:t xml:space="preserve">Branch</w:t>
            </w:r>
          </w:p>
        </w:tc>
        <w:tc>
          <w:tcPr/>
          <w:p>
            <w:pPr>
              <w:pStyle w:val="Compact"/>
              <w:jc w:val="left"/>
            </w:pPr>
            <w:r>
              <w:t xml:space="preserve">What was tried</w:t>
            </w:r>
          </w:p>
        </w:tc>
        <w:tc>
          <w:tcPr/>
          <w:p>
            <w:pPr>
              <w:pStyle w:val="Compact"/>
              <w:jc w:val="left"/>
            </w:pPr>
            <w:r>
              <w:t xml:space="preserve">Why it was dropped</w:t>
            </w:r>
          </w:p>
        </w:tc>
      </w:tr>
      <w:tr>
        <w:tc>
          <w:tcPr/>
          <w:p>
            <w:pPr>
              <w:pStyle w:val="Compact"/>
              <w:jc w:val="left"/>
            </w:pPr>
            <w:r>
              <w:t xml:space="preserve">Multi-path forecast</w:t>
            </w:r>
          </w:p>
        </w:tc>
        <w:tc>
          <w:tcPr/>
          <w:p>
            <w:pPr>
              <w:pStyle w:val="Compact"/>
              <w:jc w:val="left"/>
            </w:pPr>
            <w:r>
              <w:t xml:space="preserve">Scoring each choice under flat and ±100bp paths, with a penalty on profit dispersion</w:t>
            </w:r>
          </w:p>
        </w:tc>
        <w:tc>
          <w:tcPr/>
          <w:p>
            <w:pPr>
              <w:pStyle w:val="Compact"/>
              <w:jc w:val="left"/>
            </w:pPr>
            <w:r>
              <w:t xml:space="preserve">No decision changed in any scenario</w:t>
            </w:r>
          </w:p>
        </w:tc>
      </w:tr>
      <w:tr>
        <w:tc>
          <w:tcPr/>
          <w:p>
            <w:pPr>
              <w:pStyle w:val="Compact"/>
              <w:jc w:val="left"/>
            </w:pPr>
            <w:r>
              <w:t xml:space="preserve">Value-based objective</w:t>
            </w:r>
          </w:p>
        </w:tc>
        <w:tc>
          <w:tcPr/>
          <w:p>
            <w:pPr>
              <w:pStyle w:val="Compact"/>
              <w:jc w:val="left"/>
            </w:pPr>
            <w:r>
              <w:t xml:space="preserve">Adding the change in unrealised value of fixed assets to the bank’s profit term</w:t>
            </w:r>
          </w:p>
        </w:tc>
        <w:tc>
          <w:tcPr/>
          <w:p>
            <w:pPr>
              <w:pStyle w:val="Compact"/>
              <w:jc w:val="left"/>
            </w:pPr>
            <w:r>
              <w:t xml:space="preserve">Moved fixed-loan margins by about 30bp but not the bond mix; kept as a question for follow-on work (Section 9.3)</w:t>
            </w:r>
          </w:p>
        </w:tc>
      </w:tr>
      <w:tr>
        <w:tc>
          <w:tcPr/>
          <w:p>
            <w:pPr>
              <w:pStyle w:val="Compact"/>
              <w:jc w:val="left"/>
            </w:pPr>
            <w:r>
              <w:t xml:space="preserve">Linear EVE aversion</w:t>
            </w:r>
          </w:p>
        </w:tc>
        <w:tc>
          <w:tcPr/>
          <w:p>
            <w:pPr>
              <w:pStyle w:val="Compact"/>
              <w:jc w:val="left"/>
            </w:pPr>
            <w:r>
              <w:t xml:space="preserve">A cost proportional to |ΔEVE/T1|</w:t>
            </w:r>
          </w:p>
        </w:tc>
        <w:tc>
          <w:tcPr/>
          <w:p>
            <w:pPr>
              <w:pStyle w:val="Compact"/>
              <w:jc w:val="left"/>
            </w:pPr>
            <w:r>
              <w:t xml:space="preserve">Produced all-or-nothing bond choices that no LLM bank made</w:t>
            </w:r>
          </w:p>
        </w:tc>
      </w:tr>
      <w:tr>
        <w:tc>
          <w:tcPr/>
          <w:p>
            <w:pPr>
              <w:pStyle w:val="Compact"/>
              <w:jc w:val="left"/>
            </w:pPr>
            <w:r>
              <w:t xml:space="preserve">Convex EVE aversion</w:t>
            </w:r>
          </w:p>
        </w:tc>
        <w:tc>
          <w:tcPr/>
          <w:p>
            <w:pPr>
              <w:pStyle w:val="Compact"/>
              <w:jc w:val="left"/>
            </w:pPr>
            <w:r>
              <w:t xml:space="preserve">A cost proportional to (ΔEVE/T1)²</w:t>
            </w:r>
          </w:p>
        </w:tc>
        <w:tc>
          <w:tcPr/>
          <w:p>
            <w:pPr>
              <w:pStyle w:val="Compact"/>
              <w:jc w:val="left"/>
            </w:pPr>
            <w:r>
              <w:t xml:space="preserve">No grid value reproduced the LLM bond mix; replaced by the revealed bond rule</w:t>
            </w:r>
          </w:p>
        </w:tc>
      </w:tr>
      <w:tr>
        <w:tc>
          <w:tcPr/>
          <w:p>
            <w:pPr>
              <w:pStyle w:val="Compact"/>
              <w:jc w:val="left"/>
            </w:pPr>
            <w:r>
              <w:t xml:space="preserve">Average target gaps</w:t>
            </w:r>
          </w:p>
        </w:tc>
        <w:tc>
          <w:tcPr/>
          <w:p>
            <w:pPr>
              <w:pStyle w:val="Compact"/>
              <w:jc w:val="left"/>
            </w:pPr>
            <w:r>
              <w:t xml:space="preserve">Penalising the mean rather than the worst month’s gap</w:t>
            </w:r>
          </w:p>
        </w:tc>
        <w:tc>
          <w:tcPr/>
          <w:p>
            <w:pPr>
              <w:pStyle w:val="Compact"/>
              <w:jc w:val="left"/>
            </w:pPr>
            <w:r>
              <w:t xml:space="preserve">Diluted the signal to repair liquidity; worst-month penalty kept</w:t>
            </w:r>
          </w:p>
        </w:tc>
      </w:tr>
      <w:tr>
        <w:tc>
          <w:tcPr/>
          <w:p>
            <w:pPr>
              <w:pStyle w:val="Compact"/>
              <w:jc w:val="left"/>
            </w:pPr>
            <w:r>
              <w:t xml:space="preserve">One caution parameter for all banks</w:t>
            </w:r>
          </w:p>
        </w:tc>
        <w:tc>
          <w:tcPr/>
          <w:p>
            <w:pPr>
              <w:pStyle w:val="Compact"/>
              <w:jc w:val="left"/>
            </w:pPr>
            <w:r>
              <w:t xml:space="preserve">A single κ_dep fitted to pooled LLM runs</w:t>
            </w:r>
          </w:p>
        </w:tc>
        <w:tc>
          <w:tcPr/>
          <w:p>
            <w:pPr>
              <w:pStyle w:val="Compact"/>
              <w:jc w:val="left"/>
            </w:pPr>
            <w:r>
              <w:t xml:space="preserve">No value fitted both the premium-paying bank and the market-pricing banks; replaced by the revealed pricing rule</w:t>
            </w:r>
          </w:p>
        </w:tc>
      </w:tr>
    </w:tbl>
    <w:bookmarkEnd w:id="24"/>
    <w:bookmarkStart w:id="25" w:name="X266805d5b01db62699e1dde94e3f0b75e0f19da"/>
    <w:p>
      <w:pPr>
        <w:pStyle w:val="Heading2"/>
      </w:pPr>
      <w:r>
        <w:t xml:space="preserve">S6 Cross-family refit within EQ4’s rule class (EQ4-G)</w:t>
      </w:r>
    </w:p>
    <w:p>
      <w:pPr>
        <w:pStyle w:val="FirstParagraph"/>
      </w:pPr>
      <w:r>
        <w:t xml:space="preserve">This appendix describes the family-specific adjustment of EQ4 evaluated in Section 6.4.</w:t>
      </w:r>
    </w:p>
    <w:p>
      <w:pPr>
        <w:pStyle w:val="BodyText"/>
      </w:pPr>
      <w:r>
        <w:t xml:space="preserve">Under the previously recorded comparison procedure, we re-estimate the parameters associated with model-family differences within the EQ4 conditional-rule structure (EQ4-G). The revised specification adds initial lending-margin offsets and monthly increments and allows ordinary-condition fixed-rate reinvestment and the liquidity-restoration allocation to vary. Parameters are fitted using the first two GPT bank-years in each scenario and evaluated on the third. Although the split was specified before the additional data were collected, estimation took place after all eighteen years were available. The third-year evaluation is therefore a retrospective holdout rather than a prospective confirmation. The fitted specification begins lending margins at market values, increases them by two basis points per month for variable-rate and three for fixed-rate loans, allocates ordinary-condition reinvestment entirely to fixed-rate securities and uses floating-rate amortised-cost securities during liquidity restoration.</w:t>
      </w:r>
    </w:p>
    <w:p>
      <w:pPr>
        <w:pStyle w:val="BodyText"/>
      </w:pPr>
      <w:r>
        <w:rPr>
          <w:bCs/>
          <w:b/>
        </w:rPr>
        <w:t xml:space="preserve">Table S7</w:t>
      </w:r>
      <w:r>
        <w:t xml:space="preserve"> </w:t>
      </w:r>
      <w:r>
        <w:t xml:space="preserve">Cross-family refit EQ4-G: fit on GPT-5.5 development and held-out years</w:t>
      </w:r>
    </w:p>
    <w:tbl>
      <w:tblPr>
        <w:tblStyle w:val="Table"/>
        <w:tblW w:type="pct" w:w="4953"/>
        <w:tblLook w:firstRow="1" w:lastRow="0" w:firstColumn="0" w:lastColumn="0" w:noHBand="0" w:noVBand="0" w:val="0020"/>
        <w:jc w:val="start"/>
      </w:tblPr>
      <w:tblGrid>
        <w:gridCol w:w="1382"/>
        <w:gridCol w:w="1344"/>
        <w:gridCol w:w="709"/>
        <w:gridCol w:w="1083"/>
        <w:gridCol w:w="1382"/>
        <w:gridCol w:w="784"/>
        <w:gridCol w:w="1158"/>
      </w:tblGrid>
      <w:tr>
        <w:trPr>
          <w:tblHeader w:val="true"/>
        </w:trPr>
        <w:tc>
          <w:tcPr/>
          <w:p>
            <w:pPr>
              <w:pStyle w:val="Compact"/>
              <w:jc w:val="left"/>
            </w:pPr>
            <w:r>
              <w:t xml:space="preserve">Model</w:t>
            </w:r>
          </w:p>
        </w:tc>
        <w:tc>
          <w:tcPr/>
          <w:p>
            <w:pPr>
              <w:pStyle w:val="Compact"/>
              <w:jc w:val="left"/>
            </w:pPr>
            <w:r>
              <w:t xml:space="preserve">Fitted years (12): full V7 passes</w:t>
            </w:r>
          </w:p>
        </w:tc>
        <w:tc>
          <w:tcPr/>
          <w:p>
            <w:pPr>
              <w:pStyle w:val="Compact"/>
              <w:jc w:val="left"/>
            </w:pPr>
            <w:r>
              <w:t xml:space="preserve">Fitted: median G</w:t>
            </w:r>
          </w:p>
        </w:tc>
        <w:tc>
          <w:tcPr/>
          <w:p>
            <w:pPr>
              <w:pStyle w:val="Compact"/>
              <w:jc w:val="left"/>
            </w:pPr>
            <w:r>
              <w:t xml:space="preserve">Fitted: median balance gap</w:t>
            </w:r>
          </w:p>
        </w:tc>
        <w:tc>
          <w:tcPr/>
          <w:p>
            <w:pPr>
              <w:pStyle w:val="Compact"/>
              <w:jc w:val="left"/>
            </w:pPr>
            <w:r>
              <w:t xml:space="preserve">Held-out years (6): full V7 passes</w:t>
            </w:r>
          </w:p>
        </w:tc>
        <w:tc>
          <w:tcPr/>
          <w:p>
            <w:pPr>
              <w:pStyle w:val="Compact"/>
              <w:jc w:val="left"/>
            </w:pPr>
            <w:r>
              <w:t xml:space="preserve">Held-out: median G</w:t>
            </w:r>
          </w:p>
        </w:tc>
        <w:tc>
          <w:tcPr/>
          <w:p>
            <w:pPr>
              <w:pStyle w:val="Compact"/>
              <w:jc w:val="left"/>
            </w:pPr>
            <w:r>
              <w:t xml:space="preserve">Held-out: median balance gap</w:t>
            </w:r>
          </w:p>
        </w:tc>
      </w:tr>
      <w:tr>
        <w:tc>
          <w:tcPr/>
          <w:p>
            <w:pPr>
              <w:pStyle w:val="Compact"/>
              <w:jc w:val="left"/>
            </w:pPr>
            <w:r>
              <w:t xml:space="preserve">EQ4 (frozen)</w:t>
            </w:r>
          </w:p>
        </w:tc>
        <w:tc>
          <w:tcPr/>
          <w:p>
            <w:pPr>
              <w:pStyle w:val="Compact"/>
              <w:jc w:val="left"/>
            </w:pPr>
            <w:r>
              <w:t xml:space="preserve">5</w:t>
            </w:r>
          </w:p>
        </w:tc>
        <w:tc>
          <w:tcPr/>
          <w:p>
            <w:pPr>
              <w:pStyle w:val="Compact"/>
              <w:jc w:val="left"/>
            </w:pPr>
            <w:r>
              <w:t xml:space="preserve">0.49</w:t>
            </w:r>
          </w:p>
        </w:tc>
        <w:tc>
          <w:tcPr/>
          <w:p>
            <w:pPr>
              <w:pStyle w:val="Compact"/>
              <w:jc w:val="left"/>
            </w:pPr>
            <w:r>
              <w:t xml:space="preserve">2.4%</w:t>
            </w:r>
          </w:p>
        </w:tc>
        <w:tc>
          <w:tcPr/>
          <w:p>
            <w:pPr>
              <w:pStyle w:val="Compact"/>
              <w:jc w:val="left"/>
            </w:pPr>
            <w:r>
              <w:t xml:space="preserve">1</w:t>
            </w:r>
          </w:p>
        </w:tc>
        <w:tc>
          <w:tcPr/>
          <w:p>
            <w:pPr>
              <w:pStyle w:val="Compact"/>
              <w:jc w:val="left"/>
            </w:pPr>
            <w:r>
              <w:t xml:space="preserve">0.65</w:t>
            </w:r>
          </w:p>
        </w:tc>
        <w:tc>
          <w:tcPr/>
          <w:p>
            <w:pPr>
              <w:pStyle w:val="Compact"/>
              <w:jc w:val="left"/>
            </w:pPr>
            <w:r>
              <w:t xml:space="preserve">3.2%</w:t>
            </w:r>
          </w:p>
        </w:tc>
      </w:tr>
      <w:tr>
        <w:tc>
          <w:tcPr/>
          <w:p>
            <w:pPr>
              <w:pStyle w:val="Compact"/>
              <w:jc w:val="left"/>
            </w:pPr>
            <w:r>
              <w:t xml:space="preserve">EQ4-G (refitted on GPT years 1–2)</w:t>
            </w:r>
          </w:p>
        </w:tc>
        <w:tc>
          <w:tcPr/>
          <w:p>
            <w:pPr>
              <w:pStyle w:val="Compact"/>
              <w:jc w:val="left"/>
            </w:pPr>
            <w:r>
              <w:t xml:space="preserve">9</w:t>
            </w:r>
          </w:p>
        </w:tc>
        <w:tc>
          <w:tcPr/>
          <w:p>
            <w:pPr>
              <w:pStyle w:val="Compact"/>
              <w:jc w:val="left"/>
            </w:pPr>
            <w:r>
              <w:t xml:space="preserve">0.30</w:t>
            </w:r>
          </w:p>
        </w:tc>
        <w:tc>
          <w:tcPr/>
          <w:p>
            <w:pPr>
              <w:pStyle w:val="Compact"/>
              <w:jc w:val="left"/>
            </w:pPr>
            <w:r>
              <w:t xml:space="preserve">2.3%</w:t>
            </w:r>
          </w:p>
        </w:tc>
        <w:tc>
          <w:tcPr/>
          <w:p>
            <w:pPr>
              <w:pStyle w:val="Compact"/>
              <w:jc w:val="left"/>
            </w:pPr>
            <w:r>
              <w:t xml:space="preserve">1</w:t>
            </w:r>
          </w:p>
        </w:tc>
        <w:tc>
          <w:tcPr/>
          <w:p>
            <w:pPr>
              <w:pStyle w:val="Compact"/>
              <w:jc w:val="left"/>
            </w:pPr>
            <w:r>
              <w:t xml:space="preserve">0.57</w:t>
            </w:r>
          </w:p>
        </w:tc>
        <w:tc>
          <w:tcPr/>
          <w:p>
            <w:pPr>
              <w:pStyle w:val="Compact"/>
              <w:jc w:val="left"/>
            </w:pPr>
            <w:r>
              <w:t xml:space="preserve">2.3%</w:t>
            </w:r>
          </w:p>
        </w:tc>
      </w:tr>
    </w:tbl>
    <w:p>
      <w:pPr>
        <w:pStyle w:val="BodyText"/>
      </w:pPr>
      <w:r>
        <w:t xml:space="preserve">This adjustment reduces some held-out discrepancies but meets the full criteria in only one held-out year. Variation between GPT simulations of the same scenario is material: the median decision discrepancy is 0.33, reaching 0.61 in the stress scenario, compared with 0.19 between Claude calm-year realisations. Third-year GPT banks also choose fair-value securities in ordinary conditions, unlike the first two. These findings indicate that a single deterministic rule provides a limited approximation to the observed variability and that the 0.5-percentage-point threshold is relatively close to the typical between-realisation discrepancy for this model family.</w:t>
      </w:r>
    </w:p>
    <w:bookmarkEnd w:id="25"/>
    <w:bookmarkStart w:id="26" w:name="X7cbef0958944e3ff5cc2533e394398f47efc56f"/>
    <w:p>
      <w:pPr>
        <w:pStyle w:val="Heading2"/>
      </w:pPr>
      <w:r>
        <w:t xml:space="preserve">S7 Conditions attached to each main result</w:t>
      </w:r>
    </w:p>
    <w:p>
      <w:pPr>
        <w:pStyle w:val="FirstParagraph"/>
      </w:pPr>
      <w:r>
        <w:rPr>
          <w:bCs/>
          <w:b/>
        </w:rPr>
        <w:t xml:space="preserve">Table S8</w:t>
      </w:r>
      <w:r>
        <w:t xml:space="preserve"> </w:t>
      </w:r>
      <w:r>
        <w:t xml:space="preserve">Conditions attached to each main result</w:t>
      </w:r>
    </w:p>
    <w:tbl>
      <w:tblPr>
        <w:tblStyle w:val="Table"/>
        <w:tblW w:type="pct" w:w="4977"/>
        <w:tblLook w:firstRow="1" w:lastRow="0" w:firstColumn="0" w:lastColumn="0" w:noHBand="0" w:noVBand="0" w:val="0020"/>
        <w:jc w:val="start"/>
      </w:tblPr>
      <w:tblGrid>
        <w:gridCol w:w="1401"/>
        <w:gridCol w:w="2203"/>
        <w:gridCol w:w="4278"/>
      </w:tblGrid>
      <w:tr>
        <w:trPr>
          <w:tblHeader w:val="true"/>
        </w:trPr>
        <w:tc>
          <w:tcPr/>
          <w:p>
            <w:pPr>
              <w:pStyle w:val="Compact"/>
              <w:jc w:val="left"/>
            </w:pPr>
            <w:r>
              <w:t xml:space="preserve">Result</w:t>
            </w:r>
          </w:p>
        </w:tc>
        <w:tc>
          <w:tcPr/>
          <w:p>
            <w:pPr>
              <w:pStyle w:val="Compact"/>
              <w:jc w:val="left"/>
            </w:pPr>
            <w:r>
              <w:t xml:space="preserve">Holds when</w:t>
            </w:r>
          </w:p>
        </w:tc>
        <w:tc>
          <w:tcPr/>
          <w:p>
            <w:pPr>
              <w:pStyle w:val="Compact"/>
              <w:jc w:val="left"/>
            </w:pPr>
            <w:r>
              <w:t xml:space="preserve">Shown to fail or weaken when</w:t>
            </w:r>
          </w:p>
        </w:tc>
      </w:tr>
      <w:tr>
        <w:tc>
          <w:tcPr/>
          <w:p>
            <w:pPr>
              <w:pStyle w:val="Compact"/>
              <w:jc w:val="left"/>
            </w:pPr>
            <w:r>
              <w:t xml:space="preserve">Customers are much less price-elastic than the equilibrium calibration</w:t>
            </w:r>
          </w:p>
        </w:tc>
        <w:tc>
          <w:tcPr/>
          <w:p>
            <w:pPr>
              <w:pStyle w:val="Compact"/>
              <w:jc w:val="left"/>
            </w:pPr>
            <w:r>
              <w:t xml:space="preserve">Normal times; Sonnet and Opus answers</w:t>
            </w:r>
          </w:p>
        </w:tc>
        <w:tc>
          <w:tcPr/>
          <w:p>
            <w:pPr>
              <w:pStyle w:val="Compact"/>
              <w:jc w:val="left"/>
            </w:pPr>
            <w:r>
              <w:t xml:space="preserve">Haiku sensitive depositors are four times less elastic again (Section 9.1); without behavioural cues in the instructions, fixed-rate borrowers are close to or more elastic than the calibration and runs a third as large (Section 6.7)</w:t>
            </w:r>
          </w:p>
        </w:tc>
      </w:tr>
      <w:tr>
        <w:tc>
          <w:tcPr/>
          <w:p>
            <w:pPr>
              <w:pStyle w:val="Compact"/>
              <w:jc w:val="left"/>
            </w:pPr>
            <w:r>
              <w:t xml:space="preserve">Elasticities barely matter for outcomes under the estimated decision rules</w:t>
            </w:r>
          </w:p>
        </w:tc>
        <w:tc>
          <w:tcPr/>
          <w:p>
            <w:pPr>
              <w:pStyle w:val="Compact"/>
              <w:jc w:val="left"/>
            </w:pPr>
            <w:r>
              <w:t xml:space="preserve">The bank prices at or near market</w:t>
            </w:r>
          </w:p>
        </w:tc>
        <w:tc>
          <w:tcPr/>
          <w:p>
            <w:pPr>
              <w:pStyle w:val="Compact"/>
              <w:jc w:val="left"/>
            </w:pPr>
            <w:r>
              <w:t xml:space="preserve">An optimising bank (EQ0–EQ2) or a bank paying a standing premium makes them bind</w:t>
            </w:r>
          </w:p>
        </w:tc>
      </w:tr>
      <w:tr>
        <w:tc>
          <w:tcPr/>
          <w:p>
            <w:pPr>
              <w:pStyle w:val="Compact"/>
              <w:jc w:val="left"/>
            </w:pPr>
            <w:r>
              <w:t xml:space="preserve">LLM banks follow three rules</w:t>
            </w:r>
          </w:p>
        </w:tc>
        <w:tc>
          <w:tcPr/>
          <w:p>
            <w:pPr>
              <w:pStyle w:val="Compact"/>
              <w:jc w:val="left"/>
            </w:pPr>
            <w:r>
              <w:t xml:space="preserve">One-off stress; CET1 above 14%</w:t>
            </w:r>
          </w:p>
        </w:tc>
        <w:tc>
          <w:tcPr/>
          <w:p>
            <w:pPr>
              <w:pStyle w:val="Compact"/>
              <w:jc w:val="left"/>
            </w:pPr>
            <w:r>
              <w:t xml:space="preserve">Persistent runs (no rule restores LCR); capital shortfalls (never observed)</w:t>
            </w:r>
          </w:p>
        </w:tc>
      </w:tr>
      <w:tr>
        <w:tc>
          <w:tcPr/>
          <w:p>
            <w:pPr>
              <w:pStyle w:val="Compact"/>
              <w:jc w:val="left"/>
            </w:pPr>
            <w:r>
              <w:t xml:space="preserve">The final model predicts unseen bank-years</w:t>
            </w:r>
          </w:p>
        </w:tc>
        <w:tc>
          <w:tcPr/>
          <w:p>
            <w:pPr>
              <w:pStyle w:val="Compact"/>
              <w:jc w:val="left"/>
            </w:pPr>
            <w:r>
              <w:t xml:space="preserve">Calm, hiking, cutting, recession and one-off run years, under two wordings of the brief; the shared customer equations</w:t>
            </w:r>
          </w:p>
        </w:tc>
        <w:tc>
          <w:tcPr/>
          <w:p>
            <w:pPr>
              <w:pStyle w:val="Compact"/>
              <w:jc w:val="left"/>
            </w:pPr>
            <w:r>
              <w:t xml:space="preserve">Run years: the securities portfolio chosen while repairing liquidity changes with the brief’s wording (decision discrepancy up to 0.85, outcomes unaffected)</w:t>
            </w:r>
          </w:p>
        </w:tc>
      </w:tr>
      <w:tr>
        <w:tc>
          <w:tcPr/>
          <w:p>
            <w:pPr>
              <w:pStyle w:val="Compact"/>
              <w:jc w:val="left"/>
            </w:pPr>
            <w:r>
              <w:t xml:space="preserve">Duration is the main earnings–value trade-off</w:t>
            </w:r>
          </w:p>
        </w:tc>
        <w:tc>
          <w:tcPr/>
          <w:p>
            <w:pPr>
              <w:pStyle w:val="Compact"/>
              <w:jc w:val="left"/>
            </w:pPr>
            <w:r>
              <w:t xml:space="preserve">Parallel shocks; competitor pass-through at Paper 1’s estimate</w:t>
            </w:r>
          </w:p>
        </w:tc>
        <w:tc>
          <w:tcPr/>
          <w:p>
            <w:pPr>
              <w:pStyle w:val="Compact"/>
              <w:jc w:val="left"/>
            </w:pPr>
            <w:r>
              <w:t xml:space="preserve">Faster or slower competitor pass-through moves hike-year ROE by ±2.4pp, more than the whole 2-to-6-year duration range (1.8pp)</w:t>
            </w:r>
          </w:p>
        </w:tc>
      </w:tr>
      <w:tr>
        <w:tc>
          <w:tcPr/>
          <w:p>
            <w:pPr>
              <w:pStyle w:val="Compact"/>
              <w:jc w:val="left"/>
            </w:pPr>
            <w:r>
              <w:t xml:space="preserve">The calibration reproduces bank-level rate risk</w:t>
            </w:r>
          </w:p>
        </w:tc>
        <w:tc>
          <w:tcPr/>
          <w:p>
            <w:pPr>
              <w:pStyle w:val="Compact"/>
              <w:jc w:val="left"/>
            </w:pPr>
            <w:r>
              <w:t xml:space="preserve">ΔNII/T1 of deposit-funded banks (the top third by deposit share), with no refit</w:t>
            </w:r>
          </w:p>
        </w:tc>
        <w:tc>
          <w:tcPr/>
          <w:p>
            <w:pPr>
              <w:pStyle w:val="Compact"/>
              <w:jc w:val="left"/>
            </w:pPr>
            <w:r>
              <w:t xml:space="preserve">ΔEVE/T1 at bank level: not identified by balance-sheet composition (rank correlation −0.28 and −0.01); wholesale-funded banks are outside the engine’s funding structure (Section 4)</w:t>
            </w:r>
          </w:p>
        </w:tc>
      </w:tr>
    </w:tbl>
    <w:bookmarkEnd w:id="26"/>
    <w:bookmarkEnd w:id="27"/>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rPr>
      <w:sz w:val="17"/>
      <w:szCs w:val="17"/>
    </w:r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s>
</file>

<file path=word/_rels/footnotes.xml.rels><?xml version='1.0' encoding='UTF-8'?>
<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cp:coreProperties>
</file>