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082F" w:rsidRDefault="000D082F" w:rsidP="0054075E">
      <w:pPr>
        <w:spacing w:line="360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Supplementary information for</w:t>
      </w:r>
    </w:p>
    <w:p w:rsidR="000D082F" w:rsidRDefault="000D082F" w:rsidP="0054075E">
      <w:pPr>
        <w:spacing w:line="360" w:lineRule="auto"/>
        <w:jc w:val="center"/>
        <w:rPr>
          <w:b/>
          <w:bCs/>
          <w:lang w:val="en-US"/>
        </w:rPr>
      </w:pPr>
    </w:p>
    <w:p w:rsidR="0054075E" w:rsidRDefault="0054075E" w:rsidP="0054075E">
      <w:pPr>
        <w:spacing w:line="360" w:lineRule="auto"/>
        <w:jc w:val="center"/>
        <w:rPr>
          <w:b/>
          <w:bCs/>
          <w:lang w:val="en-US"/>
        </w:rPr>
      </w:pPr>
      <w:r w:rsidRPr="0054075E">
        <w:rPr>
          <w:b/>
          <w:bCs/>
          <w:lang w:val="en-US"/>
        </w:rPr>
        <w:t xml:space="preserve">Lineage plasticity and tumor microenvironment transcriptional features define a novel aggressive state in pediatric rhabdomyosarcoma </w:t>
      </w:r>
    </w:p>
    <w:p w:rsidR="00603703" w:rsidRDefault="00603703" w:rsidP="0054075E">
      <w:pPr>
        <w:spacing w:line="360" w:lineRule="auto"/>
        <w:jc w:val="center"/>
        <w:rPr>
          <w:b/>
          <w:bCs/>
          <w:lang w:val="en-US"/>
        </w:rPr>
      </w:pPr>
    </w:p>
    <w:p w:rsidR="0054075E" w:rsidRPr="00E70C94" w:rsidRDefault="0054075E" w:rsidP="0054075E">
      <w:pPr>
        <w:adjustRightInd w:val="0"/>
        <w:spacing w:line="360" w:lineRule="auto"/>
        <w:jc w:val="both"/>
        <w:rPr>
          <w:color w:val="000000" w:themeColor="text1"/>
          <w:vertAlign w:val="superscript"/>
        </w:rPr>
      </w:pPr>
      <w:r w:rsidRPr="00E70C94">
        <w:rPr>
          <w:bCs/>
          <w:color w:val="000000" w:themeColor="text1"/>
        </w:rPr>
        <w:t>Davide Pernici</w:t>
      </w:r>
      <w:proofErr w:type="gramStart"/>
      <w:r w:rsidRPr="00E70C94">
        <w:rPr>
          <w:bCs/>
          <w:color w:val="000000" w:themeColor="text1"/>
          <w:vertAlign w:val="superscript"/>
        </w:rPr>
        <w:t>1</w:t>
      </w:r>
      <w:r>
        <w:rPr>
          <w:bCs/>
          <w:color w:val="000000" w:themeColor="text1"/>
          <w:vertAlign w:val="superscript"/>
        </w:rPr>
        <w:t>,</w:t>
      </w:r>
      <w:r w:rsidRPr="00E70C94">
        <w:rPr>
          <w:bCs/>
          <w:color w:val="000000" w:themeColor="text1"/>
          <w:vertAlign w:val="superscript"/>
        </w:rPr>
        <w:t>%</w:t>
      </w:r>
      <w:proofErr w:type="gramEnd"/>
      <w:r w:rsidRPr="00E70C94">
        <w:rPr>
          <w:bCs/>
          <w:color w:val="000000" w:themeColor="text1"/>
        </w:rPr>
        <w:t>, Stefano Percio</w:t>
      </w:r>
      <w:r w:rsidRPr="00E70C94">
        <w:rPr>
          <w:bCs/>
          <w:color w:val="000000" w:themeColor="text1"/>
          <w:vertAlign w:val="superscript"/>
        </w:rPr>
        <w:t>2</w:t>
      </w:r>
      <w:r>
        <w:rPr>
          <w:bCs/>
          <w:color w:val="000000" w:themeColor="text1"/>
          <w:vertAlign w:val="superscript"/>
        </w:rPr>
        <w:t>,</w:t>
      </w:r>
      <w:r w:rsidRPr="00E70C94">
        <w:rPr>
          <w:bCs/>
          <w:color w:val="000000" w:themeColor="text1"/>
          <w:vertAlign w:val="superscript"/>
        </w:rPr>
        <w:t>%</w:t>
      </w:r>
      <w:r w:rsidRPr="00E70C94">
        <w:rPr>
          <w:bCs/>
          <w:color w:val="000000" w:themeColor="text1"/>
        </w:rPr>
        <w:t>,</w:t>
      </w:r>
      <w:r w:rsidRPr="00E70C94">
        <w:rPr>
          <w:bCs/>
          <w:color w:val="000000" w:themeColor="text1"/>
          <w:vertAlign w:val="superscript"/>
        </w:rPr>
        <w:t xml:space="preserve"> </w:t>
      </w:r>
      <w:r w:rsidRPr="00E70C94">
        <w:rPr>
          <w:color w:val="000000" w:themeColor="text1"/>
        </w:rPr>
        <w:t>Gabriele Tiné</w:t>
      </w:r>
      <w:r w:rsidRPr="00E70C94">
        <w:rPr>
          <w:color w:val="000000" w:themeColor="text1"/>
          <w:vertAlign w:val="superscript"/>
        </w:rPr>
        <w:t>3</w:t>
      </w:r>
      <w:r w:rsidRPr="00E70C94">
        <w:rPr>
          <w:color w:val="000000" w:themeColor="text1"/>
        </w:rPr>
        <w:t>, Elena Di Blasi</w:t>
      </w:r>
      <w:r w:rsidRPr="00E70C94">
        <w:rPr>
          <w:color w:val="000000" w:themeColor="text1"/>
          <w:vertAlign w:val="superscript"/>
        </w:rPr>
        <w:t>4</w:t>
      </w:r>
      <w:r w:rsidRPr="00E70C94">
        <w:rPr>
          <w:color w:val="000000" w:themeColor="text1"/>
        </w:rPr>
        <w:t>,</w:t>
      </w:r>
      <w:r w:rsidRPr="00E70C94">
        <w:rPr>
          <w:color w:val="000000" w:themeColor="text1"/>
          <w:vertAlign w:val="superscript"/>
        </w:rPr>
        <w:t xml:space="preserve"> </w:t>
      </w:r>
      <w:r w:rsidRPr="00E70C94">
        <w:rPr>
          <w:color w:val="000000" w:themeColor="text1"/>
        </w:rPr>
        <w:t>Bahar Fayaztorshizi</w:t>
      </w:r>
      <w:r w:rsidRPr="00E70C94">
        <w:rPr>
          <w:color w:val="000000" w:themeColor="text1"/>
          <w:vertAlign w:val="superscript"/>
        </w:rPr>
        <w:t>1</w:t>
      </w:r>
      <w:r w:rsidRPr="00E70C94">
        <w:rPr>
          <w:color w:val="000000" w:themeColor="text1"/>
        </w:rPr>
        <w:t>, Renata Ferri</w:t>
      </w:r>
      <w:r w:rsidRPr="00E70C94">
        <w:rPr>
          <w:color w:val="000000" w:themeColor="text1"/>
          <w:vertAlign w:val="superscript"/>
        </w:rPr>
        <w:t>1</w:t>
      </w:r>
      <w:r w:rsidRPr="00E70C94">
        <w:rPr>
          <w:color w:val="000000" w:themeColor="text1"/>
        </w:rPr>
        <w:t xml:space="preserve">, </w:t>
      </w:r>
      <w:proofErr w:type="spellStart"/>
      <w:r w:rsidRPr="00E70C94">
        <w:rPr>
          <w:color w:val="000000" w:themeColor="text1"/>
        </w:rPr>
        <w:t>Yiyi</w:t>
      </w:r>
      <w:proofErr w:type="spellEnd"/>
      <w:r w:rsidRPr="00E70C94">
        <w:rPr>
          <w:color w:val="000000" w:themeColor="text1"/>
        </w:rPr>
        <w:t xml:space="preserve"> Zhu</w:t>
      </w:r>
      <w:r w:rsidRPr="00E70C94">
        <w:rPr>
          <w:color w:val="000000" w:themeColor="text1"/>
          <w:vertAlign w:val="superscript"/>
        </w:rPr>
        <w:t>3</w:t>
      </w:r>
      <w:r w:rsidRPr="00E70C94">
        <w:rPr>
          <w:color w:val="000000" w:themeColor="text1"/>
        </w:rPr>
        <w:t>, Loris De Cecco</w:t>
      </w:r>
      <w:r w:rsidRPr="00E70C94">
        <w:rPr>
          <w:color w:val="000000" w:themeColor="text1"/>
          <w:vertAlign w:val="superscript"/>
        </w:rPr>
        <w:t>5</w:t>
      </w:r>
      <w:r w:rsidRPr="00E70C94">
        <w:rPr>
          <w:color w:val="000000" w:themeColor="text1"/>
        </w:rPr>
        <w:t>, Paola Collini</w:t>
      </w:r>
      <w:r w:rsidRPr="00E70C94">
        <w:rPr>
          <w:color w:val="000000" w:themeColor="text1"/>
          <w:vertAlign w:val="superscript"/>
        </w:rPr>
        <w:t>4</w:t>
      </w:r>
      <w:r w:rsidRPr="00E70C94">
        <w:rPr>
          <w:color w:val="000000" w:themeColor="text1"/>
        </w:rPr>
        <w:t xml:space="preserve">, </w:t>
      </w:r>
      <w:r>
        <w:rPr>
          <w:color w:val="000000" w:themeColor="text1"/>
        </w:rPr>
        <w:t>Stefano Chiaravalli</w:t>
      </w:r>
      <w:r w:rsidRPr="009B6A6F">
        <w:rPr>
          <w:color w:val="000000" w:themeColor="text1"/>
          <w:vertAlign w:val="superscript"/>
        </w:rPr>
        <w:t>6</w:t>
      </w:r>
      <w:r>
        <w:rPr>
          <w:color w:val="000000" w:themeColor="text1"/>
        </w:rPr>
        <w:t>, Michela Casanova</w:t>
      </w:r>
      <w:r w:rsidRPr="009B6A6F">
        <w:rPr>
          <w:color w:val="000000" w:themeColor="text1"/>
          <w:vertAlign w:val="superscript"/>
        </w:rPr>
        <w:t>6</w:t>
      </w:r>
      <w:r>
        <w:rPr>
          <w:color w:val="000000" w:themeColor="text1"/>
        </w:rPr>
        <w:t xml:space="preserve">, </w:t>
      </w:r>
      <w:r w:rsidRPr="00E70C94">
        <w:rPr>
          <w:color w:val="000000" w:themeColor="text1"/>
        </w:rPr>
        <w:t>Rosalba Miceli</w:t>
      </w:r>
      <w:r w:rsidRPr="00E70C94">
        <w:rPr>
          <w:color w:val="000000" w:themeColor="text1"/>
          <w:vertAlign w:val="superscript"/>
        </w:rPr>
        <w:t>3</w:t>
      </w:r>
      <w:r w:rsidRPr="00E70C94">
        <w:rPr>
          <w:color w:val="000000" w:themeColor="text1"/>
        </w:rPr>
        <w:t xml:space="preserve">, </w:t>
      </w:r>
      <w:r w:rsidRPr="00E70C94">
        <w:rPr>
          <w:bCs/>
          <w:color w:val="000000" w:themeColor="text1"/>
        </w:rPr>
        <w:t>Sandro Pasquali</w:t>
      </w:r>
      <w:r w:rsidRPr="00E70C94">
        <w:rPr>
          <w:bCs/>
          <w:color w:val="000000" w:themeColor="text1"/>
          <w:vertAlign w:val="superscript"/>
        </w:rPr>
        <w:t>2</w:t>
      </w:r>
      <w:r w:rsidRPr="00E70C94">
        <w:rPr>
          <w:bCs/>
          <w:color w:val="000000" w:themeColor="text1"/>
        </w:rPr>
        <w:t xml:space="preserve">, </w:t>
      </w:r>
      <w:r w:rsidRPr="00E70C94">
        <w:rPr>
          <w:color w:val="000000" w:themeColor="text1"/>
        </w:rPr>
        <w:t>Andrea Ferrari</w:t>
      </w:r>
      <w:r w:rsidRPr="00E70C94">
        <w:rPr>
          <w:color w:val="000000" w:themeColor="text1"/>
          <w:vertAlign w:val="superscript"/>
        </w:rPr>
        <w:t>6</w:t>
      </w:r>
      <w:r>
        <w:rPr>
          <w:color w:val="000000" w:themeColor="text1"/>
          <w:vertAlign w:val="superscript"/>
        </w:rPr>
        <w:t>,7</w:t>
      </w:r>
      <w:r w:rsidRPr="00E70C94">
        <w:rPr>
          <w:color w:val="000000" w:themeColor="text1"/>
        </w:rPr>
        <w:t>, Patrizia Gasparini</w:t>
      </w:r>
      <w:r>
        <w:rPr>
          <w:color w:val="000000" w:themeColor="text1"/>
          <w:vertAlign w:val="superscript"/>
        </w:rPr>
        <w:t>8,</w:t>
      </w:r>
      <w:r w:rsidRPr="00E70C94">
        <w:rPr>
          <w:bCs/>
          <w:color w:val="000000" w:themeColor="text1"/>
          <w:vertAlign w:val="superscript"/>
        </w:rPr>
        <w:t>$</w:t>
      </w:r>
      <w:r w:rsidRPr="00E70C94">
        <w:rPr>
          <w:bCs/>
          <w:color w:val="000000" w:themeColor="text1"/>
        </w:rPr>
        <w:t xml:space="preserve">, </w:t>
      </w:r>
      <w:r w:rsidRPr="00E70C94">
        <w:rPr>
          <w:color w:val="000000" w:themeColor="text1"/>
        </w:rPr>
        <w:t>Roberta</w:t>
      </w:r>
      <w:r w:rsidRPr="00E70C94">
        <w:rPr>
          <w:bCs/>
          <w:color w:val="000000" w:themeColor="text1"/>
        </w:rPr>
        <w:t xml:space="preserve"> Sulsenti</w:t>
      </w:r>
      <w:r w:rsidRPr="00E70C94">
        <w:rPr>
          <w:bCs/>
          <w:color w:val="000000" w:themeColor="text1"/>
          <w:vertAlign w:val="superscript"/>
        </w:rPr>
        <w:t>1</w:t>
      </w:r>
      <w:r>
        <w:rPr>
          <w:bCs/>
          <w:color w:val="000000" w:themeColor="text1"/>
          <w:vertAlign w:val="superscript"/>
        </w:rPr>
        <w:t>,</w:t>
      </w:r>
      <w:r w:rsidRPr="00E70C94">
        <w:rPr>
          <w:bCs/>
          <w:color w:val="000000" w:themeColor="text1"/>
          <w:vertAlign w:val="superscript"/>
        </w:rPr>
        <w:t>$</w:t>
      </w:r>
      <w:r w:rsidRPr="00E70C94">
        <w:rPr>
          <w:bCs/>
          <w:color w:val="000000" w:themeColor="text1"/>
        </w:rPr>
        <w:t xml:space="preserve">, and </w:t>
      </w:r>
      <w:r w:rsidRPr="00E70C94">
        <w:rPr>
          <w:color w:val="000000" w:themeColor="text1"/>
        </w:rPr>
        <w:t>Elena Jachetti</w:t>
      </w:r>
      <w:r w:rsidRPr="00E70C94">
        <w:rPr>
          <w:color w:val="000000" w:themeColor="text1"/>
          <w:vertAlign w:val="superscript"/>
        </w:rPr>
        <w:t>1</w:t>
      </w:r>
      <w:r>
        <w:rPr>
          <w:color w:val="000000" w:themeColor="text1"/>
          <w:vertAlign w:val="superscript"/>
        </w:rPr>
        <w:t>,</w:t>
      </w:r>
      <w:r w:rsidRPr="00E70C94">
        <w:rPr>
          <w:color w:val="000000" w:themeColor="text1"/>
          <w:vertAlign w:val="superscript"/>
        </w:rPr>
        <w:t>$</w:t>
      </w:r>
      <w:r>
        <w:rPr>
          <w:color w:val="000000" w:themeColor="text1"/>
          <w:vertAlign w:val="superscript"/>
        </w:rPr>
        <w:t>,</w:t>
      </w:r>
      <w:r w:rsidRPr="00E70C94">
        <w:rPr>
          <w:color w:val="000000" w:themeColor="text1"/>
          <w:vertAlign w:val="superscript"/>
        </w:rPr>
        <w:t>*</w:t>
      </w:r>
    </w:p>
    <w:p w:rsidR="0054075E" w:rsidRPr="0054075E" w:rsidRDefault="0054075E" w:rsidP="0054075E">
      <w:pPr>
        <w:spacing w:line="360" w:lineRule="auto"/>
        <w:jc w:val="center"/>
        <w:rPr>
          <w:b/>
          <w:bCs/>
        </w:rPr>
      </w:pPr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</w:rPr>
      </w:pPr>
      <w:r w:rsidRPr="00B4720C">
        <w:rPr>
          <w:i/>
          <w:iCs/>
          <w:color w:val="000000" w:themeColor="text1"/>
          <w:sz w:val="20"/>
          <w:szCs w:val="20"/>
          <w:vertAlign w:val="superscript"/>
        </w:rPr>
        <w:t xml:space="preserve">1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Molecular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Immunology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Unit, Department of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Translational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Research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Epidemiology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and Data Science, Fondazione IRCCS Istituto Nazionale dei Tumori di Milano, Milan,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Italy</w:t>
      </w:r>
      <w:proofErr w:type="spellEnd"/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</w:rPr>
      </w:pPr>
      <w:proofErr w:type="gramStart"/>
      <w:r w:rsidRPr="00B4720C">
        <w:rPr>
          <w:i/>
          <w:iCs/>
          <w:color w:val="000000" w:themeColor="text1"/>
          <w:sz w:val="20"/>
          <w:szCs w:val="20"/>
          <w:vertAlign w:val="superscript"/>
        </w:rPr>
        <w:t xml:space="preserve">2 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Molecular</w:t>
      </w:r>
      <w:proofErr w:type="spellEnd"/>
      <w:proofErr w:type="gramEnd"/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Pharmacology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Unit, Department of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Translational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Research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Epidemiology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and Data Science, Fondazione IRCCS Istituto Nazionale dei Tumori di Milano, Milan,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Italy</w:t>
      </w:r>
      <w:proofErr w:type="spellEnd"/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00B4720C">
        <w:rPr>
          <w:i/>
          <w:iCs/>
          <w:color w:val="000000" w:themeColor="text1"/>
          <w:sz w:val="20"/>
          <w:szCs w:val="20"/>
          <w:vertAlign w:val="superscript"/>
          <w:lang w:val="en-US"/>
        </w:rPr>
        <w:t xml:space="preserve">3 </w:t>
      </w:r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Unit of Biostatistics for Clinical Research, Department of Translational Research Epidemiology and Data Science, Fondazione IRCCS </w:t>
      </w:r>
      <w:proofErr w:type="spellStart"/>
      <w:r w:rsidRPr="00B4720C">
        <w:rPr>
          <w:i/>
          <w:iCs/>
          <w:color w:val="000000" w:themeColor="text1"/>
          <w:sz w:val="20"/>
          <w:szCs w:val="20"/>
          <w:lang w:val="en-US"/>
        </w:rPr>
        <w:t>Istituto</w:t>
      </w:r>
      <w:proofErr w:type="spellEnd"/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 Nazionale </w:t>
      </w:r>
      <w:proofErr w:type="spellStart"/>
      <w:r w:rsidRPr="00B4720C">
        <w:rPr>
          <w:i/>
          <w:iCs/>
          <w:color w:val="000000" w:themeColor="text1"/>
          <w:sz w:val="20"/>
          <w:szCs w:val="20"/>
          <w:lang w:val="en-US"/>
        </w:rPr>
        <w:t>dei</w:t>
      </w:r>
      <w:proofErr w:type="spellEnd"/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  <w:lang w:val="en-US"/>
        </w:rPr>
        <w:t>Tumori</w:t>
      </w:r>
      <w:proofErr w:type="spellEnd"/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 di Milano, Milan, Italy </w:t>
      </w:r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</w:rPr>
      </w:pPr>
      <w:r w:rsidRPr="00B4720C">
        <w:rPr>
          <w:i/>
          <w:iCs/>
          <w:color w:val="000000" w:themeColor="text1"/>
          <w:sz w:val="20"/>
          <w:szCs w:val="20"/>
          <w:vertAlign w:val="superscript"/>
        </w:rPr>
        <w:t>4</w:t>
      </w:r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Pathology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Unit,</w:t>
      </w:r>
      <w:r w:rsidRPr="00B4720C">
        <w:rPr>
          <w:i/>
          <w:iCs/>
          <w:color w:val="000000" w:themeColor="text1"/>
          <w:sz w:val="20"/>
          <w:szCs w:val="20"/>
          <w:vertAlign w:val="superscript"/>
        </w:rPr>
        <w:t xml:space="preserve"> </w:t>
      </w:r>
      <w:r w:rsidRPr="00B4720C">
        <w:rPr>
          <w:i/>
          <w:iCs/>
          <w:color w:val="000000" w:themeColor="text1"/>
          <w:sz w:val="20"/>
          <w:szCs w:val="20"/>
        </w:rPr>
        <w:t xml:space="preserve">Department of Advanced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Diagnostics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, Fondazione IRCCS Istituto Nazionale      dei Tumori di Milano, Milan,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Italy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>.</w:t>
      </w:r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</w:rPr>
      </w:pPr>
      <w:r w:rsidRPr="00B4720C">
        <w:rPr>
          <w:i/>
          <w:iCs/>
          <w:color w:val="000000" w:themeColor="text1"/>
          <w:sz w:val="20"/>
          <w:szCs w:val="20"/>
          <w:vertAlign w:val="superscript"/>
        </w:rPr>
        <w:t xml:space="preserve">5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Integrated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Biology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of Rare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Cancers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Unit, Department of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Translational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Research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Epidemiology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and Data Science, Fondazione IRCCS Istituto Nazionale dei Tumori di Milano, Milan,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Italy</w:t>
      </w:r>
      <w:proofErr w:type="spellEnd"/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  <w:vertAlign w:val="superscript"/>
        </w:rPr>
      </w:pPr>
      <w:r w:rsidRPr="00B4720C">
        <w:rPr>
          <w:i/>
          <w:iCs/>
          <w:color w:val="000000" w:themeColor="text1"/>
          <w:sz w:val="20"/>
          <w:szCs w:val="20"/>
          <w:vertAlign w:val="superscript"/>
        </w:rPr>
        <w:t>6</w:t>
      </w:r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Pediatric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Oncology</w:t>
      </w:r>
      <w:proofErr w:type="spellEnd"/>
      <w:r w:rsidRPr="00B4720C">
        <w:rPr>
          <w:i/>
          <w:iCs/>
          <w:color w:val="000000" w:themeColor="text1"/>
          <w:sz w:val="20"/>
          <w:szCs w:val="20"/>
        </w:rPr>
        <w:t xml:space="preserve"> Unit, Fondazione IRCCS Istituto Nazionale dei Tumori di Milano, Milan, </w:t>
      </w:r>
      <w:proofErr w:type="spellStart"/>
      <w:r w:rsidRPr="00B4720C">
        <w:rPr>
          <w:i/>
          <w:iCs/>
          <w:color w:val="000000" w:themeColor="text1"/>
          <w:sz w:val="20"/>
          <w:szCs w:val="20"/>
        </w:rPr>
        <w:t>Italy</w:t>
      </w:r>
      <w:proofErr w:type="spellEnd"/>
      <w:r w:rsidRPr="00B4720C">
        <w:rPr>
          <w:i/>
          <w:iCs/>
          <w:color w:val="000000" w:themeColor="text1"/>
          <w:sz w:val="20"/>
          <w:szCs w:val="20"/>
          <w:vertAlign w:val="superscript"/>
        </w:rPr>
        <w:t xml:space="preserve"> </w:t>
      </w:r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00B4720C">
        <w:rPr>
          <w:i/>
          <w:iCs/>
          <w:color w:val="000000" w:themeColor="text1"/>
          <w:sz w:val="20"/>
          <w:szCs w:val="20"/>
          <w:vertAlign w:val="superscript"/>
          <w:lang w:val="en-US"/>
        </w:rPr>
        <w:t>7</w:t>
      </w:r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 Department of Oncology and </w:t>
      </w:r>
      <w:proofErr w:type="spellStart"/>
      <w:r w:rsidRPr="00B4720C">
        <w:rPr>
          <w:i/>
          <w:iCs/>
          <w:color w:val="000000" w:themeColor="text1"/>
          <w:sz w:val="20"/>
          <w:szCs w:val="20"/>
          <w:lang w:val="en-US"/>
        </w:rPr>
        <w:t>Hemato</w:t>
      </w:r>
      <w:proofErr w:type="spellEnd"/>
      <w:r w:rsidRPr="00B4720C">
        <w:rPr>
          <w:i/>
          <w:iCs/>
          <w:color w:val="000000" w:themeColor="text1"/>
          <w:sz w:val="20"/>
          <w:szCs w:val="20"/>
          <w:lang w:val="en-US"/>
        </w:rPr>
        <w:t>-oncology, University of Milan, Milan, Italy</w:t>
      </w:r>
    </w:p>
    <w:p w:rsidR="00B4720C" w:rsidRPr="00B4720C" w:rsidRDefault="00B4720C" w:rsidP="00B4720C">
      <w:pPr>
        <w:adjustRightInd w:val="0"/>
        <w:spacing w:line="360" w:lineRule="auto"/>
        <w:ind w:left="142"/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00B4720C">
        <w:rPr>
          <w:i/>
          <w:iCs/>
          <w:color w:val="000000" w:themeColor="text1"/>
          <w:sz w:val="20"/>
          <w:szCs w:val="20"/>
          <w:vertAlign w:val="superscript"/>
          <w:lang w:val="en-US"/>
        </w:rPr>
        <w:t xml:space="preserve">8 </w:t>
      </w:r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Epigenomic and Biomarkers of Solid Tumors Unit, Department of Translational Research, Epidemiology and Data Science, Fondazione IRCCS </w:t>
      </w:r>
      <w:proofErr w:type="spellStart"/>
      <w:r w:rsidRPr="00B4720C">
        <w:rPr>
          <w:i/>
          <w:iCs/>
          <w:color w:val="000000" w:themeColor="text1"/>
          <w:sz w:val="20"/>
          <w:szCs w:val="20"/>
          <w:lang w:val="en-US"/>
        </w:rPr>
        <w:t>Istituto</w:t>
      </w:r>
      <w:proofErr w:type="spellEnd"/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 Nazionale </w:t>
      </w:r>
      <w:proofErr w:type="spellStart"/>
      <w:r w:rsidRPr="00B4720C">
        <w:rPr>
          <w:i/>
          <w:iCs/>
          <w:color w:val="000000" w:themeColor="text1"/>
          <w:sz w:val="20"/>
          <w:szCs w:val="20"/>
          <w:lang w:val="en-US"/>
        </w:rPr>
        <w:t>dei</w:t>
      </w:r>
      <w:proofErr w:type="spellEnd"/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4720C">
        <w:rPr>
          <w:i/>
          <w:iCs/>
          <w:color w:val="000000" w:themeColor="text1"/>
          <w:sz w:val="20"/>
          <w:szCs w:val="20"/>
          <w:lang w:val="en-US"/>
        </w:rPr>
        <w:t>Tumori</w:t>
      </w:r>
      <w:proofErr w:type="spellEnd"/>
      <w:r w:rsidRPr="00B4720C">
        <w:rPr>
          <w:i/>
          <w:iCs/>
          <w:color w:val="000000" w:themeColor="text1"/>
          <w:sz w:val="20"/>
          <w:szCs w:val="20"/>
          <w:lang w:val="en-US"/>
        </w:rPr>
        <w:t xml:space="preserve"> di Milano, Milan, Italy</w:t>
      </w:r>
    </w:p>
    <w:p w:rsidR="0054075E" w:rsidRPr="00D0417B" w:rsidRDefault="0054075E" w:rsidP="0054075E">
      <w:pPr>
        <w:spacing w:line="360" w:lineRule="auto"/>
        <w:jc w:val="center"/>
        <w:rPr>
          <w:b/>
          <w:bCs/>
          <w:lang w:val="en-US"/>
        </w:rPr>
      </w:pPr>
    </w:p>
    <w:p w:rsidR="0054075E" w:rsidRPr="00D0417B" w:rsidRDefault="0054075E" w:rsidP="0054075E">
      <w:pPr>
        <w:spacing w:line="360" w:lineRule="auto"/>
        <w:jc w:val="center"/>
        <w:rPr>
          <w:b/>
          <w:bCs/>
          <w:lang w:val="en-US"/>
        </w:rPr>
      </w:pPr>
    </w:p>
    <w:p w:rsidR="0054075E" w:rsidRPr="00D0417B" w:rsidRDefault="0054075E" w:rsidP="008B5814">
      <w:pPr>
        <w:spacing w:line="360" w:lineRule="auto"/>
        <w:contextualSpacing/>
        <w:jc w:val="both"/>
        <w:rPr>
          <w:b/>
          <w:bCs/>
          <w:lang w:val="en-US"/>
        </w:rPr>
      </w:pPr>
    </w:p>
    <w:p w:rsidR="0054075E" w:rsidRPr="0054075E" w:rsidRDefault="0054075E" w:rsidP="008B5814">
      <w:pPr>
        <w:spacing w:line="360" w:lineRule="auto"/>
        <w:contextualSpacing/>
        <w:jc w:val="both"/>
        <w:rPr>
          <w:lang w:val="en-US"/>
        </w:rPr>
      </w:pPr>
      <w:r w:rsidRPr="0054075E">
        <w:rPr>
          <w:lang w:val="en-US"/>
        </w:rPr>
        <w:t xml:space="preserve">Supplementary </w:t>
      </w:r>
      <w:r w:rsidR="000D082F">
        <w:rPr>
          <w:lang w:val="en-US"/>
        </w:rPr>
        <w:t>information</w:t>
      </w:r>
      <w:r w:rsidRPr="0054075E">
        <w:rPr>
          <w:lang w:val="en-US"/>
        </w:rPr>
        <w:t xml:space="preserve"> includes three supplementary tables (</w:t>
      </w:r>
      <w:r w:rsidR="000D082F">
        <w:rPr>
          <w:lang w:val="en-US"/>
        </w:rPr>
        <w:t xml:space="preserve">provided </w:t>
      </w:r>
      <w:r w:rsidRPr="0054075E">
        <w:rPr>
          <w:lang w:val="en-US"/>
        </w:rPr>
        <w:t>as separate excel files) and one supplementary figure</w:t>
      </w:r>
      <w:r w:rsidR="000D082F">
        <w:rPr>
          <w:lang w:val="en-US"/>
        </w:rPr>
        <w:t>.</w:t>
      </w:r>
    </w:p>
    <w:p w:rsidR="008B5814" w:rsidRDefault="008B5814" w:rsidP="008B5814">
      <w:pPr>
        <w:spacing w:line="360" w:lineRule="auto"/>
        <w:contextualSpacing/>
        <w:jc w:val="both"/>
        <w:rPr>
          <w:lang w:val="en-US"/>
        </w:rPr>
      </w:pPr>
    </w:p>
    <w:p w:rsidR="0054075E" w:rsidRDefault="0054075E" w:rsidP="008B5814">
      <w:pPr>
        <w:spacing w:line="360" w:lineRule="auto"/>
        <w:contextualSpacing/>
        <w:jc w:val="both"/>
        <w:rPr>
          <w:lang w:val="en-US"/>
        </w:rPr>
      </w:pPr>
    </w:p>
    <w:p w:rsidR="0054075E" w:rsidRPr="00F27244" w:rsidRDefault="0054075E" w:rsidP="008B5814">
      <w:pPr>
        <w:spacing w:line="360" w:lineRule="auto"/>
        <w:contextualSpacing/>
        <w:jc w:val="both"/>
        <w:rPr>
          <w:lang w:val="en-US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>
            <wp:extent cx="5749290" cy="9073515"/>
            <wp:effectExtent l="0" t="0" r="3810" b="0"/>
            <wp:docPr id="7239591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59151" name="Immagine 72395915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907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814" w:rsidRPr="00F27244" w:rsidRDefault="008B5814" w:rsidP="008B5814">
      <w:pPr>
        <w:spacing w:line="360" w:lineRule="auto"/>
        <w:contextualSpacing/>
        <w:jc w:val="both"/>
        <w:rPr>
          <w:color w:val="000000" w:themeColor="text1"/>
          <w:lang w:val="en-US"/>
        </w:rPr>
      </w:pPr>
      <w:r w:rsidRPr="00F27244">
        <w:rPr>
          <w:b/>
          <w:bCs/>
          <w:lang w:val="en-US"/>
        </w:rPr>
        <w:lastRenderedPageBreak/>
        <w:t xml:space="preserve">Supplementary Figure 1. </w:t>
      </w:r>
      <w:r w:rsidRPr="00F27244">
        <w:rPr>
          <w:b/>
          <w:bCs/>
          <w:color w:val="000000" w:themeColor="text1"/>
          <w:lang w:val="en-US"/>
        </w:rPr>
        <w:t>Pathway enrichment analysis</w:t>
      </w:r>
      <w:r>
        <w:rPr>
          <w:b/>
          <w:bCs/>
          <w:color w:val="000000" w:themeColor="text1"/>
          <w:lang w:val="en-US"/>
        </w:rPr>
        <w:t xml:space="preserve"> confirms the biological features of</w:t>
      </w:r>
      <w:r w:rsidRPr="00F27244">
        <w:rPr>
          <w:b/>
          <w:bCs/>
          <w:color w:val="000000" w:themeColor="text1"/>
          <w:lang w:val="en-US"/>
        </w:rPr>
        <w:t xml:space="preserve"> PAAS-RMS</w:t>
      </w:r>
      <w:r>
        <w:rPr>
          <w:b/>
          <w:bCs/>
          <w:color w:val="000000" w:themeColor="text1"/>
          <w:lang w:val="en-US"/>
        </w:rPr>
        <w:t xml:space="preserve"> in the </w:t>
      </w:r>
      <w:proofErr w:type="spellStart"/>
      <w:r>
        <w:rPr>
          <w:b/>
          <w:bCs/>
          <w:color w:val="000000" w:themeColor="text1"/>
          <w:lang w:val="en-US"/>
        </w:rPr>
        <w:t>Davicioni</w:t>
      </w:r>
      <w:proofErr w:type="spellEnd"/>
      <w:r>
        <w:rPr>
          <w:b/>
          <w:bCs/>
          <w:color w:val="000000" w:themeColor="text1"/>
          <w:lang w:val="en-US"/>
        </w:rPr>
        <w:t xml:space="preserve"> datasets</w:t>
      </w:r>
      <w:r w:rsidRPr="00F27244">
        <w:rPr>
          <w:b/>
          <w:bCs/>
          <w:color w:val="000000" w:themeColor="text1"/>
          <w:lang w:val="en-US"/>
        </w:rPr>
        <w:t xml:space="preserve">. </w:t>
      </w:r>
      <w:r w:rsidRPr="00F27244">
        <w:rPr>
          <w:b/>
          <w:bCs/>
          <w:lang w:val="en-US"/>
        </w:rPr>
        <w:t xml:space="preserve">A-B. </w:t>
      </w:r>
      <w:r w:rsidRPr="00F27244">
        <w:rPr>
          <w:lang w:val="en-US"/>
        </w:rPr>
        <w:t>Bubble plots illustrate the</w:t>
      </w:r>
      <w:r w:rsidRPr="00F27244">
        <w:rPr>
          <w:color w:val="000000" w:themeColor="text1"/>
          <w:lang w:val="en-US"/>
        </w:rPr>
        <w:t xml:space="preserve"> top-30 negative (left panels) and</w:t>
      </w:r>
      <w:r w:rsidRPr="00F27244">
        <w:rPr>
          <w:lang w:val="en-US"/>
        </w:rPr>
        <w:t xml:space="preserve"> </w:t>
      </w:r>
      <w:r w:rsidRPr="00F27244">
        <w:rPr>
          <w:color w:val="000000" w:themeColor="text1"/>
          <w:lang w:val="en-US"/>
        </w:rPr>
        <w:t>top-30 positive (right panels) enriched gene sets identified by GSEA in the NE-LIN</w:t>
      </w:r>
      <w:r w:rsidRPr="00F27244">
        <w:rPr>
          <w:color w:val="000000" w:themeColor="text1"/>
          <w:vertAlign w:val="superscript"/>
          <w:lang w:val="en-US"/>
        </w:rPr>
        <w:t>high</w:t>
      </w:r>
      <w:r w:rsidRPr="00F27244">
        <w:rPr>
          <w:color w:val="000000" w:themeColor="text1"/>
          <w:lang w:val="en-US"/>
        </w:rPr>
        <w:t>/MC</w:t>
      </w:r>
      <w:r w:rsidRPr="00F27244">
        <w:rPr>
          <w:color w:val="000000" w:themeColor="text1"/>
          <w:vertAlign w:val="superscript"/>
          <w:lang w:val="en-US"/>
        </w:rPr>
        <w:t xml:space="preserve">low </w:t>
      </w:r>
      <w:r w:rsidRPr="00F27244">
        <w:rPr>
          <w:color w:val="000000" w:themeColor="text1"/>
          <w:lang w:val="en-US"/>
        </w:rPr>
        <w:t>vs</w:t>
      </w:r>
      <w:r w:rsidRPr="00F27244">
        <w:rPr>
          <w:color w:val="000000" w:themeColor="text1"/>
          <w:vertAlign w:val="superscript"/>
          <w:lang w:val="en-US"/>
        </w:rPr>
        <w:t xml:space="preserve"> </w:t>
      </w:r>
      <w:r w:rsidRPr="00F27244">
        <w:rPr>
          <w:color w:val="000000" w:themeColor="text1"/>
          <w:lang w:val="en-US"/>
        </w:rPr>
        <w:t>NE-LIN</w:t>
      </w:r>
      <w:r w:rsidRPr="00F27244">
        <w:rPr>
          <w:color w:val="000000" w:themeColor="text1"/>
          <w:vertAlign w:val="superscript"/>
          <w:lang w:val="en-US"/>
        </w:rPr>
        <w:t>low</w:t>
      </w:r>
      <w:r w:rsidRPr="00F27244">
        <w:rPr>
          <w:color w:val="000000" w:themeColor="text1"/>
          <w:lang w:val="en-US"/>
        </w:rPr>
        <w:t>/MC</w:t>
      </w:r>
      <w:r w:rsidRPr="00F27244">
        <w:rPr>
          <w:color w:val="000000" w:themeColor="text1"/>
          <w:vertAlign w:val="superscript"/>
          <w:lang w:val="en-US"/>
        </w:rPr>
        <w:t>high</w:t>
      </w:r>
      <w:r>
        <w:rPr>
          <w:color w:val="000000" w:themeColor="text1"/>
          <w:vertAlign w:val="superscript"/>
          <w:lang w:val="en-US"/>
        </w:rPr>
        <w:t xml:space="preserve"> </w:t>
      </w:r>
      <w:r w:rsidRPr="00D7074D">
        <w:rPr>
          <w:color w:val="000000" w:themeColor="text1"/>
          <w:lang w:val="en-US"/>
        </w:rPr>
        <w:t>+</w:t>
      </w:r>
      <w:r>
        <w:rPr>
          <w:color w:val="000000" w:themeColor="text1"/>
          <w:lang w:val="en-US"/>
        </w:rPr>
        <w:t xml:space="preserve"> </w:t>
      </w:r>
      <w:r w:rsidRPr="00F27244">
        <w:rPr>
          <w:color w:val="000000" w:themeColor="text1"/>
          <w:lang w:val="en-US"/>
        </w:rPr>
        <w:t>NE-LIN</w:t>
      </w:r>
      <w:r w:rsidRPr="00F27244">
        <w:rPr>
          <w:color w:val="000000" w:themeColor="text1"/>
          <w:vertAlign w:val="superscript"/>
          <w:lang w:val="en-US"/>
        </w:rPr>
        <w:t>low</w:t>
      </w:r>
      <w:r w:rsidRPr="00F27244">
        <w:rPr>
          <w:color w:val="000000" w:themeColor="text1"/>
          <w:lang w:val="en-US"/>
        </w:rPr>
        <w:t>/MC</w:t>
      </w:r>
      <w:r>
        <w:rPr>
          <w:color w:val="000000" w:themeColor="text1"/>
          <w:vertAlign w:val="superscript"/>
          <w:lang w:val="en-US"/>
        </w:rPr>
        <w:t>low</w:t>
      </w:r>
      <w:r w:rsidRPr="00F27244">
        <w:rPr>
          <w:color w:val="000000" w:themeColor="text1"/>
          <w:vertAlign w:val="superscript"/>
          <w:lang w:val="en-US"/>
        </w:rPr>
        <w:t xml:space="preserve"> </w:t>
      </w:r>
      <w:r w:rsidRPr="00F27244">
        <w:rPr>
          <w:color w:val="000000" w:themeColor="text1"/>
          <w:lang w:val="en-US"/>
        </w:rPr>
        <w:t>comparison</w:t>
      </w:r>
      <w:r>
        <w:rPr>
          <w:color w:val="000000" w:themeColor="text1"/>
          <w:lang w:val="en-US"/>
        </w:rPr>
        <w:t xml:space="preserve">, </w:t>
      </w:r>
      <w:r w:rsidRPr="00F27244">
        <w:rPr>
          <w:color w:val="000000" w:themeColor="text1"/>
          <w:lang w:val="en-US"/>
        </w:rPr>
        <w:t xml:space="preserve">ranked according to their normalized enrichment score (NES); only significantly enriched pathways are shown. </w:t>
      </w:r>
      <w:r w:rsidRPr="00F27244">
        <w:rPr>
          <w:b/>
          <w:bCs/>
          <w:color w:val="000000" w:themeColor="text1"/>
          <w:lang w:val="en-US"/>
        </w:rPr>
        <w:t>C</w:t>
      </w:r>
      <w:r w:rsidRPr="00F27244">
        <w:rPr>
          <w:color w:val="000000" w:themeColor="text1"/>
          <w:lang w:val="en-US"/>
        </w:rPr>
        <w:t>. Selected myogenesis-related gene sets significantly enriched in the NE-LIN</w:t>
      </w:r>
      <w:r w:rsidRPr="00F27244">
        <w:rPr>
          <w:color w:val="000000" w:themeColor="text1"/>
          <w:vertAlign w:val="superscript"/>
          <w:lang w:val="en-US"/>
        </w:rPr>
        <w:t>high</w:t>
      </w:r>
      <w:r w:rsidRPr="00F27244">
        <w:rPr>
          <w:color w:val="000000" w:themeColor="text1"/>
          <w:lang w:val="en-US"/>
        </w:rPr>
        <w:t>/MC</w:t>
      </w:r>
      <w:r w:rsidRPr="00F27244">
        <w:rPr>
          <w:color w:val="000000" w:themeColor="text1"/>
          <w:vertAlign w:val="superscript"/>
          <w:lang w:val="en-US"/>
        </w:rPr>
        <w:t xml:space="preserve">low </w:t>
      </w:r>
      <w:r w:rsidRPr="00F27244">
        <w:rPr>
          <w:color w:val="000000" w:themeColor="text1"/>
          <w:lang w:val="en-US"/>
        </w:rPr>
        <w:t xml:space="preserve">cluster. The table reports NES and adjusted </w:t>
      </w:r>
      <w:r w:rsidRPr="00F27244">
        <w:rPr>
          <w:i/>
          <w:iCs/>
          <w:color w:val="000000" w:themeColor="text1"/>
          <w:lang w:val="en-US"/>
        </w:rPr>
        <w:t>P</w:t>
      </w:r>
      <w:r w:rsidRPr="00F27244">
        <w:rPr>
          <w:color w:val="000000" w:themeColor="text1"/>
          <w:lang w:val="en-US"/>
        </w:rPr>
        <w:t xml:space="preserve"> value for each gene set.</w:t>
      </w:r>
    </w:p>
    <w:p w:rsidR="001E0BA0" w:rsidRPr="008B5814" w:rsidRDefault="001E0BA0">
      <w:pPr>
        <w:rPr>
          <w:lang w:val="en-US"/>
        </w:rPr>
      </w:pPr>
    </w:p>
    <w:sectPr w:rsidR="001E0BA0" w:rsidRPr="008B5814" w:rsidSect="00B4720C">
      <w:footerReference w:type="even" r:id="rId7"/>
      <w:footerReference w:type="default" r:id="rId8"/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7E0B" w:rsidRDefault="007F7E0B" w:rsidP="00C352A2">
      <w:r>
        <w:separator/>
      </w:r>
    </w:p>
  </w:endnote>
  <w:endnote w:type="continuationSeparator" w:id="0">
    <w:p w:rsidR="007F7E0B" w:rsidRDefault="007F7E0B" w:rsidP="00C3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757438947"/>
      <w:docPartObj>
        <w:docPartGallery w:val="Page Numbers (Bottom of Page)"/>
        <w:docPartUnique/>
      </w:docPartObj>
    </w:sdtPr>
    <w:sdtContent>
      <w:p w:rsidR="00C352A2" w:rsidRDefault="00C352A2" w:rsidP="00AC065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C352A2" w:rsidRDefault="00C352A2" w:rsidP="00C352A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037958882"/>
      <w:docPartObj>
        <w:docPartGallery w:val="Page Numbers (Bottom of Page)"/>
        <w:docPartUnique/>
      </w:docPartObj>
    </w:sdtPr>
    <w:sdtContent>
      <w:p w:rsidR="00C352A2" w:rsidRDefault="00C352A2" w:rsidP="00AC065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C352A2" w:rsidRDefault="00C352A2" w:rsidP="00C352A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7E0B" w:rsidRDefault="007F7E0B" w:rsidP="00C352A2">
      <w:r>
        <w:separator/>
      </w:r>
    </w:p>
  </w:footnote>
  <w:footnote w:type="continuationSeparator" w:id="0">
    <w:p w:rsidR="007F7E0B" w:rsidRDefault="007F7E0B" w:rsidP="00C352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14"/>
    <w:rsid w:val="00000A9F"/>
    <w:rsid w:val="00041D05"/>
    <w:rsid w:val="00070781"/>
    <w:rsid w:val="000803E5"/>
    <w:rsid w:val="00090A6D"/>
    <w:rsid w:val="000D082F"/>
    <w:rsid w:val="001011CD"/>
    <w:rsid w:val="0013176B"/>
    <w:rsid w:val="00136F47"/>
    <w:rsid w:val="00171D8A"/>
    <w:rsid w:val="00194BA6"/>
    <w:rsid w:val="001B6838"/>
    <w:rsid w:val="001E0BA0"/>
    <w:rsid w:val="001F7FB3"/>
    <w:rsid w:val="0020574C"/>
    <w:rsid w:val="00236821"/>
    <w:rsid w:val="0026154D"/>
    <w:rsid w:val="00265745"/>
    <w:rsid w:val="0028370A"/>
    <w:rsid w:val="002B25E7"/>
    <w:rsid w:val="002D6B5C"/>
    <w:rsid w:val="002D7AB1"/>
    <w:rsid w:val="002F6756"/>
    <w:rsid w:val="0030710B"/>
    <w:rsid w:val="0035324C"/>
    <w:rsid w:val="0036044F"/>
    <w:rsid w:val="00373BF4"/>
    <w:rsid w:val="0037584E"/>
    <w:rsid w:val="003942C3"/>
    <w:rsid w:val="003E72FD"/>
    <w:rsid w:val="003F3662"/>
    <w:rsid w:val="004006F0"/>
    <w:rsid w:val="0040349F"/>
    <w:rsid w:val="004311C4"/>
    <w:rsid w:val="0043151F"/>
    <w:rsid w:val="004444F8"/>
    <w:rsid w:val="00447FFE"/>
    <w:rsid w:val="00464917"/>
    <w:rsid w:val="00486C99"/>
    <w:rsid w:val="0048726F"/>
    <w:rsid w:val="00495E0D"/>
    <w:rsid w:val="004F402C"/>
    <w:rsid w:val="00532AD7"/>
    <w:rsid w:val="00533917"/>
    <w:rsid w:val="0054075E"/>
    <w:rsid w:val="005A6423"/>
    <w:rsid w:val="005C15D6"/>
    <w:rsid w:val="005D778E"/>
    <w:rsid w:val="005E2BE0"/>
    <w:rsid w:val="005F48D7"/>
    <w:rsid w:val="00600999"/>
    <w:rsid w:val="00603703"/>
    <w:rsid w:val="0061731A"/>
    <w:rsid w:val="00624B62"/>
    <w:rsid w:val="0063056D"/>
    <w:rsid w:val="0064118C"/>
    <w:rsid w:val="006872DF"/>
    <w:rsid w:val="006937DC"/>
    <w:rsid w:val="006A6CEF"/>
    <w:rsid w:val="006C22C4"/>
    <w:rsid w:val="006E2F8B"/>
    <w:rsid w:val="006F2295"/>
    <w:rsid w:val="007025EB"/>
    <w:rsid w:val="007B6623"/>
    <w:rsid w:val="007D0C8F"/>
    <w:rsid w:val="007D7BC1"/>
    <w:rsid w:val="007D7BE2"/>
    <w:rsid w:val="007F14FA"/>
    <w:rsid w:val="007F7E0B"/>
    <w:rsid w:val="00803ED8"/>
    <w:rsid w:val="008047E6"/>
    <w:rsid w:val="00872140"/>
    <w:rsid w:val="008A57CE"/>
    <w:rsid w:val="008B5814"/>
    <w:rsid w:val="008E603C"/>
    <w:rsid w:val="008E656B"/>
    <w:rsid w:val="00901C91"/>
    <w:rsid w:val="009027C1"/>
    <w:rsid w:val="00930049"/>
    <w:rsid w:val="00946965"/>
    <w:rsid w:val="009665D8"/>
    <w:rsid w:val="00971E37"/>
    <w:rsid w:val="009B0093"/>
    <w:rsid w:val="009E11C5"/>
    <w:rsid w:val="00A25ADF"/>
    <w:rsid w:val="00A27085"/>
    <w:rsid w:val="00A3116B"/>
    <w:rsid w:val="00A509AC"/>
    <w:rsid w:val="00A57A03"/>
    <w:rsid w:val="00A909A5"/>
    <w:rsid w:val="00AB2371"/>
    <w:rsid w:val="00AC137D"/>
    <w:rsid w:val="00AD3B09"/>
    <w:rsid w:val="00B03B2C"/>
    <w:rsid w:val="00B04F3C"/>
    <w:rsid w:val="00B4720C"/>
    <w:rsid w:val="00BA0DEC"/>
    <w:rsid w:val="00BE05E9"/>
    <w:rsid w:val="00BF365D"/>
    <w:rsid w:val="00C05EC0"/>
    <w:rsid w:val="00C111A2"/>
    <w:rsid w:val="00C352A2"/>
    <w:rsid w:val="00C35D11"/>
    <w:rsid w:val="00CB1382"/>
    <w:rsid w:val="00D0417B"/>
    <w:rsid w:val="00D36D21"/>
    <w:rsid w:val="00D72F31"/>
    <w:rsid w:val="00DB20AC"/>
    <w:rsid w:val="00DB2BF5"/>
    <w:rsid w:val="00E0281B"/>
    <w:rsid w:val="00E17E3A"/>
    <w:rsid w:val="00E21531"/>
    <w:rsid w:val="00E30881"/>
    <w:rsid w:val="00E450DB"/>
    <w:rsid w:val="00E827BD"/>
    <w:rsid w:val="00ED581A"/>
    <w:rsid w:val="00EE327F"/>
    <w:rsid w:val="00F234C2"/>
    <w:rsid w:val="00F32AF0"/>
    <w:rsid w:val="00F57969"/>
    <w:rsid w:val="00FD6ADA"/>
    <w:rsid w:val="00FE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3EB218"/>
  <w15:chartTrackingRefBased/>
  <w15:docId w15:val="{8720F368-EAE2-1747-835F-1EC97E47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5814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352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2A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C35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Jachetti Elena</dc:creator>
  <cp:keywords/>
  <dc:description/>
  <cp:lastModifiedBy>Jachetti Elena</cp:lastModifiedBy>
  <cp:revision>6</cp:revision>
  <dcterms:created xsi:type="dcterms:W3CDTF">2026-10-14T16:44:00Z</dcterms:created>
  <dcterms:modified xsi:type="dcterms:W3CDTF">2026-10-19T08:33:00Z</dcterms:modified>
</cp:coreProperties>
</file>